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55" w:rsidRPr="007E0078" w:rsidRDefault="007E0078">
      <w:pPr>
        <w:jc w:val="both"/>
        <w:rPr>
          <w:b/>
          <w:bCs/>
          <w:sz w:val="32"/>
          <w:szCs w:val="32"/>
          <w:vertAlign w:val="subscript"/>
        </w:rPr>
      </w:pPr>
      <w:r w:rsidRPr="007E0078">
        <w:rPr>
          <w:b/>
          <w:bCs/>
          <w:noProof/>
          <w:sz w:val="32"/>
          <w:szCs w:val="32"/>
          <w:vertAlign w:val="subscript"/>
          <w:lang w:val="es-ES"/>
        </w:rPr>
        <w:drawing>
          <wp:inline distT="0" distB="0" distL="0" distR="0" wp14:anchorId="59D79A87" wp14:editId="3F501BF0">
            <wp:extent cx="3000375" cy="1714500"/>
            <wp:effectExtent l="0" t="0" r="9525" b="0"/>
            <wp:docPr id="9" name="Imagen 9" descr="C:\Users\miguelrigo\Descarregues\portsdebalear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guelrigo\Descarregues\portsdebalears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1714500"/>
                    </a:xfrm>
                    <a:prstGeom prst="rect">
                      <a:avLst/>
                    </a:prstGeom>
                    <a:noFill/>
                    <a:ln>
                      <a:noFill/>
                    </a:ln>
                  </pic:spPr>
                </pic:pic>
              </a:graphicData>
            </a:graphic>
          </wp:inline>
        </w:drawing>
      </w:r>
    </w:p>
    <w:p w:rsidR="00A7236A" w:rsidRDefault="00A7236A">
      <w:pPr>
        <w:jc w:val="both"/>
        <w:rPr>
          <w:b/>
          <w:bCs/>
          <w:sz w:val="32"/>
          <w:szCs w:val="32"/>
          <w:u w:val="single"/>
          <w:vertAlign w:val="subscript"/>
        </w:rPr>
      </w:pPr>
    </w:p>
    <w:p w:rsidR="00A7236A" w:rsidRDefault="00A7236A">
      <w:pPr>
        <w:jc w:val="both"/>
        <w:rPr>
          <w:b/>
          <w:bCs/>
          <w:sz w:val="32"/>
          <w:szCs w:val="32"/>
          <w:u w:val="single"/>
          <w:vertAlign w:val="subscript"/>
        </w:rPr>
      </w:pPr>
    </w:p>
    <w:p w:rsidR="00A7236A" w:rsidRPr="00805959" w:rsidRDefault="00A7236A">
      <w:pPr>
        <w:jc w:val="both"/>
        <w:rPr>
          <w:b/>
          <w:bCs/>
          <w:sz w:val="32"/>
          <w:szCs w:val="32"/>
          <w:u w:val="single"/>
          <w:vertAlign w:val="subscript"/>
        </w:rPr>
      </w:pPr>
    </w:p>
    <w:p w:rsidR="00E2256E" w:rsidRDefault="00E2256E">
      <w:pPr>
        <w:jc w:val="both"/>
        <w:rPr>
          <w:b/>
          <w:bCs/>
          <w:sz w:val="32"/>
          <w:szCs w:val="32"/>
        </w:rPr>
      </w:pPr>
    </w:p>
    <w:p w:rsidR="00E2256E" w:rsidRDefault="00E2256E">
      <w:pPr>
        <w:jc w:val="both"/>
        <w:rPr>
          <w:b/>
          <w:bCs/>
          <w:sz w:val="32"/>
          <w:szCs w:val="32"/>
        </w:rPr>
      </w:pPr>
    </w:p>
    <w:p w:rsidR="00E2256E" w:rsidRDefault="00E2256E">
      <w:pPr>
        <w:jc w:val="both"/>
        <w:rPr>
          <w:b/>
          <w:bCs/>
          <w:sz w:val="32"/>
          <w:szCs w:val="32"/>
        </w:rPr>
      </w:pPr>
    </w:p>
    <w:p w:rsidR="00E2256E" w:rsidRDefault="00E2256E">
      <w:pPr>
        <w:jc w:val="both"/>
        <w:rPr>
          <w:b/>
          <w:bCs/>
          <w:sz w:val="32"/>
          <w:szCs w:val="32"/>
        </w:rPr>
      </w:pPr>
    </w:p>
    <w:p w:rsidR="002C4355" w:rsidRDefault="002C4355">
      <w:pPr>
        <w:jc w:val="both"/>
        <w:rPr>
          <w:b/>
          <w:bCs/>
          <w:sz w:val="32"/>
          <w:szCs w:val="32"/>
        </w:rPr>
      </w:pPr>
    </w:p>
    <w:p w:rsidR="002C4355" w:rsidRPr="007E0078" w:rsidRDefault="007E0078" w:rsidP="007E0078">
      <w:pPr>
        <w:jc w:val="center"/>
        <w:rPr>
          <w:rFonts w:ascii="Frutiger" w:hAnsi="Frutiger"/>
          <w:b/>
          <w:bCs/>
          <w:sz w:val="52"/>
          <w:szCs w:val="52"/>
        </w:rPr>
      </w:pPr>
      <w:r>
        <w:rPr>
          <w:rFonts w:ascii="Frutiger" w:hAnsi="Frutiger"/>
          <w:b/>
          <w:bCs/>
          <w:sz w:val="52"/>
          <w:szCs w:val="52"/>
        </w:rPr>
        <w:t>AUTORIDAD PORTUARIA DE BALEARES</w:t>
      </w:r>
    </w:p>
    <w:p w:rsidR="002C4355" w:rsidRDefault="002C4355">
      <w:pPr>
        <w:jc w:val="both"/>
        <w:rPr>
          <w:b/>
          <w:bCs/>
          <w:sz w:val="32"/>
          <w:szCs w:val="32"/>
        </w:rPr>
      </w:pPr>
    </w:p>
    <w:p w:rsidR="002C4355" w:rsidRDefault="002C4355">
      <w:pPr>
        <w:jc w:val="both"/>
        <w:rPr>
          <w:b/>
          <w:bCs/>
          <w:sz w:val="32"/>
          <w:szCs w:val="32"/>
        </w:rPr>
      </w:pPr>
    </w:p>
    <w:p w:rsidR="002C4355" w:rsidRPr="006D3B6D" w:rsidRDefault="0020160E">
      <w:pPr>
        <w:jc w:val="center"/>
        <w:rPr>
          <w:rFonts w:ascii="Frutiger" w:hAnsi="Frutiger"/>
          <w:b/>
          <w:bCs/>
          <w:sz w:val="52"/>
          <w:szCs w:val="52"/>
        </w:rPr>
      </w:pPr>
      <w:r>
        <w:rPr>
          <w:rFonts w:ascii="Frutiger" w:hAnsi="Frutiger"/>
          <w:b/>
          <w:bCs/>
          <w:sz w:val="52"/>
          <w:szCs w:val="52"/>
        </w:rPr>
        <w:t>CUENTAS ANUALES 2023</w:t>
      </w:r>
    </w:p>
    <w:p w:rsidR="002C4355" w:rsidRDefault="002C4355">
      <w:pPr>
        <w:jc w:val="center"/>
        <w:rPr>
          <w:b/>
          <w:bCs/>
          <w:sz w:val="56"/>
          <w:szCs w:val="56"/>
        </w:rPr>
      </w:pPr>
    </w:p>
    <w:p w:rsidR="002C4355" w:rsidRDefault="002C4355">
      <w:pPr>
        <w:jc w:val="both"/>
        <w:rPr>
          <w:b/>
          <w:bCs/>
          <w:sz w:val="32"/>
          <w:szCs w:val="32"/>
        </w:rPr>
        <w:sectPr w:rsidR="002C4355" w:rsidSect="007A1C6E">
          <w:headerReference w:type="even" r:id="rId10"/>
          <w:headerReference w:type="default" r:id="rId11"/>
          <w:footerReference w:type="even" r:id="rId12"/>
          <w:footerReference w:type="default" r:id="rId13"/>
          <w:headerReference w:type="first" r:id="rId14"/>
          <w:footerReference w:type="first" r:id="rId15"/>
          <w:pgSz w:w="11907" w:h="16840" w:code="9"/>
          <w:pgMar w:top="2835" w:right="992" w:bottom="567" w:left="2268" w:header="567" w:footer="299" w:gutter="0"/>
          <w:cols w:space="720"/>
          <w:titlePg/>
          <w:docGrid w:linePitch="272"/>
        </w:sectPr>
      </w:pPr>
    </w:p>
    <w:p w:rsidR="00CD3595" w:rsidRDefault="00CD3595" w:rsidP="00243425">
      <w:pPr>
        <w:pStyle w:val="Prrafodelista"/>
        <w:rPr>
          <w:b/>
          <w:bCs/>
          <w:sz w:val="22"/>
          <w:szCs w:val="22"/>
        </w:rPr>
      </w:pPr>
    </w:p>
    <w:p w:rsidR="00A00693" w:rsidRPr="002E626F" w:rsidRDefault="00A00693" w:rsidP="00243425">
      <w:pPr>
        <w:pStyle w:val="Prrafodelista"/>
        <w:rPr>
          <w:b/>
          <w:bCs/>
          <w:sz w:val="22"/>
          <w:szCs w:val="22"/>
        </w:rPr>
      </w:pPr>
    </w:p>
    <w:p w:rsidR="00A43FFD" w:rsidRPr="00A43FFD" w:rsidRDefault="00A43FFD" w:rsidP="00A43FFD">
      <w:pPr>
        <w:spacing w:after="200"/>
        <w:jc w:val="center"/>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ÍNDICE</w:t>
      </w:r>
    </w:p>
    <w:p w:rsidR="00A43FFD" w:rsidRPr="00A43FFD" w:rsidRDefault="00A43FFD" w:rsidP="00A43FFD">
      <w:pPr>
        <w:spacing w:after="200" w:line="216" w:lineRule="auto"/>
        <w:ind w:right="707"/>
        <w:jc w:val="right"/>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Página</w:t>
      </w:r>
    </w:p>
    <w:p w:rsidR="00A43FFD" w:rsidRPr="00A43FFD" w:rsidRDefault="00A43FFD" w:rsidP="00A43FFD">
      <w:pPr>
        <w:tabs>
          <w:tab w:val="center" w:pos="8080"/>
        </w:tabs>
        <w:spacing w:after="200" w:line="216"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BALANCE DE SITUACIÓN</w:t>
      </w:r>
      <w:r w:rsidRPr="00A43FFD">
        <w:rPr>
          <w:rFonts w:ascii="NewBaskerville" w:eastAsiaTheme="minorHAnsi" w:hAnsi="NewBaskerville" w:cstheme="minorBidi"/>
          <w:sz w:val="22"/>
          <w:szCs w:val="22"/>
          <w:lang w:eastAsia="en-US"/>
        </w:rPr>
        <w:tab/>
        <w:t>3</w:t>
      </w:r>
    </w:p>
    <w:p w:rsidR="00A43FFD" w:rsidRPr="00A43FFD" w:rsidRDefault="00A43FFD" w:rsidP="00A43FFD">
      <w:pPr>
        <w:tabs>
          <w:tab w:val="center" w:pos="8080"/>
        </w:tabs>
        <w:spacing w:after="200" w:line="216"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CUENTA DE PÉRDIDAS Y GANANCIAS</w:t>
      </w:r>
      <w:r w:rsidRPr="00A43FFD">
        <w:rPr>
          <w:rFonts w:ascii="NewBaskerville" w:eastAsiaTheme="minorHAnsi" w:hAnsi="NewBaskerville" w:cstheme="minorBidi"/>
          <w:sz w:val="22"/>
          <w:szCs w:val="22"/>
          <w:lang w:eastAsia="en-US"/>
        </w:rPr>
        <w:tab/>
        <w:t>5</w:t>
      </w:r>
    </w:p>
    <w:p w:rsidR="00A43FFD" w:rsidRPr="00A43FFD" w:rsidRDefault="00A43FFD" w:rsidP="00A43FFD">
      <w:pPr>
        <w:tabs>
          <w:tab w:val="center" w:pos="8080"/>
        </w:tabs>
        <w:spacing w:after="200" w:line="216"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ESTADO DE CAMBIOS EN EL PATRIMONIO NETO</w:t>
      </w:r>
      <w:r w:rsidRPr="00A43FFD">
        <w:rPr>
          <w:rFonts w:ascii="NewBaskerville" w:eastAsiaTheme="minorHAnsi" w:hAnsi="NewBaskerville" w:cstheme="minorBidi"/>
          <w:sz w:val="22"/>
          <w:szCs w:val="22"/>
          <w:lang w:eastAsia="en-US"/>
        </w:rPr>
        <w:tab/>
        <w:t>7</w:t>
      </w:r>
    </w:p>
    <w:p w:rsidR="00A43FFD" w:rsidRPr="00A43FFD" w:rsidRDefault="00A43FFD" w:rsidP="00A43FFD">
      <w:pPr>
        <w:tabs>
          <w:tab w:val="center" w:pos="8080"/>
        </w:tabs>
        <w:spacing w:after="200" w:line="216"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ESTADO DE FLUJOS DE EFECTIVO</w:t>
      </w:r>
      <w:r w:rsidRPr="00A43FFD">
        <w:rPr>
          <w:rFonts w:ascii="NewBaskerville" w:eastAsiaTheme="minorHAnsi" w:hAnsi="NewBaskerville" w:cstheme="minorBidi"/>
          <w:sz w:val="22"/>
          <w:szCs w:val="22"/>
          <w:lang w:eastAsia="en-US"/>
        </w:rPr>
        <w:tab/>
        <w:t>9</w:t>
      </w:r>
    </w:p>
    <w:p w:rsidR="00A43FFD" w:rsidRPr="00A43FFD" w:rsidRDefault="00A43FFD" w:rsidP="00661DE8">
      <w:pPr>
        <w:tabs>
          <w:tab w:val="center" w:pos="8080"/>
        </w:tabs>
        <w:spacing w:after="200" w:line="192" w:lineRule="auto"/>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MEMORIA</w:t>
      </w:r>
    </w:p>
    <w:p w:rsidR="00A43FFD" w:rsidRPr="00A43FFD" w:rsidRDefault="005318A5"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ACTIVIDAD DE LA ENTIDAD</w:t>
      </w:r>
      <w:r>
        <w:rPr>
          <w:rFonts w:ascii="NewBaskerville" w:eastAsiaTheme="minorHAnsi" w:hAnsi="NewBaskerville" w:cstheme="minorBidi"/>
          <w:sz w:val="22"/>
          <w:szCs w:val="22"/>
          <w:lang w:eastAsia="en-US"/>
        </w:rPr>
        <w:tab/>
        <w:t>11</w:t>
      </w:r>
    </w:p>
    <w:p w:rsidR="00A43FFD" w:rsidRPr="00A43FFD" w:rsidRDefault="00A43FFD" w:rsidP="00661DE8">
      <w:pPr>
        <w:tabs>
          <w:tab w:val="center" w:pos="8080"/>
        </w:tabs>
        <w:spacing w:before="120" w:after="120" w:line="192" w:lineRule="auto"/>
        <w:ind w:left="720"/>
        <w:contextualSpacing/>
        <w:jc w:val="both"/>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BASES DE PRESEN</w:t>
      </w:r>
      <w:r w:rsidR="005318A5">
        <w:rPr>
          <w:rFonts w:ascii="NewBaskerville" w:eastAsiaTheme="minorHAnsi" w:hAnsi="NewBaskerville" w:cstheme="minorBidi"/>
          <w:sz w:val="22"/>
          <w:szCs w:val="22"/>
          <w:lang w:eastAsia="en-US"/>
        </w:rPr>
        <w:t>TACIÓN DE LAS CUENTAS ANUALES</w:t>
      </w:r>
      <w:r w:rsidR="005318A5">
        <w:rPr>
          <w:rFonts w:ascii="NewBaskerville" w:eastAsiaTheme="minorHAnsi" w:hAnsi="NewBaskerville" w:cstheme="minorBidi"/>
          <w:sz w:val="22"/>
          <w:szCs w:val="22"/>
          <w:lang w:eastAsia="en-US"/>
        </w:rPr>
        <w:tab/>
        <w:t>12</w:t>
      </w:r>
    </w:p>
    <w:p w:rsidR="00A43FFD" w:rsidRPr="00A43FFD" w:rsidRDefault="00A43FFD" w:rsidP="00661DE8">
      <w:pPr>
        <w:tabs>
          <w:tab w:val="center" w:pos="8080"/>
        </w:tabs>
        <w:spacing w:before="120" w:after="120" w:line="192" w:lineRule="auto"/>
        <w:ind w:left="720"/>
        <w:contextualSpacing/>
        <w:jc w:val="both"/>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APLICACIÓN DE RESULTADOS</w:t>
      </w:r>
      <w:r>
        <w:rPr>
          <w:rFonts w:ascii="NewBaskerville" w:eastAsiaTheme="minorHAnsi" w:hAnsi="NewBaskerville" w:cstheme="minorBidi"/>
          <w:sz w:val="22"/>
          <w:szCs w:val="22"/>
          <w:lang w:eastAsia="en-US"/>
        </w:rPr>
        <w:tab/>
        <w:t>18</w:t>
      </w:r>
    </w:p>
    <w:p w:rsidR="00A43FFD" w:rsidRPr="00A43FFD" w:rsidRDefault="00A43FFD" w:rsidP="00661DE8">
      <w:pPr>
        <w:tabs>
          <w:tab w:val="center" w:pos="8080"/>
        </w:tabs>
        <w:spacing w:before="120" w:after="120" w:line="192" w:lineRule="auto"/>
        <w:ind w:left="720"/>
        <w:contextualSpacing/>
        <w:jc w:val="both"/>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NOR</w:t>
      </w:r>
      <w:r w:rsidR="00A50580">
        <w:rPr>
          <w:rFonts w:ascii="NewBaskerville" w:eastAsiaTheme="minorHAnsi" w:hAnsi="NewBaskerville" w:cstheme="minorBidi"/>
          <w:sz w:val="22"/>
          <w:szCs w:val="22"/>
          <w:lang w:eastAsia="en-US"/>
        </w:rPr>
        <w:t>MAS DE REGISTRO Y  VALORACIÓN</w:t>
      </w:r>
      <w:r w:rsidR="00A50580">
        <w:rPr>
          <w:rFonts w:ascii="NewBaskerville" w:eastAsiaTheme="minorHAnsi" w:hAnsi="NewBaskerville" w:cstheme="minorBidi"/>
          <w:sz w:val="22"/>
          <w:szCs w:val="22"/>
          <w:lang w:eastAsia="en-US"/>
        </w:rPr>
        <w:tab/>
        <w:t>18</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 xml:space="preserve">INMOVILIZADO </w:t>
      </w:r>
      <w:r w:rsidR="00A50580">
        <w:rPr>
          <w:rFonts w:ascii="NewBaskerville" w:eastAsiaTheme="minorHAnsi" w:hAnsi="NewBaskerville" w:cstheme="minorBidi"/>
          <w:sz w:val="22"/>
          <w:szCs w:val="22"/>
          <w:lang w:eastAsia="en-US"/>
        </w:rPr>
        <w:t>INTANGIBLE</w:t>
      </w:r>
      <w:r w:rsidR="00A50580">
        <w:rPr>
          <w:rFonts w:ascii="NewBaskerville" w:eastAsiaTheme="minorHAnsi" w:hAnsi="NewBaskerville" w:cstheme="minorBidi"/>
          <w:sz w:val="22"/>
          <w:szCs w:val="22"/>
          <w:lang w:eastAsia="en-US"/>
        </w:rPr>
        <w:tab/>
        <w:t>31</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INMOVILIZADO MATERIAL</w:t>
      </w:r>
      <w:r>
        <w:rPr>
          <w:rFonts w:ascii="NewBaskerville" w:eastAsiaTheme="minorHAnsi" w:hAnsi="NewBaskerville" w:cstheme="minorBidi"/>
          <w:sz w:val="22"/>
          <w:szCs w:val="22"/>
          <w:lang w:eastAsia="en-US"/>
        </w:rPr>
        <w:tab/>
        <w:t>33</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INVERSIONES INMOBILIARIAS</w:t>
      </w:r>
      <w:r>
        <w:rPr>
          <w:rFonts w:ascii="NewBaskerville" w:eastAsiaTheme="minorHAnsi" w:hAnsi="NewBaskerville" w:cstheme="minorBidi"/>
          <w:sz w:val="22"/>
          <w:szCs w:val="22"/>
          <w:lang w:eastAsia="en-US"/>
        </w:rPr>
        <w:tab/>
        <w:t>43</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ARRENDAMIENTOS OPERATIVOS</w:t>
      </w:r>
      <w:r>
        <w:rPr>
          <w:rFonts w:ascii="NewBaskerville" w:eastAsiaTheme="minorHAnsi" w:hAnsi="NewBaskerville" w:cstheme="minorBidi"/>
          <w:sz w:val="22"/>
          <w:szCs w:val="22"/>
          <w:lang w:eastAsia="en-US"/>
        </w:rPr>
        <w:tab/>
        <w:t>47</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INSTRUMENTOS FINANCIERO</w:t>
      </w:r>
      <w:r w:rsidR="00866F3D">
        <w:rPr>
          <w:rFonts w:ascii="NewBaskerville" w:eastAsiaTheme="minorHAnsi" w:hAnsi="NewBaskerville" w:cstheme="minorBidi"/>
          <w:sz w:val="22"/>
          <w:szCs w:val="22"/>
          <w:lang w:eastAsia="en-US"/>
        </w:rPr>
        <w:t>S</w:t>
      </w:r>
      <w:r w:rsidR="00A50580">
        <w:rPr>
          <w:rFonts w:ascii="NewBaskerville" w:eastAsiaTheme="minorHAnsi" w:hAnsi="NewBaskerville" w:cstheme="minorBidi"/>
          <w:sz w:val="22"/>
          <w:szCs w:val="22"/>
          <w:lang w:eastAsia="en-US"/>
        </w:rPr>
        <w:tab/>
        <w:t>55</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PROVISIONES Y CONTINGENCIAS</w:t>
      </w:r>
      <w:r>
        <w:rPr>
          <w:rFonts w:ascii="NewBaskerville" w:eastAsiaTheme="minorHAnsi" w:hAnsi="NewBaskerville" w:cstheme="minorBidi"/>
          <w:sz w:val="22"/>
          <w:szCs w:val="22"/>
          <w:lang w:eastAsia="en-US"/>
        </w:rPr>
        <w:tab/>
        <w:t>64</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SUBVE</w:t>
      </w:r>
      <w:r w:rsidR="00A50580">
        <w:rPr>
          <w:rFonts w:ascii="NewBaskerville" w:eastAsiaTheme="minorHAnsi" w:hAnsi="NewBaskerville" w:cstheme="minorBidi"/>
          <w:sz w:val="22"/>
          <w:szCs w:val="22"/>
          <w:lang w:eastAsia="en-US"/>
        </w:rPr>
        <w:t>NCIONES, DONACIONES Y LEGADOS</w:t>
      </w:r>
      <w:r w:rsidR="00A50580">
        <w:rPr>
          <w:rFonts w:ascii="NewBaskerville" w:eastAsiaTheme="minorHAnsi" w:hAnsi="NewBaskerville" w:cstheme="minorBidi"/>
          <w:sz w:val="22"/>
          <w:szCs w:val="22"/>
          <w:lang w:eastAsia="en-US"/>
        </w:rPr>
        <w:tab/>
        <w:t>68</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SITUACIÓN FISCAL</w:t>
      </w:r>
      <w:r>
        <w:rPr>
          <w:rFonts w:ascii="NewBaskerville" w:eastAsiaTheme="minorHAnsi" w:hAnsi="NewBaskerville" w:cstheme="minorBidi"/>
          <w:sz w:val="22"/>
          <w:szCs w:val="22"/>
          <w:lang w:eastAsia="en-US"/>
        </w:rPr>
        <w:tab/>
        <w:t>72</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 xml:space="preserve">INFORMACIÓN SOBRE EL MEDIO </w:t>
      </w:r>
      <w:r w:rsidR="00A50580">
        <w:rPr>
          <w:rFonts w:ascii="NewBaskerville" w:eastAsiaTheme="minorHAnsi" w:hAnsi="NewBaskerville" w:cstheme="minorBidi"/>
          <w:sz w:val="22"/>
          <w:szCs w:val="22"/>
          <w:lang w:eastAsia="en-US"/>
        </w:rPr>
        <w:t>AMBIENTE</w:t>
      </w:r>
      <w:r w:rsidR="00A50580">
        <w:rPr>
          <w:rFonts w:ascii="NewBaskerville" w:eastAsiaTheme="minorHAnsi" w:hAnsi="NewBaskerville" w:cstheme="minorBidi"/>
          <w:sz w:val="22"/>
          <w:szCs w:val="22"/>
          <w:lang w:eastAsia="en-US"/>
        </w:rPr>
        <w:tab/>
        <w:t>91</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INGRESOS Y GASTOS</w:t>
      </w:r>
      <w:r>
        <w:rPr>
          <w:rFonts w:ascii="NewBaskerville" w:eastAsiaTheme="minorHAnsi" w:hAnsi="NewBaskerville" w:cstheme="minorBidi"/>
          <w:sz w:val="22"/>
          <w:szCs w:val="22"/>
          <w:lang w:eastAsia="en-US"/>
        </w:rPr>
        <w:tab/>
        <w:t>92</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43FFD"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sidRPr="00A43FFD">
        <w:rPr>
          <w:rFonts w:ascii="NewBaskerville" w:eastAsiaTheme="minorHAnsi" w:hAnsi="NewBaskerville" w:cstheme="minorBidi"/>
          <w:sz w:val="22"/>
          <w:szCs w:val="22"/>
          <w:lang w:eastAsia="en-US"/>
        </w:rPr>
        <w:t>DETALLE DE LA</w:t>
      </w:r>
      <w:r w:rsidR="00A50580">
        <w:rPr>
          <w:rFonts w:ascii="NewBaskerville" w:eastAsiaTheme="minorHAnsi" w:hAnsi="NewBaskerville" w:cstheme="minorBidi"/>
          <w:sz w:val="22"/>
          <w:szCs w:val="22"/>
          <w:lang w:eastAsia="en-US"/>
        </w:rPr>
        <w:t xml:space="preserve"> CIFRA DE NEGOCIO POR PUERTOS</w:t>
      </w:r>
      <w:r w:rsidR="00A50580">
        <w:rPr>
          <w:rFonts w:ascii="NewBaskerville" w:eastAsiaTheme="minorHAnsi" w:hAnsi="NewBaskerville" w:cstheme="minorBidi"/>
          <w:sz w:val="22"/>
          <w:szCs w:val="22"/>
          <w:lang w:eastAsia="en-US"/>
        </w:rPr>
        <w:tab/>
        <w:t>95</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A43FFD" w:rsidRPr="00A43FFD" w:rsidRDefault="00A50580" w:rsidP="00661DE8">
      <w:pPr>
        <w:numPr>
          <w:ilvl w:val="0"/>
          <w:numId w:val="42"/>
        </w:numPr>
        <w:tabs>
          <w:tab w:val="center" w:pos="8080"/>
        </w:tabs>
        <w:spacing w:before="120" w:after="120" w:line="192" w:lineRule="auto"/>
        <w:contextualSpacing/>
        <w:jc w:val="both"/>
        <w:rPr>
          <w:rFonts w:ascii="NewBaskerville" w:eastAsiaTheme="minorHAnsi" w:hAnsi="NewBaskerville" w:cstheme="minorBidi"/>
          <w:sz w:val="22"/>
          <w:szCs w:val="22"/>
          <w:lang w:eastAsia="en-US"/>
        </w:rPr>
      </w:pPr>
      <w:r>
        <w:rPr>
          <w:rFonts w:ascii="NewBaskerville" w:eastAsiaTheme="minorHAnsi" w:hAnsi="NewBaskerville" w:cstheme="minorBidi"/>
          <w:sz w:val="22"/>
          <w:szCs w:val="22"/>
          <w:lang w:eastAsia="en-US"/>
        </w:rPr>
        <w:t>NÚMERO DE EMPLEADOS</w:t>
      </w:r>
      <w:r>
        <w:rPr>
          <w:rFonts w:ascii="NewBaskerville" w:eastAsiaTheme="minorHAnsi" w:hAnsi="NewBaskerville" w:cstheme="minorBidi"/>
          <w:sz w:val="22"/>
          <w:szCs w:val="22"/>
          <w:lang w:eastAsia="en-US"/>
        </w:rPr>
        <w:tab/>
        <w:t>96</w:t>
      </w:r>
    </w:p>
    <w:p w:rsidR="00A43FFD" w:rsidRPr="00A43FFD" w:rsidRDefault="00A43FFD" w:rsidP="00661DE8">
      <w:pPr>
        <w:spacing w:before="120" w:after="120" w:line="192" w:lineRule="auto"/>
        <w:ind w:left="720"/>
        <w:contextualSpacing/>
        <w:rPr>
          <w:rFonts w:ascii="NewBaskerville" w:eastAsiaTheme="minorHAnsi" w:hAnsi="NewBaskerville" w:cstheme="minorBidi"/>
          <w:sz w:val="22"/>
          <w:szCs w:val="22"/>
          <w:lang w:eastAsia="en-US"/>
        </w:rPr>
      </w:pPr>
    </w:p>
    <w:p w:rsidR="002E626F" w:rsidRPr="00A43FFD" w:rsidRDefault="00A50580" w:rsidP="00661DE8">
      <w:pPr>
        <w:numPr>
          <w:ilvl w:val="0"/>
          <w:numId w:val="42"/>
        </w:numPr>
        <w:tabs>
          <w:tab w:val="center" w:pos="8080"/>
        </w:tabs>
        <w:spacing w:before="120" w:after="120" w:line="192" w:lineRule="auto"/>
        <w:ind w:right="282"/>
        <w:contextualSpacing/>
        <w:jc w:val="both"/>
        <w:rPr>
          <w:b/>
          <w:bCs/>
          <w:sz w:val="22"/>
          <w:szCs w:val="22"/>
        </w:rPr>
      </w:pPr>
      <w:r>
        <w:rPr>
          <w:rFonts w:ascii="NewBaskerville" w:eastAsiaTheme="minorHAnsi" w:hAnsi="NewBaskerville" w:cstheme="minorBidi"/>
          <w:sz w:val="22"/>
          <w:szCs w:val="22"/>
          <w:lang w:eastAsia="en-US"/>
        </w:rPr>
        <w:t>REMUNERACIÓN DE CONSEJEROS</w:t>
      </w:r>
      <w:r>
        <w:rPr>
          <w:rFonts w:ascii="NewBaskerville" w:eastAsiaTheme="minorHAnsi" w:hAnsi="NewBaskerville" w:cstheme="minorBidi"/>
          <w:sz w:val="22"/>
          <w:szCs w:val="22"/>
          <w:lang w:eastAsia="en-US"/>
        </w:rPr>
        <w:tab/>
        <w:t>97</w:t>
      </w:r>
    </w:p>
    <w:p w:rsidR="00A43FFD" w:rsidRPr="00661DE8" w:rsidRDefault="00A43FFD" w:rsidP="00661DE8">
      <w:pPr>
        <w:tabs>
          <w:tab w:val="center" w:pos="8080"/>
        </w:tabs>
        <w:spacing w:before="120" w:after="120" w:line="192" w:lineRule="auto"/>
        <w:ind w:right="282"/>
        <w:contextualSpacing/>
        <w:rPr>
          <w:rFonts w:ascii="NewBaskerville" w:hAnsi="NewBaskerville"/>
          <w:bCs/>
          <w:sz w:val="22"/>
          <w:szCs w:val="22"/>
        </w:rPr>
      </w:pPr>
    </w:p>
    <w:p w:rsidR="00661DE8" w:rsidRDefault="00A43FFD" w:rsidP="00661DE8">
      <w:pPr>
        <w:numPr>
          <w:ilvl w:val="0"/>
          <w:numId w:val="42"/>
        </w:numPr>
        <w:tabs>
          <w:tab w:val="center" w:pos="8080"/>
        </w:tabs>
        <w:spacing w:before="120" w:after="120" w:line="192" w:lineRule="auto"/>
        <w:ind w:right="282"/>
        <w:contextualSpacing/>
        <w:jc w:val="both"/>
        <w:rPr>
          <w:rFonts w:ascii="NewBaskerville" w:hAnsi="NewBaskerville"/>
          <w:bCs/>
          <w:sz w:val="22"/>
          <w:szCs w:val="22"/>
        </w:rPr>
      </w:pPr>
      <w:r w:rsidRPr="00661DE8">
        <w:rPr>
          <w:rFonts w:ascii="NewBaskerville" w:hAnsi="NewBaskerville"/>
          <w:bCs/>
          <w:sz w:val="22"/>
          <w:szCs w:val="22"/>
        </w:rPr>
        <w:t>DE</w:t>
      </w:r>
      <w:r w:rsidR="00A50580">
        <w:rPr>
          <w:rFonts w:ascii="NewBaskerville" w:hAnsi="NewBaskerville"/>
          <w:bCs/>
          <w:sz w:val="22"/>
          <w:szCs w:val="22"/>
        </w:rPr>
        <w:t>SGLOSE DE LA LEY DE MOROSIDAD</w:t>
      </w:r>
      <w:r w:rsidR="00A50580">
        <w:rPr>
          <w:rFonts w:ascii="NewBaskerville" w:hAnsi="NewBaskerville"/>
          <w:bCs/>
          <w:sz w:val="22"/>
          <w:szCs w:val="22"/>
        </w:rPr>
        <w:tab/>
        <w:t>97</w:t>
      </w:r>
    </w:p>
    <w:p w:rsidR="00661DE8" w:rsidRPr="00661DE8" w:rsidRDefault="00661DE8" w:rsidP="00661DE8">
      <w:pPr>
        <w:tabs>
          <w:tab w:val="center" w:pos="8080"/>
        </w:tabs>
        <w:spacing w:before="120" w:after="120" w:line="192" w:lineRule="auto"/>
        <w:ind w:left="720" w:right="282"/>
        <w:contextualSpacing/>
        <w:jc w:val="both"/>
        <w:rPr>
          <w:rFonts w:ascii="NewBaskerville" w:hAnsi="NewBaskerville"/>
          <w:bCs/>
          <w:sz w:val="22"/>
          <w:szCs w:val="22"/>
        </w:rPr>
      </w:pPr>
    </w:p>
    <w:p w:rsidR="00661DE8" w:rsidRDefault="00A50580" w:rsidP="00661DE8">
      <w:pPr>
        <w:numPr>
          <w:ilvl w:val="0"/>
          <w:numId w:val="42"/>
        </w:numPr>
        <w:tabs>
          <w:tab w:val="center" w:pos="8080"/>
        </w:tabs>
        <w:spacing w:before="120" w:after="120" w:line="192" w:lineRule="auto"/>
        <w:ind w:right="282"/>
        <w:contextualSpacing/>
        <w:jc w:val="both"/>
        <w:rPr>
          <w:rFonts w:ascii="NewBaskerville" w:hAnsi="NewBaskerville"/>
          <w:bCs/>
          <w:sz w:val="22"/>
          <w:szCs w:val="22"/>
        </w:rPr>
      </w:pPr>
      <w:r>
        <w:rPr>
          <w:rFonts w:ascii="NewBaskerville" w:hAnsi="NewBaskerville"/>
          <w:bCs/>
          <w:sz w:val="22"/>
          <w:szCs w:val="22"/>
        </w:rPr>
        <w:t>HECHOS POSTERIORES AL CIERRE</w:t>
      </w:r>
      <w:r>
        <w:rPr>
          <w:rFonts w:ascii="NewBaskerville" w:hAnsi="NewBaskerville"/>
          <w:bCs/>
          <w:sz w:val="22"/>
          <w:szCs w:val="22"/>
        </w:rPr>
        <w:tab/>
        <w:t>97</w:t>
      </w:r>
    </w:p>
    <w:p w:rsidR="00661DE8" w:rsidRDefault="00661DE8" w:rsidP="00661DE8">
      <w:pPr>
        <w:pStyle w:val="Prrafodelista"/>
        <w:rPr>
          <w:rFonts w:ascii="NewBaskerville" w:hAnsi="NewBaskerville"/>
          <w:bCs/>
          <w:sz w:val="22"/>
          <w:szCs w:val="22"/>
        </w:rPr>
      </w:pPr>
    </w:p>
    <w:p w:rsidR="00A43FFD" w:rsidRDefault="00A43FFD" w:rsidP="00A43FFD">
      <w:pPr>
        <w:pStyle w:val="Prrafodelista"/>
        <w:rPr>
          <w:b/>
          <w:bCs/>
          <w:sz w:val="22"/>
          <w:szCs w:val="22"/>
        </w:rPr>
      </w:pPr>
    </w:p>
    <w:p w:rsidR="00661DE8" w:rsidRDefault="00661DE8" w:rsidP="00A43FFD">
      <w:pPr>
        <w:pStyle w:val="Prrafodelista"/>
        <w:rPr>
          <w:b/>
          <w:bCs/>
          <w:sz w:val="22"/>
          <w:szCs w:val="22"/>
        </w:rPr>
      </w:pPr>
    </w:p>
    <w:tbl>
      <w:tblPr>
        <w:tblW w:w="9524" w:type="dxa"/>
        <w:tblInd w:w="70" w:type="dxa"/>
        <w:tblCellMar>
          <w:left w:w="70" w:type="dxa"/>
          <w:right w:w="70" w:type="dxa"/>
        </w:tblCellMar>
        <w:tblLook w:val="04A0" w:firstRow="1" w:lastRow="0" w:firstColumn="1" w:lastColumn="0" w:noHBand="0" w:noVBand="1"/>
      </w:tblPr>
      <w:tblGrid>
        <w:gridCol w:w="5096"/>
        <w:gridCol w:w="1676"/>
        <w:gridCol w:w="180"/>
        <w:gridCol w:w="1496"/>
        <w:gridCol w:w="360"/>
        <w:gridCol w:w="356"/>
        <w:gridCol w:w="360"/>
      </w:tblGrid>
      <w:tr w:rsidR="00B41599" w:rsidRPr="00B41599" w:rsidTr="00D702F3">
        <w:trPr>
          <w:gridAfter w:val="1"/>
          <w:wAfter w:w="360" w:type="dxa"/>
          <w:trHeight w:val="300"/>
        </w:trPr>
        <w:tc>
          <w:tcPr>
            <w:tcW w:w="5096" w:type="dxa"/>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8"/>
                <w:szCs w:val="18"/>
                <w:lang w:val="es-ES"/>
              </w:rPr>
            </w:pPr>
            <w:r w:rsidRPr="00B41599">
              <w:rPr>
                <w:rFonts w:ascii="Lucida Bright" w:hAnsi="Lucida Bright" w:cs="Calibri"/>
                <w:b/>
                <w:bCs/>
                <w:sz w:val="18"/>
                <w:szCs w:val="18"/>
                <w:lang w:val="es-ES"/>
              </w:rPr>
              <w:lastRenderedPageBreak/>
              <w:t>Balance al cierre del ejercicio 2023</w:t>
            </w:r>
          </w:p>
        </w:tc>
        <w:tc>
          <w:tcPr>
            <w:tcW w:w="1676" w:type="dxa"/>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gridSpan w:val="2"/>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sz w:val="18"/>
                <w:szCs w:val="18"/>
                <w:lang w:val="es-ES"/>
              </w:rPr>
            </w:pPr>
            <w:r w:rsidRPr="00B41599">
              <w:rPr>
                <w:rFonts w:ascii="Lucida Bright" w:hAnsi="Lucida Bright" w:cs="Calibri"/>
                <w:sz w:val="18"/>
                <w:szCs w:val="18"/>
                <w:lang w:val="es-ES"/>
              </w:rPr>
              <w:t>(en euros)</w:t>
            </w:r>
          </w:p>
        </w:tc>
        <w:tc>
          <w:tcPr>
            <w:tcW w:w="716" w:type="dxa"/>
            <w:gridSpan w:val="2"/>
            <w:tcBorders>
              <w:top w:val="nil"/>
              <w:left w:val="nil"/>
              <w:bottom w:val="nil"/>
              <w:right w:val="nil"/>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p>
        </w:tc>
      </w:tr>
      <w:tr w:rsidR="00B41599" w:rsidRPr="00B41599" w:rsidTr="00D702F3">
        <w:trPr>
          <w:gridAfter w:val="1"/>
          <w:wAfter w:w="360" w:type="dxa"/>
          <w:trHeight w:val="300"/>
        </w:trPr>
        <w:tc>
          <w:tcPr>
            <w:tcW w:w="509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ACTIVO</w:t>
            </w:r>
          </w:p>
        </w:tc>
        <w:tc>
          <w:tcPr>
            <w:tcW w:w="1676" w:type="dxa"/>
            <w:tcBorders>
              <w:top w:val="single" w:sz="4" w:space="0" w:color="auto"/>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2023</w:t>
            </w:r>
          </w:p>
        </w:tc>
        <w:tc>
          <w:tcPr>
            <w:tcW w:w="1676"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2022</w:t>
            </w:r>
          </w:p>
        </w:tc>
        <w:tc>
          <w:tcPr>
            <w:tcW w:w="716"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Notas</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 ACTIVO NO CORRIENTE</w:t>
            </w:r>
          </w:p>
        </w:tc>
        <w:tc>
          <w:tcPr>
            <w:tcW w:w="1676" w:type="dxa"/>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493.509.931,34 </w:t>
            </w:r>
          </w:p>
        </w:tc>
        <w:tc>
          <w:tcPr>
            <w:tcW w:w="1676" w:type="dxa"/>
            <w:gridSpan w:val="2"/>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473.658.888,15 </w:t>
            </w:r>
          </w:p>
        </w:tc>
        <w:tc>
          <w:tcPr>
            <w:tcW w:w="716" w:type="dxa"/>
            <w:gridSpan w:val="2"/>
            <w:tcBorders>
              <w:top w:val="nil"/>
              <w:left w:val="nil"/>
              <w:bottom w:val="nil"/>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 Inmovilizado intangible</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732.614,73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892.211,33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5</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Propiedad industrial y otro inmovilizado intangible</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Aplicaciones informáticas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732.614,73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892.211,33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3. Anticipos para inmovilizaciones intangibles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 Inmovilizado material</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409.482.302,86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389.453.847,53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6</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Terrenos y bienes naturales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77.840.742,19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77.037.656,50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Construcciones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254.990.170,48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245.555.234,41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3. Equipamientos e instalaciones técnicas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7.668.418,86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8.555.930,90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4. Inmovilizado en curso y anticipos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66.538.697,87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56.176.200,63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5. Otro inmovilizado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2.444.273,46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2.128.825,09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III. Inversiones inmobiliarias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75.832.703,44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75.815.381,65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7</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Terrenos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64.033.614,39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64.033.614,39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Construcciones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11.799.089,05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11.781.767,26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IV. Inversiones en empresas del grupo y asociadas a largo plazo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5.419.176,45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5.520.176,46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w:t>
            </w:r>
            <w:r w:rsidR="00802A23">
              <w:rPr>
                <w:rFonts w:ascii="Lucida Bright" w:hAnsi="Lucida Bright" w:cs="Calibri"/>
                <w:color w:val="000000"/>
                <w:sz w:val="14"/>
                <w:szCs w:val="14"/>
                <w:lang w:val="es-ES"/>
              </w:rPr>
              <w:t>.1</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Instrumentos de patrimonio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Créditos a empresas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5.419.176,45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5.520.176,46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 Inversiones financieras a largo plazo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1.836.202,16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1.731.954,42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9.1</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Instrumentos de patrimonio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Créditos a terceros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591.764,16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487.516,42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vAlign w:val="center"/>
            <w:hideMark/>
          </w:tcPr>
          <w:p w:rsidR="00B41599" w:rsidRPr="00B41599" w:rsidRDefault="00B41599" w:rsidP="00B41599">
            <w:pP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xml:space="preserve">       3. Administraciones Públicas, subvenciones oficiales pendientes de cobro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4. Otros activos financieros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1.244.438,00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1.244.438,00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VI. Activos por impuesto diferido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206.931,70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245.316,76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12</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VII. Deudores comerciales no corrientes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B) ACTIVO CORRIENTE</w:t>
            </w:r>
          </w:p>
        </w:tc>
        <w:tc>
          <w:tcPr>
            <w:tcW w:w="1676" w:type="dxa"/>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298.999.088,09 </w:t>
            </w:r>
          </w:p>
        </w:tc>
        <w:tc>
          <w:tcPr>
            <w:tcW w:w="1676" w:type="dxa"/>
            <w:gridSpan w:val="2"/>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268.398.708,43 </w:t>
            </w:r>
          </w:p>
        </w:tc>
        <w:tc>
          <w:tcPr>
            <w:tcW w:w="716" w:type="dxa"/>
            <w:gridSpan w:val="2"/>
            <w:tcBorders>
              <w:top w:val="nil"/>
              <w:left w:val="nil"/>
              <w:bottom w:val="nil"/>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 Activos no corrientes mantenidos para la venta</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 Existencias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21.387,36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23.048,32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III. Deudores comerciales y otras cuentas a cobrar</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28.227.764,72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25.278.688,00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9.1</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Clientes por ventas y prestaciones de servicios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15.713.146,85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14.037.138,48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Clientes y deudores, empresas del grupo y asociadas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150.282,79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3. Deudores varios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323.056,45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312.252,46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4. Administraciones Públicas, subvenciones oficiales pendientes de cobro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145.968,98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45.832,69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5. Otros créditos con las Administraciones Públicas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12.045.592,44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10.733.181,58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IV. Inversiones en empresas del grupo y asociadas a corto plazo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110.571,99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30.612,32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9.1</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 Inversiones financieras a corto plazo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131.695.220,44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80.058.020,48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9.1</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Instrumentos de patrimonio</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Créditos a empresas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3. Otros activos financieros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131.695.220,44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80.058.020,48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VI. </w:t>
            </w:r>
            <w:proofErr w:type="spellStart"/>
            <w:r w:rsidRPr="00B41599">
              <w:rPr>
                <w:rFonts w:ascii="Lucida Bright" w:hAnsi="Lucida Bright" w:cs="Calibri"/>
                <w:b/>
                <w:bCs/>
                <w:sz w:val="14"/>
                <w:szCs w:val="14"/>
                <w:lang w:val="es-ES"/>
              </w:rPr>
              <w:t>Periodificaciones</w:t>
            </w:r>
            <w:proofErr w:type="spellEnd"/>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VII. Efectivo y otros activos líquidos equivalentes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138.944.143,58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163.008.339,31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Tesorería</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138.944.143,58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163.008.339,31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Otros activos líquidos equivalentes</w:t>
            </w:r>
          </w:p>
        </w:tc>
        <w:tc>
          <w:tcPr>
            <w:tcW w:w="16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139"/>
        </w:trPr>
        <w:tc>
          <w:tcPr>
            <w:tcW w:w="5096" w:type="dxa"/>
            <w:tcBorders>
              <w:top w:val="nil"/>
              <w:left w:val="single" w:sz="4" w:space="0" w:color="auto"/>
              <w:bottom w:val="single" w:sz="4" w:space="0" w:color="auto"/>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tcBorders>
              <w:top w:val="nil"/>
              <w:left w:val="nil"/>
              <w:bottom w:val="single" w:sz="4" w:space="0" w:color="auto"/>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gridAfter w:val="1"/>
          <w:wAfter w:w="360" w:type="dxa"/>
          <w:trHeight w:val="210"/>
        </w:trPr>
        <w:tc>
          <w:tcPr>
            <w:tcW w:w="5096" w:type="dxa"/>
            <w:tcBorders>
              <w:top w:val="nil"/>
              <w:left w:val="single" w:sz="4" w:space="0" w:color="auto"/>
              <w:bottom w:val="single" w:sz="4" w:space="0" w:color="auto"/>
              <w:right w:val="nil"/>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TOTAL ACTIVO (A+B)</w:t>
            </w:r>
          </w:p>
        </w:tc>
        <w:tc>
          <w:tcPr>
            <w:tcW w:w="1676" w:type="dxa"/>
            <w:tcBorders>
              <w:top w:val="nil"/>
              <w:left w:val="single" w:sz="4" w:space="0" w:color="auto"/>
              <w:bottom w:val="single" w:sz="4" w:space="0" w:color="auto"/>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792.509.019,43 </w:t>
            </w:r>
          </w:p>
        </w:tc>
        <w:tc>
          <w:tcPr>
            <w:tcW w:w="1676" w:type="dxa"/>
            <w:gridSpan w:val="2"/>
            <w:tcBorders>
              <w:top w:val="nil"/>
              <w:left w:val="single" w:sz="4" w:space="0" w:color="auto"/>
              <w:bottom w:val="single" w:sz="4" w:space="0" w:color="auto"/>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742.057.596,58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D702F3">
        <w:trPr>
          <w:trHeight w:val="300"/>
        </w:trPr>
        <w:tc>
          <w:tcPr>
            <w:tcW w:w="5096" w:type="dxa"/>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8"/>
                <w:szCs w:val="18"/>
                <w:lang w:val="es-ES"/>
              </w:rPr>
            </w:pPr>
            <w:r w:rsidRPr="00B41599">
              <w:rPr>
                <w:rFonts w:ascii="Lucida Bright" w:hAnsi="Lucida Bright" w:cs="Calibri"/>
                <w:b/>
                <w:bCs/>
                <w:sz w:val="18"/>
                <w:szCs w:val="18"/>
                <w:lang w:val="es-ES"/>
              </w:rPr>
              <w:lastRenderedPageBreak/>
              <w:t>Balance al cierre del ejercicio 2023</w:t>
            </w:r>
          </w:p>
        </w:tc>
        <w:tc>
          <w:tcPr>
            <w:tcW w:w="1856" w:type="dxa"/>
            <w:gridSpan w:val="2"/>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sz w:val="18"/>
                <w:szCs w:val="18"/>
                <w:lang w:val="es-ES"/>
              </w:rPr>
            </w:pPr>
            <w:r w:rsidRPr="00B41599">
              <w:rPr>
                <w:rFonts w:ascii="Lucida Bright" w:hAnsi="Lucida Bright" w:cs="Calibri"/>
                <w:sz w:val="18"/>
                <w:szCs w:val="18"/>
                <w:lang w:val="es-ES"/>
              </w:rPr>
              <w:t>(en euros)</w:t>
            </w:r>
          </w:p>
        </w:tc>
        <w:tc>
          <w:tcPr>
            <w:tcW w:w="716" w:type="dxa"/>
            <w:gridSpan w:val="2"/>
            <w:tcBorders>
              <w:top w:val="nil"/>
              <w:left w:val="nil"/>
              <w:bottom w:val="nil"/>
              <w:right w:val="nil"/>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p>
        </w:tc>
      </w:tr>
      <w:tr w:rsidR="00B41599" w:rsidRPr="00B41599" w:rsidTr="00D702F3">
        <w:trPr>
          <w:trHeight w:val="210"/>
        </w:trPr>
        <w:tc>
          <w:tcPr>
            <w:tcW w:w="5096" w:type="dxa"/>
            <w:tcBorders>
              <w:top w:val="single" w:sz="4" w:space="0" w:color="auto"/>
              <w:left w:val="single" w:sz="4" w:space="0" w:color="auto"/>
              <w:bottom w:val="single" w:sz="4" w:space="0" w:color="auto"/>
              <w:right w:val="nil"/>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PATRIMONIO NETO Y PASIVO</w:t>
            </w:r>
          </w:p>
        </w:tc>
        <w:tc>
          <w:tcPr>
            <w:tcW w:w="1856"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2023</w:t>
            </w:r>
          </w:p>
        </w:tc>
        <w:tc>
          <w:tcPr>
            <w:tcW w:w="1856"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2022</w:t>
            </w:r>
          </w:p>
        </w:tc>
        <w:tc>
          <w:tcPr>
            <w:tcW w:w="716"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Notas</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bottom"/>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bottom"/>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 PATRIMONIO NETO</w:t>
            </w:r>
          </w:p>
        </w:tc>
        <w:tc>
          <w:tcPr>
            <w:tcW w:w="1856" w:type="dxa"/>
            <w:gridSpan w:val="2"/>
            <w:tcBorders>
              <w:top w:val="nil"/>
              <w:left w:val="single" w:sz="4" w:space="0" w:color="auto"/>
              <w:bottom w:val="nil"/>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743.062.992,40 </w:t>
            </w:r>
          </w:p>
        </w:tc>
        <w:tc>
          <w:tcPr>
            <w:tcW w:w="1856" w:type="dxa"/>
            <w:gridSpan w:val="2"/>
            <w:tcBorders>
              <w:top w:val="nil"/>
              <w:left w:val="single" w:sz="4" w:space="0" w:color="auto"/>
              <w:bottom w:val="nil"/>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696.030.606,45 </w:t>
            </w:r>
          </w:p>
        </w:tc>
        <w:tc>
          <w:tcPr>
            <w:tcW w:w="716" w:type="dxa"/>
            <w:gridSpan w:val="2"/>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A-1) Fondos propios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721.397.614,44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674.371.106,34 </w:t>
            </w:r>
          </w:p>
        </w:tc>
        <w:tc>
          <w:tcPr>
            <w:tcW w:w="71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9.4</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 Patrimonio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212.397.594,47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212.383.193,39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 Resultados acumulados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461.987.912,95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429.046.806,79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III. Resultado del ejercicio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47.012.107,02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32.941.106,16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A-2) Ajustes por cambios de valor</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 Activos </w:t>
            </w:r>
            <w:proofErr w:type="spellStart"/>
            <w:r w:rsidRPr="00B41599">
              <w:rPr>
                <w:rFonts w:ascii="Lucida Bright" w:hAnsi="Lucida Bright" w:cs="Calibri"/>
                <w:b/>
                <w:bCs/>
                <w:sz w:val="14"/>
                <w:szCs w:val="14"/>
                <w:lang w:val="es-ES"/>
              </w:rPr>
              <w:t>financ</w:t>
            </w:r>
            <w:proofErr w:type="spellEnd"/>
            <w:r w:rsidRPr="00B41599">
              <w:rPr>
                <w:rFonts w:ascii="Lucida Bright" w:hAnsi="Lucida Bright" w:cs="Calibri"/>
                <w:b/>
                <w:bCs/>
                <w:sz w:val="14"/>
                <w:szCs w:val="14"/>
                <w:lang w:val="es-ES"/>
              </w:rPr>
              <w:t xml:space="preserve">. </w:t>
            </w:r>
            <w:proofErr w:type="gramStart"/>
            <w:r w:rsidRPr="00B41599">
              <w:rPr>
                <w:rFonts w:ascii="Lucida Bright" w:hAnsi="Lucida Bright" w:cs="Calibri"/>
                <w:b/>
                <w:bCs/>
                <w:sz w:val="14"/>
                <w:szCs w:val="14"/>
                <w:lang w:val="es-ES"/>
              </w:rPr>
              <w:t>a</w:t>
            </w:r>
            <w:proofErr w:type="gramEnd"/>
            <w:r w:rsidRPr="00B41599">
              <w:rPr>
                <w:rFonts w:ascii="Lucida Bright" w:hAnsi="Lucida Bright" w:cs="Calibri"/>
                <w:b/>
                <w:bCs/>
                <w:sz w:val="14"/>
                <w:szCs w:val="14"/>
                <w:lang w:val="es-ES"/>
              </w:rPr>
              <w:t xml:space="preserve"> valor razonable con cambios en el </w:t>
            </w:r>
            <w:proofErr w:type="spellStart"/>
            <w:r w:rsidRPr="00B41599">
              <w:rPr>
                <w:rFonts w:ascii="Lucida Bright" w:hAnsi="Lucida Bright" w:cs="Calibri"/>
                <w:b/>
                <w:bCs/>
                <w:sz w:val="14"/>
                <w:szCs w:val="14"/>
                <w:lang w:val="es-ES"/>
              </w:rPr>
              <w:t>patrim</w:t>
            </w:r>
            <w:proofErr w:type="spellEnd"/>
            <w:r w:rsidRPr="00B41599">
              <w:rPr>
                <w:rFonts w:ascii="Lucida Bright" w:hAnsi="Lucida Bright" w:cs="Calibri"/>
                <w:b/>
                <w:bCs/>
                <w:sz w:val="14"/>
                <w:szCs w:val="14"/>
                <w:lang w:val="es-ES"/>
              </w:rPr>
              <w:t>. neto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 Operaciones de cobertura</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III. Otros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A-3) Subvenciones, donaciones y legados recibidos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21.665.377,96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21.659.500,11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11</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B) PASIVO NO CORRIENTE</w:t>
            </w:r>
          </w:p>
        </w:tc>
        <w:tc>
          <w:tcPr>
            <w:tcW w:w="1856" w:type="dxa"/>
            <w:gridSpan w:val="2"/>
            <w:tcBorders>
              <w:top w:val="nil"/>
              <w:left w:val="single" w:sz="4" w:space="0" w:color="auto"/>
              <w:bottom w:val="nil"/>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36.117.864,53 </w:t>
            </w:r>
          </w:p>
        </w:tc>
        <w:tc>
          <w:tcPr>
            <w:tcW w:w="1856" w:type="dxa"/>
            <w:gridSpan w:val="2"/>
            <w:tcBorders>
              <w:top w:val="nil"/>
              <w:left w:val="single" w:sz="4" w:space="0" w:color="auto"/>
              <w:bottom w:val="nil"/>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32.916.101,97 </w:t>
            </w:r>
          </w:p>
        </w:tc>
        <w:tc>
          <w:tcPr>
            <w:tcW w:w="716" w:type="dxa"/>
            <w:gridSpan w:val="2"/>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 Provisiones a largo plazo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14.064.476,80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12.448.949,15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10</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Obligaciones por prestaciones a largo plazo al personal</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214.800,00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Provisión para responsabilidades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14.064.476,80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12.234.149,15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3. Otras provisiones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 Deudas a largo plazo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15.674.119,15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14.187.093,03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9.2</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Deudas con entidades de crédito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Proveedores de inmovilizado a largo plazo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3. Otras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15.674.119,15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14.187.093,03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III. Deudas con empresas del grupo y asociadas a largo plazo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IV. Pasivos por impuesto diferido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6.379.268,58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6.280.059,79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12</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 </w:t>
            </w:r>
            <w:proofErr w:type="spellStart"/>
            <w:r w:rsidRPr="00B41599">
              <w:rPr>
                <w:rFonts w:ascii="Lucida Bright" w:hAnsi="Lucida Bright" w:cs="Calibri"/>
                <w:b/>
                <w:bCs/>
                <w:sz w:val="14"/>
                <w:szCs w:val="14"/>
                <w:lang w:val="es-ES"/>
              </w:rPr>
              <w:t>Periodificaciones</w:t>
            </w:r>
            <w:proofErr w:type="spellEnd"/>
            <w:r w:rsidRPr="00B41599">
              <w:rPr>
                <w:rFonts w:ascii="Lucida Bright" w:hAnsi="Lucida Bright" w:cs="Calibri"/>
                <w:b/>
                <w:bCs/>
                <w:sz w:val="14"/>
                <w:szCs w:val="14"/>
                <w:lang w:val="es-ES"/>
              </w:rPr>
              <w:t xml:space="preserve"> a largo plazo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C) PASIVO CORRIENTE</w:t>
            </w:r>
          </w:p>
        </w:tc>
        <w:tc>
          <w:tcPr>
            <w:tcW w:w="1856" w:type="dxa"/>
            <w:gridSpan w:val="2"/>
            <w:tcBorders>
              <w:top w:val="nil"/>
              <w:left w:val="single" w:sz="4" w:space="0" w:color="auto"/>
              <w:bottom w:val="nil"/>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13.328.162,50 </w:t>
            </w:r>
          </w:p>
        </w:tc>
        <w:tc>
          <w:tcPr>
            <w:tcW w:w="1856" w:type="dxa"/>
            <w:gridSpan w:val="2"/>
            <w:tcBorders>
              <w:top w:val="nil"/>
              <w:left w:val="single" w:sz="4" w:space="0" w:color="auto"/>
              <w:bottom w:val="nil"/>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13.110.888,16 </w:t>
            </w:r>
          </w:p>
        </w:tc>
        <w:tc>
          <w:tcPr>
            <w:tcW w:w="716" w:type="dxa"/>
            <w:gridSpan w:val="2"/>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 Provisiones a corto plazo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63.685,10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III. Deudas a corto plazo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2.507.748,42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4.148.879,80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9.2</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Deudas con entidades de crédito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Proveedores de inmovilizado a corto plazo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1.682.570,57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3.536.876,51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3. Otros pasivos financieros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825.177,85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612.003,29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IV. Deudas con empresas del grupo y asociadas a corto plazo</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11.556,64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173.205,21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9.3</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 Acreedores comerciales y otras cuentas a pagar</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10.745.172,34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8.788.803,15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9.2</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Acreedores y otras cuentas a pagar</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7.307.572,00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6.256.265,06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Administraciones Públicas, anticipos de subvenciones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481.115,62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395.128,13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3. Otras deudas con las Administraciones Públicas</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2.956.484,72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2.137.409,96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VI. </w:t>
            </w:r>
            <w:proofErr w:type="spellStart"/>
            <w:r w:rsidRPr="00B41599">
              <w:rPr>
                <w:rFonts w:ascii="Lucida Bright" w:hAnsi="Lucida Bright" w:cs="Calibri"/>
                <w:b/>
                <w:bCs/>
                <w:sz w:val="14"/>
                <w:szCs w:val="14"/>
                <w:lang w:val="es-ES"/>
              </w:rPr>
              <w:t>Periodificaciones</w:t>
            </w:r>
            <w:proofErr w:type="spellEnd"/>
          </w:p>
        </w:tc>
        <w:tc>
          <w:tcPr>
            <w:tcW w:w="1856" w:type="dxa"/>
            <w:gridSpan w:val="2"/>
            <w:tcBorders>
              <w:top w:val="nil"/>
              <w:left w:val="single" w:sz="4" w:space="0" w:color="auto"/>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139"/>
        </w:trPr>
        <w:tc>
          <w:tcPr>
            <w:tcW w:w="5096" w:type="dxa"/>
            <w:tcBorders>
              <w:top w:val="nil"/>
              <w:left w:val="single" w:sz="4" w:space="0" w:color="auto"/>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856" w:type="dxa"/>
            <w:gridSpan w:val="2"/>
            <w:tcBorders>
              <w:top w:val="nil"/>
              <w:left w:val="nil"/>
              <w:bottom w:val="single" w:sz="4" w:space="0" w:color="auto"/>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16" w:type="dxa"/>
            <w:gridSpan w:val="2"/>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D702F3">
        <w:trPr>
          <w:trHeight w:val="210"/>
        </w:trPr>
        <w:tc>
          <w:tcPr>
            <w:tcW w:w="509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TOTAL PATRIMONIO NETO Y PASIVO (A+B+C)</w:t>
            </w:r>
          </w:p>
        </w:tc>
        <w:tc>
          <w:tcPr>
            <w:tcW w:w="1856" w:type="dxa"/>
            <w:gridSpan w:val="2"/>
            <w:tcBorders>
              <w:top w:val="single" w:sz="4" w:space="0" w:color="auto"/>
              <w:left w:val="nil"/>
              <w:bottom w:val="single" w:sz="4" w:space="0" w:color="auto"/>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792.509.019,43 </w:t>
            </w:r>
          </w:p>
        </w:tc>
        <w:tc>
          <w:tcPr>
            <w:tcW w:w="1856" w:type="dxa"/>
            <w:gridSpan w:val="2"/>
            <w:tcBorders>
              <w:top w:val="nil"/>
              <w:left w:val="single" w:sz="4" w:space="0" w:color="auto"/>
              <w:bottom w:val="single" w:sz="4" w:space="0" w:color="auto"/>
              <w:right w:val="nil"/>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742.057.596,58 </w:t>
            </w:r>
          </w:p>
        </w:tc>
        <w:tc>
          <w:tcPr>
            <w:tcW w:w="716"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bl>
    <w:p w:rsidR="00B41599" w:rsidRDefault="00B41599" w:rsidP="00E13AD1">
      <w:pPr>
        <w:rPr>
          <w:rFonts w:ascii="Lucida Bright" w:hAnsi="Lucida Bright"/>
          <w:b/>
          <w:bCs/>
          <w:sz w:val="22"/>
          <w:szCs w:val="22"/>
        </w:rPr>
      </w:pPr>
    </w:p>
    <w:p w:rsidR="00661DE8" w:rsidRDefault="00661DE8" w:rsidP="00E13AD1">
      <w:pPr>
        <w:rPr>
          <w:rFonts w:ascii="Lucida Bright" w:hAnsi="Lucida Bright"/>
          <w:b/>
          <w:bCs/>
          <w:sz w:val="22"/>
          <w:szCs w:val="22"/>
        </w:rPr>
      </w:pPr>
    </w:p>
    <w:p w:rsidR="00D702F3" w:rsidRDefault="00D702F3" w:rsidP="00E13AD1">
      <w:pPr>
        <w:rPr>
          <w:rFonts w:ascii="Lucida Bright" w:hAnsi="Lucida Bright"/>
          <w:b/>
          <w:bCs/>
          <w:sz w:val="22"/>
          <w:szCs w:val="22"/>
        </w:rPr>
      </w:pPr>
    </w:p>
    <w:p w:rsidR="00CD3595" w:rsidRDefault="00CD3595" w:rsidP="00E13AD1"/>
    <w:tbl>
      <w:tblPr>
        <w:tblW w:w="0" w:type="auto"/>
        <w:tblCellMar>
          <w:left w:w="70" w:type="dxa"/>
          <w:right w:w="70" w:type="dxa"/>
        </w:tblCellMar>
        <w:tblLook w:val="04A0" w:firstRow="1" w:lastRow="0" w:firstColumn="1" w:lastColumn="0" w:noHBand="0" w:noVBand="1"/>
      </w:tblPr>
      <w:tblGrid>
        <w:gridCol w:w="5481"/>
        <w:gridCol w:w="1243"/>
        <w:gridCol w:w="1243"/>
        <w:gridCol w:w="677"/>
      </w:tblGrid>
      <w:tr w:rsidR="00B41599" w:rsidRPr="00B41599" w:rsidTr="00B41599">
        <w:trPr>
          <w:trHeight w:val="215"/>
        </w:trPr>
        <w:tc>
          <w:tcPr>
            <w:tcW w:w="0" w:type="auto"/>
            <w:gridSpan w:val="4"/>
            <w:tcBorders>
              <w:top w:val="nil"/>
              <w:left w:val="nil"/>
              <w:bottom w:val="single" w:sz="4" w:space="0" w:color="auto"/>
              <w:right w:val="nil"/>
            </w:tcBorders>
            <w:shd w:val="clear" w:color="000000" w:fill="FFFFFF"/>
            <w:noWrap/>
            <w:hideMark/>
          </w:tcPr>
          <w:p w:rsidR="00B41599" w:rsidRPr="00B41599" w:rsidRDefault="00B41599" w:rsidP="00B41599">
            <w:pPr>
              <w:rPr>
                <w:rFonts w:ascii="Lucida Bright" w:hAnsi="Lucida Bright" w:cs="Calibri"/>
                <w:b/>
                <w:bCs/>
                <w:lang w:val="es-ES"/>
              </w:rPr>
            </w:pPr>
            <w:r w:rsidRPr="00B41599">
              <w:rPr>
                <w:rFonts w:ascii="Lucida Bright" w:hAnsi="Lucida Bright" w:cs="Calibri"/>
                <w:b/>
                <w:bCs/>
                <w:lang w:val="es-ES"/>
              </w:rPr>
              <w:lastRenderedPageBreak/>
              <w:t xml:space="preserve">Cuenta de Pérdidas y Ganancias correspondiente al ejercicio terminado el 31-12-23 </w:t>
            </w:r>
            <w:r w:rsidRPr="00B41599">
              <w:rPr>
                <w:rFonts w:ascii="Lucida Bright" w:hAnsi="Lucida Bright" w:cs="Calibri"/>
                <w:sz w:val="14"/>
                <w:szCs w:val="14"/>
                <w:lang w:val="es-ES"/>
              </w:rPr>
              <w:t>(en euros)</w:t>
            </w:r>
          </w:p>
        </w:tc>
      </w:tr>
      <w:tr w:rsidR="00B41599" w:rsidRPr="00B41599" w:rsidTr="00B41599">
        <w:trPr>
          <w:trHeight w:val="179"/>
        </w:trPr>
        <w:tc>
          <w:tcPr>
            <w:tcW w:w="0" w:type="auto"/>
            <w:tcBorders>
              <w:top w:val="nil"/>
              <w:left w:val="single" w:sz="4" w:space="0" w:color="auto"/>
              <w:bottom w:val="nil"/>
              <w:right w:val="single" w:sz="4" w:space="0" w:color="auto"/>
            </w:tcBorders>
            <w:shd w:val="clear" w:color="000000" w:fill="CCFFCC"/>
            <w:noWrap/>
            <w:vAlign w:val="bottom"/>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 </w:t>
            </w:r>
          </w:p>
        </w:tc>
        <w:tc>
          <w:tcPr>
            <w:tcW w:w="0" w:type="auto"/>
            <w:gridSpan w:val="2"/>
            <w:tcBorders>
              <w:top w:val="single" w:sz="4" w:space="0" w:color="auto"/>
              <w:left w:val="nil"/>
              <w:bottom w:val="single" w:sz="4" w:space="0" w:color="auto"/>
              <w:right w:val="single" w:sz="4" w:space="0" w:color="000000"/>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(Debe) Haber</w:t>
            </w:r>
          </w:p>
        </w:tc>
        <w:tc>
          <w:tcPr>
            <w:tcW w:w="0" w:type="auto"/>
            <w:tcBorders>
              <w:top w:val="nil"/>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 </w:t>
            </w:r>
          </w:p>
        </w:tc>
      </w:tr>
      <w:tr w:rsidR="00B41599" w:rsidRPr="00B41599" w:rsidTr="00B41599">
        <w:trPr>
          <w:trHeight w:val="179"/>
        </w:trPr>
        <w:tc>
          <w:tcPr>
            <w:tcW w:w="0" w:type="auto"/>
            <w:tcBorders>
              <w:top w:val="nil"/>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 </w:t>
            </w:r>
          </w:p>
        </w:tc>
        <w:tc>
          <w:tcPr>
            <w:tcW w:w="0" w:type="auto"/>
            <w:tcBorders>
              <w:top w:val="nil"/>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2023</w:t>
            </w:r>
          </w:p>
        </w:tc>
        <w:tc>
          <w:tcPr>
            <w:tcW w:w="0" w:type="auto"/>
            <w:tcBorders>
              <w:top w:val="nil"/>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2022</w:t>
            </w:r>
          </w:p>
        </w:tc>
        <w:tc>
          <w:tcPr>
            <w:tcW w:w="0" w:type="auto"/>
            <w:tcBorders>
              <w:top w:val="nil"/>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Notas</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1. Importe neto de la cifra de negocios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105.180.097,71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86.801.418,42  </w:t>
            </w:r>
          </w:p>
        </w:tc>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15</w:t>
            </w:r>
          </w:p>
        </w:tc>
      </w:tr>
      <w:tr w:rsidR="00B41599" w:rsidRPr="00B41599" w:rsidTr="00B41599">
        <w:trPr>
          <w:trHeight w:val="54"/>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 Tasas portuarias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61.291.708,82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51.141.805,45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400" w:firstLine="560"/>
              <w:rPr>
                <w:rFonts w:ascii="Lucida Bright" w:hAnsi="Lucida Bright" w:cs="Calibri"/>
                <w:sz w:val="14"/>
                <w:szCs w:val="14"/>
                <w:lang w:val="es-ES"/>
              </w:rPr>
            </w:pPr>
            <w:r w:rsidRPr="00B41599">
              <w:rPr>
                <w:rFonts w:ascii="Lucida Bright" w:hAnsi="Lucida Bright" w:cs="Calibri"/>
                <w:sz w:val="14"/>
                <w:szCs w:val="14"/>
                <w:lang w:val="es-ES"/>
              </w:rPr>
              <w:t>a) Tasa de ocupación</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20.755.502,85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18.230.876,23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400" w:firstLine="560"/>
              <w:rPr>
                <w:rFonts w:ascii="Lucida Bright" w:hAnsi="Lucida Bright" w:cs="Calibri"/>
                <w:sz w:val="14"/>
                <w:szCs w:val="14"/>
                <w:lang w:val="es-ES"/>
              </w:rPr>
            </w:pPr>
            <w:r w:rsidRPr="00B41599">
              <w:rPr>
                <w:rFonts w:ascii="Lucida Bright" w:hAnsi="Lucida Bright" w:cs="Calibri"/>
                <w:sz w:val="14"/>
                <w:szCs w:val="14"/>
                <w:lang w:val="es-ES"/>
              </w:rPr>
              <w:t>b) Tasas de utilización</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30.997.741,27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25.327.424,01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79"/>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500" w:firstLine="700"/>
              <w:rPr>
                <w:rFonts w:ascii="Lucida Bright" w:hAnsi="Lucida Bright" w:cs="Calibri"/>
                <w:i/>
                <w:iCs/>
                <w:sz w:val="14"/>
                <w:szCs w:val="14"/>
                <w:lang w:val="es-ES"/>
              </w:rPr>
            </w:pPr>
            <w:r w:rsidRPr="00B41599">
              <w:rPr>
                <w:rFonts w:ascii="Lucida Bright" w:hAnsi="Lucida Bright" w:cs="Calibri"/>
                <w:i/>
                <w:iCs/>
                <w:sz w:val="14"/>
                <w:szCs w:val="14"/>
                <w:lang w:val="es-ES"/>
              </w:rPr>
              <w:t>1. Tasa del buque</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8.315.101,59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6.858.619,76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79"/>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500" w:firstLine="700"/>
              <w:rPr>
                <w:rFonts w:ascii="Lucida Bright" w:hAnsi="Lucida Bright" w:cs="Calibri"/>
                <w:i/>
                <w:iCs/>
                <w:sz w:val="14"/>
                <w:szCs w:val="14"/>
                <w:lang w:val="es-ES"/>
              </w:rPr>
            </w:pPr>
            <w:r w:rsidRPr="00B41599">
              <w:rPr>
                <w:rFonts w:ascii="Lucida Bright" w:hAnsi="Lucida Bright" w:cs="Calibri"/>
                <w:i/>
                <w:iCs/>
                <w:sz w:val="14"/>
                <w:szCs w:val="14"/>
                <w:lang w:val="es-ES"/>
              </w:rPr>
              <w:t>2. Tasa de las embarcaciones deportivas y de recreo</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3.051.650,28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2.839.142,05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79"/>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500" w:firstLine="700"/>
              <w:rPr>
                <w:rFonts w:ascii="Lucida Bright" w:hAnsi="Lucida Bright" w:cs="Calibri"/>
                <w:i/>
                <w:iCs/>
                <w:sz w:val="14"/>
                <w:szCs w:val="14"/>
                <w:lang w:val="es-ES"/>
              </w:rPr>
            </w:pPr>
            <w:r w:rsidRPr="00B41599">
              <w:rPr>
                <w:rFonts w:ascii="Lucida Bright" w:hAnsi="Lucida Bright" w:cs="Calibri"/>
                <w:i/>
                <w:iCs/>
                <w:sz w:val="14"/>
                <w:szCs w:val="14"/>
                <w:lang w:val="es-ES"/>
              </w:rPr>
              <w:t>3. Tasa del pasaje</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10.754.804,44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8.933.780,61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79"/>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500" w:firstLine="700"/>
              <w:rPr>
                <w:rFonts w:ascii="Lucida Bright" w:hAnsi="Lucida Bright" w:cs="Calibri"/>
                <w:i/>
                <w:iCs/>
                <w:sz w:val="14"/>
                <w:szCs w:val="14"/>
                <w:lang w:val="es-ES"/>
              </w:rPr>
            </w:pPr>
            <w:r w:rsidRPr="00B41599">
              <w:rPr>
                <w:rFonts w:ascii="Lucida Bright" w:hAnsi="Lucida Bright" w:cs="Calibri"/>
                <w:i/>
                <w:iCs/>
                <w:sz w:val="14"/>
                <w:szCs w:val="14"/>
                <w:lang w:val="es-ES"/>
              </w:rPr>
              <w:t>4. Tasa de la mercancía</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8.161.069,06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6.152.581,17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79"/>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500" w:firstLine="700"/>
              <w:rPr>
                <w:rFonts w:ascii="Lucida Bright" w:hAnsi="Lucida Bright" w:cs="Calibri"/>
                <w:i/>
                <w:iCs/>
                <w:sz w:val="14"/>
                <w:szCs w:val="14"/>
                <w:lang w:val="es-ES"/>
              </w:rPr>
            </w:pPr>
            <w:r w:rsidRPr="00B41599">
              <w:rPr>
                <w:rFonts w:ascii="Lucida Bright" w:hAnsi="Lucida Bright" w:cs="Calibri"/>
                <w:i/>
                <w:iCs/>
                <w:sz w:val="14"/>
                <w:szCs w:val="14"/>
                <w:lang w:val="es-ES"/>
              </w:rPr>
              <w:t>5. Tasa de la pesca fresca</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54.360,57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39.838,78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79"/>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500" w:firstLine="700"/>
              <w:rPr>
                <w:rFonts w:ascii="Lucida Bright" w:hAnsi="Lucida Bright" w:cs="Calibri"/>
                <w:i/>
                <w:iCs/>
                <w:sz w:val="14"/>
                <w:szCs w:val="14"/>
                <w:lang w:val="es-ES"/>
              </w:rPr>
            </w:pPr>
            <w:r w:rsidRPr="00B41599">
              <w:rPr>
                <w:rFonts w:ascii="Lucida Bright" w:hAnsi="Lucida Bright" w:cs="Calibri"/>
                <w:i/>
                <w:iCs/>
                <w:sz w:val="14"/>
                <w:szCs w:val="14"/>
                <w:lang w:val="es-ES"/>
              </w:rPr>
              <w:t>6. Tasa por utilización especial de la zona de tránsito</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660.755,33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503.461,64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400" w:firstLine="560"/>
              <w:rPr>
                <w:rFonts w:ascii="Lucida Bright" w:hAnsi="Lucida Bright" w:cs="Calibri"/>
                <w:sz w:val="14"/>
                <w:szCs w:val="14"/>
                <w:lang w:val="es-ES"/>
              </w:rPr>
            </w:pPr>
            <w:r w:rsidRPr="00B41599">
              <w:rPr>
                <w:rFonts w:ascii="Lucida Bright" w:hAnsi="Lucida Bright" w:cs="Calibri"/>
                <w:sz w:val="14"/>
                <w:szCs w:val="14"/>
                <w:lang w:val="es-ES"/>
              </w:rPr>
              <w:t>c) Tasa de actividad</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8.403.395,80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6.262.878,94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400" w:firstLine="560"/>
              <w:rPr>
                <w:rFonts w:ascii="Lucida Bright" w:hAnsi="Lucida Bright" w:cs="Calibri"/>
                <w:sz w:val="14"/>
                <w:szCs w:val="14"/>
                <w:lang w:val="es-ES"/>
              </w:rPr>
            </w:pPr>
            <w:r w:rsidRPr="00B41599">
              <w:rPr>
                <w:rFonts w:ascii="Lucida Bright" w:hAnsi="Lucida Bright" w:cs="Calibri"/>
                <w:sz w:val="14"/>
                <w:szCs w:val="14"/>
                <w:lang w:val="es-ES"/>
              </w:rPr>
              <w:t>d) Tasa de ayudas a la navegación</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1.135.068,90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1.320.626,27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54"/>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B. Otros ingresos de negocio</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43.888.388,89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35.659.612,97  </w:t>
            </w:r>
          </w:p>
        </w:tc>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14.b</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400" w:firstLine="560"/>
              <w:rPr>
                <w:rFonts w:ascii="Lucida Bright" w:hAnsi="Lucida Bright" w:cs="Calibri"/>
                <w:sz w:val="14"/>
                <w:szCs w:val="14"/>
                <w:lang w:val="es-ES"/>
              </w:rPr>
            </w:pPr>
            <w:r w:rsidRPr="00B41599">
              <w:rPr>
                <w:rFonts w:ascii="Lucida Bright" w:hAnsi="Lucida Bright" w:cs="Calibri"/>
                <w:sz w:val="14"/>
                <w:szCs w:val="14"/>
                <w:lang w:val="es-ES"/>
              </w:rPr>
              <w:t>a) Importes adicionales a las tasas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31.241.745,02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23.390.083,30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400" w:firstLine="560"/>
              <w:rPr>
                <w:rFonts w:ascii="Lucida Bright" w:hAnsi="Lucida Bright" w:cs="Calibri"/>
                <w:sz w:val="14"/>
                <w:szCs w:val="14"/>
                <w:lang w:val="es-ES"/>
              </w:rPr>
            </w:pPr>
            <w:r w:rsidRPr="00B41599">
              <w:rPr>
                <w:rFonts w:ascii="Lucida Bright" w:hAnsi="Lucida Bright" w:cs="Calibri"/>
                <w:sz w:val="14"/>
                <w:szCs w:val="14"/>
                <w:lang w:val="es-ES"/>
              </w:rPr>
              <w:t>b) Tarifas y otros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12.646.643,87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12.269.529,67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400" w:firstLine="560"/>
              <w:rPr>
                <w:rFonts w:ascii="Lucida Bright" w:hAnsi="Lucida Bright" w:cs="Calibri"/>
                <w:sz w:val="14"/>
                <w:szCs w:val="14"/>
                <w:lang w:val="es-ES"/>
              </w:rPr>
            </w:pPr>
            <w:r w:rsidRPr="00B4159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3. Trabajos realizados por la empresa para su activo</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5. Otros ingresos de explotación</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5.753.709,22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12.691.511,44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093913">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w:t>
            </w:r>
            <w:r w:rsidR="00093913">
              <w:rPr>
                <w:rFonts w:ascii="Lucida Bright" w:hAnsi="Lucida Bright" w:cs="Calibri"/>
                <w:color w:val="000000"/>
                <w:sz w:val="14"/>
                <w:szCs w:val="14"/>
                <w:lang w:val="es-ES"/>
              </w:rPr>
              <w:t>4</w:t>
            </w:r>
            <w:r w:rsidRPr="00B41599">
              <w:rPr>
                <w:rFonts w:ascii="Lucida Bright" w:hAnsi="Lucida Bright" w:cs="Calibri"/>
                <w:color w:val="000000"/>
                <w:sz w:val="14"/>
                <w:szCs w:val="14"/>
                <w:lang w:val="es-ES"/>
              </w:rPr>
              <w:t>.b</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a) Ingresos accesorios y otros de gestión corriente</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4.062.923,96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9.384.503,51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b) Subvenciones de explotación incorporadas al resultado del ejercicio</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137.191,05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2.109.285,97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c) Ingresos traspasados al resultado por concesiones revertidas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121.594,21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172.721,96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 xml:space="preserve">d) Fondo de Compensación </w:t>
            </w:r>
            <w:proofErr w:type="spellStart"/>
            <w:r w:rsidRPr="00B41599">
              <w:rPr>
                <w:rFonts w:ascii="Lucida Bright" w:hAnsi="Lucida Bright" w:cs="Calibri"/>
                <w:sz w:val="14"/>
                <w:szCs w:val="14"/>
                <w:lang w:val="es-ES"/>
              </w:rPr>
              <w:t>Interportuario</w:t>
            </w:r>
            <w:proofErr w:type="spellEnd"/>
            <w:r w:rsidRPr="00B41599">
              <w:rPr>
                <w:rFonts w:ascii="Lucida Bright" w:hAnsi="Lucida Bright" w:cs="Calibri"/>
                <w:sz w:val="14"/>
                <w:szCs w:val="14"/>
                <w:lang w:val="es-ES"/>
              </w:rPr>
              <w:t xml:space="preserve"> recibido</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1.432.000,00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1.025.000,00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14.c</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color w:val="FFFFFF"/>
                <w:sz w:val="14"/>
                <w:szCs w:val="14"/>
                <w:lang w:val="es-ES"/>
              </w:rPr>
            </w:pPr>
            <w:r w:rsidRPr="00B41599">
              <w:rPr>
                <w:rFonts w:ascii="Lucida Bright" w:hAnsi="Lucida Bright" w:cs="Calibri"/>
                <w:b/>
                <w:bCs/>
                <w:color w:val="FFFFFF"/>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6. Gastos de personal</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(16.320.170,54)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(14.751.047,15)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a) Sueldos, salarios y asimilados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(11.591.259,27)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(10.681.808,85)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b) Indemnizaciones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(20.302,51)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c) Cargas sociales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(4.708.608,76)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(4.093.316,45)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d) Provisiones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24.078,15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7. Otros gastos de explotación</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(33.406.370,23)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(35.522.419,31)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a) Servicios exteriores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(28.437.383,68)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(23.107.460,06)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300" w:firstLine="420"/>
              <w:rPr>
                <w:rFonts w:ascii="Lucida Bright" w:hAnsi="Lucida Bright" w:cs="Calibri"/>
                <w:i/>
                <w:iCs/>
                <w:sz w:val="14"/>
                <w:szCs w:val="14"/>
                <w:lang w:val="es-ES"/>
              </w:rPr>
            </w:pPr>
            <w:r w:rsidRPr="00B41599">
              <w:rPr>
                <w:rFonts w:ascii="Lucida Bright" w:hAnsi="Lucida Bright" w:cs="Calibri"/>
                <w:i/>
                <w:iCs/>
                <w:sz w:val="14"/>
                <w:szCs w:val="14"/>
                <w:lang w:val="es-ES"/>
              </w:rPr>
              <w:t>1. Reparaciones y conservación</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(13.845.406,11)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(9.963.902,24)  </w:t>
            </w:r>
          </w:p>
        </w:tc>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300" w:firstLine="420"/>
              <w:rPr>
                <w:rFonts w:ascii="Lucida Bright" w:hAnsi="Lucida Bright" w:cs="Calibri"/>
                <w:i/>
                <w:iCs/>
                <w:sz w:val="14"/>
                <w:szCs w:val="14"/>
                <w:lang w:val="es-ES"/>
              </w:rPr>
            </w:pPr>
            <w:r w:rsidRPr="00B41599">
              <w:rPr>
                <w:rFonts w:ascii="Lucida Bright" w:hAnsi="Lucida Bright" w:cs="Calibri"/>
                <w:i/>
                <w:iCs/>
                <w:sz w:val="14"/>
                <w:szCs w:val="14"/>
                <w:lang w:val="es-ES"/>
              </w:rPr>
              <w:t>2. Servicios de profesionales independientes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(2.601.155,62)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(2.519.597,24)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300" w:firstLine="420"/>
              <w:rPr>
                <w:rFonts w:ascii="Lucida Bright" w:hAnsi="Lucida Bright" w:cs="Calibri"/>
                <w:i/>
                <w:iCs/>
                <w:sz w:val="14"/>
                <w:szCs w:val="14"/>
                <w:lang w:val="es-ES"/>
              </w:rPr>
            </w:pPr>
            <w:r w:rsidRPr="00B41599">
              <w:rPr>
                <w:rFonts w:ascii="Lucida Bright" w:hAnsi="Lucida Bright" w:cs="Calibri"/>
                <w:i/>
                <w:iCs/>
                <w:sz w:val="14"/>
                <w:szCs w:val="14"/>
                <w:lang w:val="es-ES"/>
              </w:rPr>
              <w:t>3. Suministros y consumos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(4.957.226,81)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(4.480.616,48)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300" w:firstLine="420"/>
              <w:rPr>
                <w:rFonts w:ascii="Lucida Bright" w:hAnsi="Lucida Bright" w:cs="Calibri"/>
                <w:i/>
                <w:iCs/>
                <w:sz w:val="14"/>
                <w:szCs w:val="14"/>
                <w:lang w:val="es-ES"/>
              </w:rPr>
            </w:pPr>
            <w:r w:rsidRPr="00B41599">
              <w:rPr>
                <w:rFonts w:ascii="Lucida Bright" w:hAnsi="Lucida Bright" w:cs="Calibri"/>
                <w:i/>
                <w:iCs/>
                <w:sz w:val="14"/>
                <w:szCs w:val="14"/>
                <w:lang w:val="es-ES"/>
              </w:rPr>
              <w:t>4. Otros servicios exteriores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(7.033.595,14)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i/>
                <w:iCs/>
                <w:sz w:val="14"/>
                <w:szCs w:val="14"/>
                <w:lang w:val="es-ES"/>
              </w:rPr>
            </w:pPr>
            <w:r w:rsidRPr="00B41599">
              <w:rPr>
                <w:rFonts w:ascii="Lucida Bright" w:hAnsi="Lucida Bright" w:cs="Calibri"/>
                <w:i/>
                <w:iCs/>
                <w:sz w:val="14"/>
                <w:szCs w:val="14"/>
                <w:lang w:val="es-ES"/>
              </w:rPr>
              <w:t xml:space="preserve">(6.143.344,10)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b) Tributos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(1.282.787,19)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(1.148.117,80)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c) Pérdidas, deterioro y variación de provisiones por operaciones comerciales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(443.619,02)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(413.244,89)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d) Otros gastos de gestión corriente</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(761.744,23)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(8.565.780,13)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14.a</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e) Aportación a Puertos del Estado art. 19.1.b) TRLPEMM</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(1.022.836,11)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(984.816,43)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 xml:space="preserve">f) Fondo de Compensación </w:t>
            </w:r>
            <w:proofErr w:type="spellStart"/>
            <w:r w:rsidRPr="00B41599">
              <w:rPr>
                <w:rFonts w:ascii="Lucida Bright" w:hAnsi="Lucida Bright" w:cs="Calibri"/>
                <w:sz w:val="14"/>
                <w:szCs w:val="14"/>
                <w:lang w:val="es-ES"/>
              </w:rPr>
              <w:t>Interportuario</w:t>
            </w:r>
            <w:proofErr w:type="spellEnd"/>
            <w:r w:rsidRPr="00B41599">
              <w:rPr>
                <w:rFonts w:ascii="Lucida Bright" w:hAnsi="Lucida Bright" w:cs="Calibri"/>
                <w:sz w:val="14"/>
                <w:szCs w:val="14"/>
                <w:lang w:val="es-ES"/>
              </w:rPr>
              <w:t xml:space="preserve"> aportado</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(1.458.000,00)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(1.303.000,00)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14.c</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8. Amortizaciones del inmovilizado</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(19.348.744,55)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(18.532.515,35)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9. Imputación de subvenciones de inmovilizado no financiero y otras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969.362,82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942.332,47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11</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10. Excesos de provisiones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0" w:type="auto"/>
            <w:tcBorders>
              <w:top w:val="nil"/>
              <w:left w:val="nil"/>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462.941,70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11. Deterioro y resultado por enajenaciones del inmovilizado</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(398.372,74)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542.487,87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a) Deterioros y pérdidas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0" w:type="auto"/>
            <w:tcBorders>
              <w:top w:val="nil"/>
              <w:left w:val="nil"/>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b) Resultados por enajenaciones y otras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(398.372,74)  </w:t>
            </w:r>
          </w:p>
        </w:tc>
        <w:tc>
          <w:tcPr>
            <w:tcW w:w="0" w:type="auto"/>
            <w:tcBorders>
              <w:top w:val="nil"/>
              <w:left w:val="nil"/>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542.487,87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12. Otros resultados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(100,00)  </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28.792,88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a) Ingresos excepcionales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0" w:type="auto"/>
            <w:tcBorders>
              <w:top w:val="nil"/>
              <w:left w:val="nil"/>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28.792,88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b) Gastos excepcionales</w:t>
            </w:r>
          </w:p>
        </w:tc>
        <w:tc>
          <w:tcPr>
            <w:tcW w:w="0" w:type="auto"/>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(100,00)  </w:t>
            </w:r>
          </w:p>
        </w:tc>
        <w:tc>
          <w:tcPr>
            <w:tcW w:w="0" w:type="auto"/>
            <w:tcBorders>
              <w:top w:val="nil"/>
              <w:left w:val="nil"/>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71"/>
        </w:trPr>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0" w:type="auto"/>
            <w:tcBorders>
              <w:top w:val="nil"/>
              <w:left w:val="nil"/>
              <w:bottom w:val="nil"/>
              <w:right w:val="nil"/>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p>
        </w:tc>
        <w:tc>
          <w:tcPr>
            <w:tcW w:w="0" w:type="auto"/>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188"/>
        </w:trPr>
        <w:tc>
          <w:tcPr>
            <w:tcW w:w="0" w:type="auto"/>
            <w:tcBorders>
              <w:top w:val="nil"/>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A.1. RESULTADO DE EXPLOTACIÓN (1+3+5+6+7+8+9+10+11+12)</w:t>
            </w:r>
          </w:p>
        </w:tc>
        <w:tc>
          <w:tcPr>
            <w:tcW w:w="0" w:type="auto"/>
            <w:tcBorders>
              <w:top w:val="nil"/>
              <w:left w:val="nil"/>
              <w:bottom w:val="single" w:sz="4" w:space="0" w:color="auto"/>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42.429.411,69  </w:t>
            </w:r>
          </w:p>
        </w:tc>
        <w:tc>
          <w:tcPr>
            <w:tcW w:w="0" w:type="auto"/>
            <w:tcBorders>
              <w:top w:val="nil"/>
              <w:left w:val="nil"/>
              <w:bottom w:val="single" w:sz="4" w:space="0" w:color="auto"/>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32.663.502,97  </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bl>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tbl>
      <w:tblPr>
        <w:tblW w:w="8652" w:type="dxa"/>
        <w:tblInd w:w="65" w:type="dxa"/>
        <w:tblLayout w:type="fixed"/>
        <w:tblCellMar>
          <w:left w:w="70" w:type="dxa"/>
          <w:right w:w="70" w:type="dxa"/>
        </w:tblCellMar>
        <w:tblLook w:val="04A0" w:firstRow="1" w:lastRow="0" w:firstColumn="1" w:lastColumn="0" w:noHBand="0" w:noVBand="1"/>
      </w:tblPr>
      <w:tblGrid>
        <w:gridCol w:w="5392"/>
        <w:gridCol w:w="1276"/>
        <w:gridCol w:w="1275"/>
        <w:gridCol w:w="709"/>
      </w:tblGrid>
      <w:tr w:rsidR="00B41599" w:rsidRPr="00B41599" w:rsidTr="00B41599">
        <w:trPr>
          <w:trHeight w:val="210"/>
        </w:trPr>
        <w:tc>
          <w:tcPr>
            <w:tcW w:w="5392" w:type="dxa"/>
            <w:tcBorders>
              <w:top w:val="single" w:sz="4" w:space="0" w:color="auto"/>
              <w:left w:val="single" w:sz="4" w:space="0" w:color="auto"/>
              <w:bottom w:val="nil"/>
              <w:right w:val="single" w:sz="4" w:space="0" w:color="auto"/>
            </w:tcBorders>
            <w:shd w:val="clear" w:color="000000" w:fill="CCFFCC"/>
            <w:noWrap/>
            <w:vAlign w:val="bottom"/>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lastRenderedPageBreak/>
              <w:t> </w:t>
            </w:r>
          </w:p>
        </w:tc>
        <w:tc>
          <w:tcPr>
            <w:tcW w:w="2551"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(Debe) Haber</w:t>
            </w:r>
          </w:p>
        </w:tc>
        <w:tc>
          <w:tcPr>
            <w:tcW w:w="709" w:type="dxa"/>
            <w:tcBorders>
              <w:top w:val="single" w:sz="4" w:space="0" w:color="auto"/>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 </w:t>
            </w:r>
          </w:p>
        </w:tc>
      </w:tr>
      <w:tr w:rsidR="00B41599" w:rsidRPr="00B41599" w:rsidTr="00B41599">
        <w:trPr>
          <w:trHeight w:val="210"/>
        </w:trPr>
        <w:tc>
          <w:tcPr>
            <w:tcW w:w="5392" w:type="dxa"/>
            <w:tcBorders>
              <w:top w:val="nil"/>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 </w:t>
            </w:r>
          </w:p>
        </w:tc>
        <w:tc>
          <w:tcPr>
            <w:tcW w:w="1276" w:type="dxa"/>
            <w:tcBorders>
              <w:top w:val="nil"/>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2023</w:t>
            </w:r>
          </w:p>
        </w:tc>
        <w:tc>
          <w:tcPr>
            <w:tcW w:w="1275" w:type="dxa"/>
            <w:tcBorders>
              <w:top w:val="nil"/>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2022</w:t>
            </w:r>
          </w:p>
        </w:tc>
        <w:tc>
          <w:tcPr>
            <w:tcW w:w="709" w:type="dxa"/>
            <w:tcBorders>
              <w:top w:val="nil"/>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Notas</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12. Ingresos financieros</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4.996.788,79  </w:t>
            </w:r>
          </w:p>
        </w:tc>
        <w:tc>
          <w:tcPr>
            <w:tcW w:w="1275"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208.314,76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14.b</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a) De participaciones en instrumentos de patrimonio</w:t>
            </w:r>
          </w:p>
        </w:tc>
        <w:tc>
          <w:tcPr>
            <w:tcW w:w="1276" w:type="dxa"/>
            <w:tcBorders>
              <w:top w:val="nil"/>
              <w:left w:val="nil"/>
              <w:bottom w:val="nil"/>
              <w:right w:val="single" w:sz="4" w:space="0" w:color="auto"/>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275" w:type="dxa"/>
            <w:tcBorders>
              <w:top w:val="nil"/>
              <w:left w:val="nil"/>
              <w:bottom w:val="nil"/>
              <w:right w:val="nil"/>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b) De valores negociables y otros instrumentos financieros</w:t>
            </w:r>
          </w:p>
        </w:tc>
        <w:tc>
          <w:tcPr>
            <w:tcW w:w="1276" w:type="dxa"/>
            <w:tcBorders>
              <w:top w:val="nil"/>
              <w:left w:val="nil"/>
              <w:bottom w:val="nil"/>
              <w:right w:val="single" w:sz="4" w:space="0" w:color="auto"/>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4.996.788,79  </w:t>
            </w:r>
          </w:p>
        </w:tc>
        <w:tc>
          <w:tcPr>
            <w:tcW w:w="1275" w:type="dxa"/>
            <w:tcBorders>
              <w:top w:val="nil"/>
              <w:left w:val="nil"/>
              <w:bottom w:val="nil"/>
              <w:right w:val="nil"/>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208.314,76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c) Incorporación al activo de gastos financieros</w:t>
            </w:r>
          </w:p>
        </w:tc>
        <w:tc>
          <w:tcPr>
            <w:tcW w:w="1276" w:type="dxa"/>
            <w:tcBorders>
              <w:top w:val="nil"/>
              <w:left w:val="nil"/>
              <w:bottom w:val="nil"/>
              <w:right w:val="single" w:sz="4" w:space="0" w:color="auto"/>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275" w:type="dxa"/>
            <w:tcBorders>
              <w:top w:val="nil"/>
              <w:left w:val="nil"/>
              <w:bottom w:val="nil"/>
              <w:right w:val="nil"/>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13. Gastos financieros</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(366.112,01)  </w:t>
            </w:r>
          </w:p>
        </w:tc>
        <w:tc>
          <w:tcPr>
            <w:tcW w:w="1275"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(64.222,33)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093913" w:rsidP="00B41599">
            <w:pPr>
              <w:jc w:val="center"/>
              <w:rPr>
                <w:rFonts w:ascii="Calibri" w:hAnsi="Calibri" w:cs="Calibri"/>
                <w:color w:val="000000"/>
                <w:sz w:val="14"/>
                <w:szCs w:val="14"/>
                <w:lang w:val="es-ES"/>
              </w:rPr>
            </w:pPr>
            <w:r>
              <w:rPr>
                <w:rFonts w:ascii="Lucida Bright" w:hAnsi="Lucida Bright" w:cs="Calibri"/>
                <w:color w:val="000000"/>
                <w:sz w:val="14"/>
                <w:szCs w:val="14"/>
                <w:lang w:val="es-ES"/>
              </w:rPr>
              <w:t>14.a</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a) Por deudas con terceros</w:t>
            </w:r>
          </w:p>
        </w:tc>
        <w:tc>
          <w:tcPr>
            <w:tcW w:w="1276" w:type="dxa"/>
            <w:tcBorders>
              <w:top w:val="nil"/>
              <w:left w:val="nil"/>
              <w:bottom w:val="nil"/>
              <w:right w:val="single" w:sz="4" w:space="0" w:color="auto"/>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(2.909,60)  </w:t>
            </w:r>
          </w:p>
        </w:tc>
        <w:tc>
          <w:tcPr>
            <w:tcW w:w="1275" w:type="dxa"/>
            <w:tcBorders>
              <w:top w:val="nil"/>
              <w:left w:val="nil"/>
              <w:bottom w:val="nil"/>
              <w:right w:val="nil"/>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(2.183,37)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b) Por actualización de provisiones</w:t>
            </w:r>
          </w:p>
        </w:tc>
        <w:tc>
          <w:tcPr>
            <w:tcW w:w="1276" w:type="dxa"/>
            <w:tcBorders>
              <w:top w:val="nil"/>
              <w:left w:val="nil"/>
              <w:bottom w:val="nil"/>
              <w:right w:val="single" w:sz="4" w:space="0" w:color="auto"/>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(363.202,41)  </w:t>
            </w:r>
          </w:p>
        </w:tc>
        <w:tc>
          <w:tcPr>
            <w:tcW w:w="1275" w:type="dxa"/>
            <w:tcBorders>
              <w:top w:val="nil"/>
              <w:left w:val="nil"/>
              <w:bottom w:val="nil"/>
              <w:right w:val="nil"/>
            </w:tcBorders>
            <w:shd w:val="clear" w:color="auto" w:fill="auto"/>
            <w:noWrap/>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(62.038,96)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14. Variación de valor razonable en instrumentos financieros</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rPr>
                <w:rFonts w:ascii="Lucida Bright" w:hAnsi="Lucida Bright" w:cs="Calibri"/>
                <w:b/>
                <w:bCs/>
                <w:sz w:val="14"/>
                <w:szCs w:val="14"/>
                <w:lang w:val="es-ES"/>
              </w:rPr>
            </w:pP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16. Deterioro y resultado por enajenaciones de instrumentos financieros</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(9.713,29)  </w:t>
            </w:r>
          </w:p>
        </w:tc>
        <w:tc>
          <w:tcPr>
            <w:tcW w:w="1275"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a) Deterioros y pérdidas.</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(9.713,29)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ind w:firstLineChars="200" w:firstLine="280"/>
              <w:rPr>
                <w:rFonts w:ascii="Lucida Bright" w:hAnsi="Lucida Bright" w:cs="Calibri"/>
                <w:sz w:val="14"/>
                <w:szCs w:val="14"/>
                <w:lang w:val="es-ES"/>
              </w:rPr>
            </w:pPr>
            <w:r w:rsidRPr="00B41599">
              <w:rPr>
                <w:rFonts w:ascii="Lucida Bright" w:hAnsi="Lucida Bright" w:cs="Calibri"/>
                <w:sz w:val="14"/>
                <w:szCs w:val="14"/>
                <w:lang w:val="es-ES"/>
              </w:rPr>
              <w:t>b) Resultados por enajenaciones y otras</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A.2. RESULTADO FINANCIERO (12+13+14+16)</w:t>
            </w:r>
          </w:p>
        </w:tc>
        <w:tc>
          <w:tcPr>
            <w:tcW w:w="1276" w:type="dxa"/>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4.620.963,49  </w:t>
            </w:r>
          </w:p>
        </w:tc>
        <w:tc>
          <w:tcPr>
            <w:tcW w:w="1275" w:type="dxa"/>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144.092,43  </w:t>
            </w:r>
          </w:p>
        </w:tc>
        <w:tc>
          <w:tcPr>
            <w:tcW w:w="709" w:type="dxa"/>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A.3. RESULTADO ANTES DE IMPUESTOS (A.1+A.2)</w:t>
            </w:r>
          </w:p>
        </w:tc>
        <w:tc>
          <w:tcPr>
            <w:tcW w:w="1276" w:type="dxa"/>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47.050.375,18  </w:t>
            </w:r>
          </w:p>
        </w:tc>
        <w:tc>
          <w:tcPr>
            <w:tcW w:w="1275" w:type="dxa"/>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32.807.595,40  </w:t>
            </w:r>
          </w:p>
        </w:tc>
        <w:tc>
          <w:tcPr>
            <w:tcW w:w="709" w:type="dxa"/>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ind w:firstLineChars="100" w:firstLine="141"/>
              <w:rPr>
                <w:rFonts w:ascii="Lucida Bright" w:hAnsi="Lucida Bright" w:cs="Calibri"/>
                <w:b/>
                <w:bCs/>
                <w:sz w:val="14"/>
                <w:szCs w:val="14"/>
                <w:lang w:val="es-ES"/>
              </w:rPr>
            </w:pPr>
            <w:r w:rsidRPr="00B41599">
              <w:rPr>
                <w:rFonts w:ascii="Lucida Bright" w:hAnsi="Lucida Bright" w:cs="Calibri"/>
                <w:b/>
                <w:bCs/>
                <w:sz w:val="14"/>
                <w:szCs w:val="14"/>
                <w:lang w:val="es-ES"/>
              </w:rPr>
              <w:t>17. Impuesto sobre beneficios</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(38.268,16)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133.510,76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093913" w:rsidP="00B41599">
            <w:pPr>
              <w:jc w:val="center"/>
              <w:rPr>
                <w:rFonts w:ascii="Calibri" w:hAnsi="Calibri" w:cs="Calibri"/>
                <w:color w:val="000000"/>
                <w:sz w:val="14"/>
                <w:szCs w:val="14"/>
                <w:lang w:val="es-ES"/>
              </w:rPr>
            </w:pPr>
            <w:r>
              <w:rPr>
                <w:rFonts w:ascii="Lucida Bright" w:hAnsi="Lucida Bright" w:cs="Calibri"/>
                <w:color w:val="000000"/>
                <w:sz w:val="14"/>
                <w:szCs w:val="14"/>
                <w:lang w:val="es-ES"/>
              </w:rPr>
              <w:t>12</w:t>
            </w:r>
          </w:p>
        </w:tc>
      </w:tr>
      <w:tr w:rsidR="00B41599" w:rsidRPr="00B41599" w:rsidTr="00B41599">
        <w:trPr>
          <w:trHeight w:val="210"/>
        </w:trPr>
        <w:tc>
          <w:tcPr>
            <w:tcW w:w="5392" w:type="dxa"/>
            <w:tcBorders>
              <w:top w:val="nil"/>
              <w:left w:val="single" w:sz="4" w:space="0" w:color="auto"/>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276" w:type="dxa"/>
            <w:tcBorders>
              <w:top w:val="nil"/>
              <w:left w:val="nil"/>
              <w:bottom w:val="nil"/>
              <w:right w:val="single" w:sz="4" w:space="0" w:color="auto"/>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275" w:type="dxa"/>
            <w:tcBorders>
              <w:top w:val="nil"/>
              <w:left w:val="nil"/>
              <w:bottom w:val="nil"/>
              <w:right w:val="nil"/>
            </w:tcBorders>
            <w:shd w:val="clear" w:color="auto" w:fill="auto"/>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709" w:type="dxa"/>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r>
      <w:tr w:rsidR="00B41599" w:rsidRPr="00B41599" w:rsidTr="00B41599">
        <w:trPr>
          <w:trHeight w:val="210"/>
        </w:trPr>
        <w:tc>
          <w:tcPr>
            <w:tcW w:w="539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A.4. RESULTADO DEL EJERCICIO (A.3+17)</w:t>
            </w:r>
          </w:p>
        </w:tc>
        <w:tc>
          <w:tcPr>
            <w:tcW w:w="1276" w:type="dxa"/>
            <w:tcBorders>
              <w:top w:val="single" w:sz="4" w:space="0" w:color="auto"/>
              <w:left w:val="nil"/>
              <w:bottom w:val="single" w:sz="4" w:space="0" w:color="auto"/>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47.012.107,02  </w:t>
            </w:r>
          </w:p>
        </w:tc>
        <w:tc>
          <w:tcPr>
            <w:tcW w:w="127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32.941.106,16  </w:t>
            </w:r>
          </w:p>
        </w:tc>
        <w:tc>
          <w:tcPr>
            <w:tcW w:w="709" w:type="dxa"/>
            <w:tcBorders>
              <w:top w:val="single" w:sz="4" w:space="0" w:color="auto"/>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4"/>
                <w:szCs w:val="14"/>
                <w:lang w:val="es-ES"/>
              </w:rPr>
            </w:pPr>
            <w:r w:rsidRPr="00B41599">
              <w:rPr>
                <w:rFonts w:ascii="Lucida Bright" w:hAnsi="Lucida Bright" w:cs="Calibri"/>
                <w:b/>
                <w:bCs/>
                <w:sz w:val="14"/>
                <w:szCs w:val="14"/>
                <w:lang w:val="es-ES"/>
              </w:rPr>
              <w:t> </w:t>
            </w:r>
          </w:p>
        </w:tc>
      </w:tr>
    </w:tbl>
    <w:p w:rsidR="00ED3379" w:rsidRDefault="00ED3379" w:rsidP="00E13AD1">
      <w:pPr>
        <w:rPr>
          <w:lang w:val="es-ES"/>
        </w:rPr>
      </w:pPr>
      <w:r>
        <w:fldChar w:fldCharType="begin"/>
      </w:r>
      <w:r>
        <w:instrText xml:space="preserve"> LINK </w:instrText>
      </w:r>
      <w:r w:rsidR="00D24A8A">
        <w:instrText xml:space="preserve">Excel.Sheet.12 "C:\\Users\\rnavarro\\Desktop\\MARGA POMAR\\CUENTAS ANUALES 2021\\_b. Pérdidas y Ganancias (1).xlsx" "_b. Pérdidas y Ganancias1!F67C1:F91C4" </w:instrText>
      </w:r>
      <w:r>
        <w:instrText xml:space="preserve">\a \f 4 \h  \* MERGEFORMAT </w:instrText>
      </w:r>
      <w:r>
        <w:fldChar w:fldCharType="separate"/>
      </w:r>
    </w:p>
    <w:p w:rsidR="00133B47" w:rsidRDefault="00ED3379" w:rsidP="00E13AD1">
      <w:pPr>
        <w:rPr>
          <w:lang w:val="es-ES"/>
        </w:rPr>
      </w:pPr>
      <w:r>
        <w:rPr>
          <w:sz w:val="18"/>
        </w:rPr>
        <w:fldChar w:fldCharType="end"/>
      </w:r>
      <w:r w:rsidR="00133B47">
        <w:rPr>
          <w:sz w:val="18"/>
        </w:rPr>
        <w:fldChar w:fldCharType="begin"/>
      </w:r>
      <w:r w:rsidR="00133B47">
        <w:rPr>
          <w:sz w:val="18"/>
        </w:rPr>
        <w:instrText xml:space="preserve"> LINK </w:instrText>
      </w:r>
      <w:r w:rsidR="00D24A8A">
        <w:rPr>
          <w:sz w:val="18"/>
        </w:rPr>
        <w:instrText xml:space="preserve">Excel.Sheet.12 "C:\\Users\\rnavarro\\Desktop\\MARGA POMAR\\CUENTAS ANUALES 2021\\_b. Pérdidas y Ganancias (1).xlsx" "_b. Pérdidas y Ganancias1!F67C1:F91C4" </w:instrText>
      </w:r>
      <w:r w:rsidR="00133B47">
        <w:rPr>
          <w:sz w:val="18"/>
        </w:rPr>
        <w:instrText xml:space="preserve">\a \f 4 \h  \* MERGEFORMAT </w:instrText>
      </w:r>
      <w:r w:rsidR="00133B47">
        <w:rPr>
          <w:sz w:val="18"/>
        </w:rPr>
        <w:fldChar w:fldCharType="separate"/>
      </w:r>
    </w:p>
    <w:p w:rsidR="003C56C8" w:rsidRPr="00ED3379" w:rsidRDefault="00133B47" w:rsidP="00E13AD1">
      <w:pPr>
        <w:rPr>
          <w:sz w:val="18"/>
        </w:rPr>
      </w:pPr>
      <w:r>
        <w:rPr>
          <w:sz w:val="18"/>
        </w:rPr>
        <w:fldChar w:fldCharType="end"/>
      </w: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Pr="00ED3379" w:rsidRDefault="003C56C8" w:rsidP="00E13AD1">
      <w:pPr>
        <w:rPr>
          <w:sz w:val="18"/>
        </w:rPr>
      </w:pPr>
    </w:p>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3C56C8" w:rsidRDefault="003C56C8" w:rsidP="00E13AD1"/>
    <w:p w:rsidR="006C4DD8" w:rsidRDefault="006C4DD8" w:rsidP="00E13AD1"/>
    <w:p w:rsidR="003C56C8" w:rsidRDefault="003C56C8" w:rsidP="00E13AD1">
      <w:pPr>
        <w:rPr>
          <w:rFonts w:ascii="Lucida Bright" w:hAnsi="Lucida Bright"/>
          <w:b/>
          <w:bCs/>
          <w:sz w:val="22"/>
          <w:szCs w:val="22"/>
        </w:rPr>
      </w:pPr>
    </w:p>
    <w:p w:rsidR="00CD3595" w:rsidRDefault="00CD3595" w:rsidP="00E13AD1">
      <w:pPr>
        <w:rPr>
          <w:rFonts w:ascii="Lucida Bright" w:hAnsi="Lucida Bright"/>
          <w:b/>
          <w:bCs/>
          <w:sz w:val="22"/>
          <w:szCs w:val="22"/>
        </w:rPr>
      </w:pPr>
    </w:p>
    <w:p w:rsidR="00B24377" w:rsidRDefault="00B24377" w:rsidP="00E13AD1">
      <w:pPr>
        <w:rPr>
          <w:rFonts w:ascii="Lucida Bright" w:hAnsi="Lucida Bright"/>
          <w:b/>
          <w:bCs/>
          <w:sz w:val="22"/>
          <w:szCs w:val="22"/>
        </w:rPr>
        <w:sectPr w:rsidR="00B24377" w:rsidSect="00F52C1B">
          <w:headerReference w:type="default" r:id="rId16"/>
          <w:footerReference w:type="default" r:id="rId17"/>
          <w:pgSz w:w="11907" w:h="16840" w:code="9"/>
          <w:pgMar w:top="1701" w:right="1418" w:bottom="1701" w:left="1985" w:header="567" w:footer="397" w:gutter="0"/>
          <w:cols w:space="720"/>
          <w:docGrid w:linePitch="272"/>
        </w:sectPr>
      </w:pPr>
    </w:p>
    <w:tbl>
      <w:tblPr>
        <w:tblW w:w="4960" w:type="pct"/>
        <w:tblCellMar>
          <w:left w:w="70" w:type="dxa"/>
          <w:right w:w="70" w:type="dxa"/>
        </w:tblCellMar>
        <w:tblLook w:val="04A0" w:firstRow="1" w:lastRow="0" w:firstColumn="1" w:lastColumn="0" w:noHBand="0" w:noVBand="1"/>
      </w:tblPr>
      <w:tblGrid>
        <w:gridCol w:w="8462"/>
        <w:gridCol w:w="308"/>
        <w:gridCol w:w="1702"/>
        <w:gridCol w:w="1702"/>
        <w:gridCol w:w="991"/>
        <w:gridCol w:w="304"/>
      </w:tblGrid>
      <w:tr w:rsidR="00B41599" w:rsidRPr="00B41599" w:rsidTr="00B41599">
        <w:trPr>
          <w:trHeight w:val="164"/>
        </w:trPr>
        <w:tc>
          <w:tcPr>
            <w:tcW w:w="5000" w:type="pct"/>
            <w:gridSpan w:val="6"/>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b/>
                <w:bCs/>
                <w:lang w:val="es-ES"/>
              </w:rPr>
            </w:pPr>
            <w:r w:rsidRPr="00B41599">
              <w:rPr>
                <w:rFonts w:ascii="Lucida Bright" w:hAnsi="Lucida Bright" w:cs="Calibri"/>
                <w:b/>
                <w:bCs/>
                <w:lang w:val="es-ES"/>
              </w:rPr>
              <w:lastRenderedPageBreak/>
              <w:t>Estado de cambios en el patrimonio neto correspondiente al ejercicio terminado el 31-12-23</w:t>
            </w:r>
          </w:p>
        </w:tc>
      </w:tr>
      <w:tr w:rsidR="00B41599" w:rsidRPr="00B41599" w:rsidTr="00B41599">
        <w:trPr>
          <w:trHeight w:val="164"/>
        </w:trPr>
        <w:tc>
          <w:tcPr>
            <w:tcW w:w="3141"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lang w:val="es-ES"/>
              </w:rPr>
            </w:pPr>
            <w:r w:rsidRPr="00B41599">
              <w:rPr>
                <w:rFonts w:ascii="Lucida Bright" w:hAnsi="Lucida Bright" w:cs="Calibri"/>
                <w:b/>
                <w:bCs/>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lang w:val="es-ES"/>
              </w:rPr>
            </w:pPr>
            <w:r w:rsidRPr="00B41599">
              <w:rPr>
                <w:rFonts w:ascii="Lucida Bright" w:hAnsi="Lucida Bright" w:cs="Calibri"/>
                <w:b/>
                <w:bCs/>
                <w:lang w:val="es-ES"/>
              </w:rPr>
              <w:t> </w:t>
            </w:r>
          </w:p>
        </w:tc>
        <w:tc>
          <w:tcPr>
            <w:tcW w:w="632"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lang w:val="es-ES"/>
              </w:rPr>
            </w:pPr>
            <w:r w:rsidRPr="00B41599">
              <w:rPr>
                <w:rFonts w:ascii="Lucida Bright" w:hAnsi="Lucida Bright" w:cs="Calibri"/>
                <w:lang w:val="es-ES"/>
              </w:rPr>
              <w:t> </w:t>
            </w:r>
          </w:p>
        </w:tc>
        <w:tc>
          <w:tcPr>
            <w:tcW w:w="632" w:type="pct"/>
            <w:tcBorders>
              <w:top w:val="nil"/>
              <w:left w:val="nil"/>
              <w:bottom w:val="nil"/>
              <w:right w:val="nil"/>
            </w:tcBorders>
            <w:shd w:val="clear" w:color="000000" w:fill="FFFFFF"/>
            <w:noWrap/>
            <w:vAlign w:val="bottom"/>
            <w:hideMark/>
          </w:tcPr>
          <w:p w:rsidR="00B41599" w:rsidRPr="00B41599" w:rsidRDefault="00B41599" w:rsidP="00B41599">
            <w:pPr>
              <w:jc w:val="right"/>
              <w:rPr>
                <w:rFonts w:ascii="Lucida Bright" w:hAnsi="Lucida Bright" w:cs="Calibri"/>
                <w:sz w:val="24"/>
                <w:szCs w:val="24"/>
                <w:lang w:val="es-ES"/>
              </w:rPr>
            </w:pPr>
            <w:r w:rsidRPr="00B41599">
              <w:rPr>
                <w:rFonts w:ascii="Lucida Bright" w:hAnsi="Lucida Bright" w:cs="Calibri"/>
                <w:sz w:val="24"/>
                <w:szCs w:val="24"/>
                <w:lang w:val="es-ES"/>
              </w:rPr>
              <w:t> </w:t>
            </w:r>
          </w:p>
        </w:tc>
        <w:tc>
          <w:tcPr>
            <w:tcW w:w="368"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b/>
                <w:bCs/>
                <w:lang w:val="es-ES"/>
              </w:rPr>
            </w:pPr>
            <w:r w:rsidRPr="00B41599">
              <w:rPr>
                <w:rFonts w:ascii="Tahoma" w:hAnsi="Tahoma" w:cs="Tahoma"/>
                <w:b/>
                <w:bCs/>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b/>
                <w:bCs/>
                <w:lang w:val="es-ES"/>
              </w:rPr>
            </w:pPr>
            <w:r w:rsidRPr="00B41599">
              <w:rPr>
                <w:rFonts w:ascii="Tahoma" w:hAnsi="Tahoma" w:cs="Tahoma"/>
                <w:b/>
                <w:bCs/>
                <w:lang w:val="es-ES"/>
              </w:rPr>
              <w:t> </w:t>
            </w:r>
          </w:p>
        </w:tc>
      </w:tr>
      <w:tr w:rsidR="00B41599" w:rsidRPr="00B41599" w:rsidTr="00B41599">
        <w:trPr>
          <w:trHeight w:val="164"/>
        </w:trPr>
        <w:tc>
          <w:tcPr>
            <w:tcW w:w="5000" w:type="pct"/>
            <w:gridSpan w:val="6"/>
            <w:tcBorders>
              <w:top w:val="nil"/>
              <w:left w:val="nil"/>
              <w:bottom w:val="nil"/>
              <w:right w:val="nil"/>
            </w:tcBorders>
            <w:shd w:val="clear" w:color="000000" w:fill="FFFFFF"/>
            <w:vAlign w:val="center"/>
            <w:hideMark/>
          </w:tcPr>
          <w:p w:rsidR="00B41599" w:rsidRPr="00B41599" w:rsidRDefault="00B41599" w:rsidP="00B41599">
            <w:pPr>
              <w:rPr>
                <w:rFonts w:ascii="Lucida Bright" w:hAnsi="Lucida Bright" w:cs="Calibri"/>
                <w:b/>
                <w:bCs/>
                <w:lang w:val="es-ES"/>
              </w:rPr>
            </w:pPr>
            <w:r w:rsidRPr="00B41599">
              <w:rPr>
                <w:rFonts w:ascii="Lucida Bright" w:hAnsi="Lucida Bright" w:cs="Calibri"/>
                <w:b/>
                <w:bCs/>
                <w:lang w:val="es-ES"/>
              </w:rPr>
              <w:t>A) Estado de ingresos y gastos reconocidos correspondiente al ejercicio terminado el 31-12-23</w:t>
            </w:r>
          </w:p>
        </w:tc>
      </w:tr>
      <w:tr w:rsidR="00B41599" w:rsidRPr="00B41599" w:rsidTr="00B41599">
        <w:trPr>
          <w:trHeight w:val="234"/>
        </w:trPr>
        <w:tc>
          <w:tcPr>
            <w:tcW w:w="3141"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sz w:val="16"/>
                <w:szCs w:val="16"/>
                <w:lang w:val="es-ES"/>
              </w:rPr>
            </w:pPr>
            <w:r w:rsidRPr="00B41599">
              <w:rPr>
                <w:rFonts w:ascii="Lucida Bright" w:hAnsi="Lucida Bright" w:cs="Calibri"/>
                <w:sz w:val="16"/>
                <w:szCs w:val="16"/>
                <w:lang w:val="es-ES"/>
              </w:rPr>
              <w:t>(en euros)</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sz w:val="16"/>
                <w:szCs w:val="16"/>
                <w:lang w:val="es-ES"/>
              </w:rPr>
            </w:pPr>
            <w:r w:rsidRPr="00B41599">
              <w:rPr>
                <w:rFonts w:ascii="Lucida Bright" w:hAnsi="Lucida Bright" w:cs="Calibri"/>
                <w:sz w:val="16"/>
                <w:szCs w:val="16"/>
                <w:lang w:val="es-ES"/>
              </w:rPr>
              <w:t> </w:t>
            </w:r>
          </w:p>
        </w:tc>
        <w:tc>
          <w:tcPr>
            <w:tcW w:w="632"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lang w:val="es-ES"/>
              </w:rPr>
            </w:pPr>
            <w:r w:rsidRPr="00B41599">
              <w:rPr>
                <w:rFonts w:ascii="Lucida Bright" w:hAnsi="Lucida Bright" w:cs="Calibri"/>
                <w:lang w:val="es-ES"/>
              </w:rPr>
              <w:t> </w:t>
            </w:r>
          </w:p>
        </w:tc>
        <w:tc>
          <w:tcPr>
            <w:tcW w:w="632"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24"/>
                <w:szCs w:val="24"/>
                <w:lang w:val="es-ES"/>
              </w:rPr>
            </w:pPr>
            <w:r w:rsidRPr="00B41599">
              <w:rPr>
                <w:rFonts w:ascii="Lucida Bright" w:hAnsi="Lucida Bright" w:cs="Calibri"/>
                <w:b/>
                <w:bCs/>
                <w:sz w:val="24"/>
                <w:szCs w:val="24"/>
                <w:lang w:val="es-ES"/>
              </w:rPr>
              <w:t> </w:t>
            </w:r>
          </w:p>
        </w:tc>
        <w:tc>
          <w:tcPr>
            <w:tcW w:w="368" w:type="pct"/>
            <w:tcBorders>
              <w:top w:val="nil"/>
              <w:left w:val="nil"/>
              <w:bottom w:val="nil"/>
              <w:right w:val="nil"/>
            </w:tcBorders>
            <w:shd w:val="clear" w:color="000000" w:fill="FFFFFF"/>
            <w:noWrap/>
            <w:vAlign w:val="center"/>
            <w:hideMark/>
          </w:tcPr>
          <w:p w:rsidR="00B41599" w:rsidRPr="00B41599" w:rsidRDefault="00B41599" w:rsidP="00B41599">
            <w:pPr>
              <w:jc w:val="right"/>
              <w:rPr>
                <w:rFonts w:ascii="Tahoma" w:hAnsi="Tahoma" w:cs="Tahoma"/>
                <w:b/>
                <w:bCs/>
                <w:color w:val="FFFFFF"/>
                <w:lang w:val="es-ES"/>
              </w:rPr>
            </w:pPr>
            <w:r w:rsidRPr="00B41599">
              <w:rPr>
                <w:rFonts w:ascii="Tahoma" w:hAnsi="Tahoma" w:cs="Tahoma"/>
                <w:b/>
                <w:bCs/>
                <w:color w:val="FFFFFF"/>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b/>
                <w:bCs/>
                <w:lang w:val="es-ES"/>
              </w:rPr>
            </w:pPr>
            <w:r w:rsidRPr="00B41599">
              <w:rPr>
                <w:rFonts w:ascii="Tahoma" w:hAnsi="Tahoma" w:cs="Tahoma"/>
                <w:b/>
                <w:bCs/>
                <w:lang w:val="es-ES"/>
              </w:rPr>
              <w:t> </w:t>
            </w:r>
          </w:p>
        </w:tc>
      </w:tr>
      <w:tr w:rsidR="00B41599" w:rsidRPr="00B41599" w:rsidTr="00B41599">
        <w:trPr>
          <w:trHeight w:val="234"/>
        </w:trPr>
        <w:tc>
          <w:tcPr>
            <w:tcW w:w="3255" w:type="pct"/>
            <w:gridSpan w:val="2"/>
            <w:tcBorders>
              <w:top w:val="single" w:sz="4" w:space="0" w:color="auto"/>
              <w:left w:val="single" w:sz="4" w:space="0" w:color="auto"/>
              <w:bottom w:val="single" w:sz="4" w:space="0" w:color="auto"/>
              <w:right w:val="nil"/>
            </w:tcBorders>
            <w:shd w:val="clear" w:color="000000" w:fill="CCFFCC"/>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CONCEPTO</w:t>
            </w:r>
          </w:p>
        </w:tc>
        <w:tc>
          <w:tcPr>
            <w:tcW w:w="63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2023</w:t>
            </w:r>
          </w:p>
        </w:tc>
        <w:tc>
          <w:tcPr>
            <w:tcW w:w="632" w:type="pct"/>
            <w:tcBorders>
              <w:top w:val="single" w:sz="4" w:space="0" w:color="auto"/>
              <w:left w:val="nil"/>
              <w:bottom w:val="single" w:sz="4" w:space="0" w:color="auto"/>
              <w:right w:val="single" w:sz="4" w:space="0" w:color="auto"/>
            </w:tcBorders>
            <w:shd w:val="clear" w:color="000000" w:fill="CCFFCC"/>
            <w:noWrap/>
            <w:vAlign w:val="center"/>
            <w:hideMark/>
          </w:tcPr>
          <w:p w:rsidR="00B41599" w:rsidRPr="00B41599" w:rsidRDefault="00B41599" w:rsidP="00B41599">
            <w:pPr>
              <w:jc w:val="center"/>
              <w:rPr>
                <w:rFonts w:ascii="Lucida Bright" w:hAnsi="Lucida Bright" w:cs="Calibri"/>
                <w:b/>
                <w:bCs/>
                <w:sz w:val="18"/>
                <w:szCs w:val="18"/>
                <w:lang w:val="es-ES"/>
              </w:rPr>
            </w:pPr>
            <w:r w:rsidRPr="00B41599">
              <w:rPr>
                <w:rFonts w:ascii="Lucida Bright" w:hAnsi="Lucida Bright" w:cs="Calibri"/>
                <w:b/>
                <w:bCs/>
                <w:sz w:val="18"/>
                <w:szCs w:val="18"/>
                <w:lang w:val="es-ES"/>
              </w:rPr>
              <w:t>2022</w:t>
            </w:r>
          </w:p>
        </w:tc>
        <w:tc>
          <w:tcPr>
            <w:tcW w:w="368" w:type="pct"/>
            <w:tcBorders>
              <w:top w:val="single" w:sz="4" w:space="0" w:color="auto"/>
              <w:left w:val="nil"/>
              <w:bottom w:val="single" w:sz="4" w:space="0" w:color="auto"/>
              <w:right w:val="single" w:sz="4" w:space="0" w:color="auto"/>
            </w:tcBorders>
            <w:shd w:val="clear" w:color="000000" w:fill="CCFFCC"/>
            <w:noWrap/>
            <w:vAlign w:val="bottom"/>
            <w:hideMark/>
          </w:tcPr>
          <w:p w:rsidR="00B41599" w:rsidRPr="00B41599" w:rsidRDefault="00B41599" w:rsidP="00B41599">
            <w:pPr>
              <w:rPr>
                <w:rFonts w:ascii="Lucida Bright" w:hAnsi="Lucida Bright" w:cs="Calibri"/>
                <w:b/>
                <w:bCs/>
                <w:color w:val="000000"/>
                <w:sz w:val="18"/>
                <w:szCs w:val="18"/>
                <w:lang w:val="es-ES"/>
              </w:rPr>
            </w:pPr>
            <w:r w:rsidRPr="00B41599">
              <w:rPr>
                <w:rFonts w:ascii="Lucida Bright" w:hAnsi="Lucida Bright" w:cs="Calibri"/>
                <w:b/>
                <w:bCs/>
                <w:color w:val="000000"/>
                <w:sz w:val="18"/>
                <w:szCs w:val="18"/>
                <w:lang w:val="es-ES"/>
              </w:rPr>
              <w:t>Notas</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auto" w:fill="auto"/>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Calibri" w:hAnsi="Calibri" w:cs="Calibri"/>
                <w:color w:val="000000"/>
                <w:sz w:val="22"/>
                <w:szCs w:val="22"/>
                <w:lang w:val="es-ES"/>
              </w:rPr>
            </w:pPr>
            <w:r w:rsidRPr="00B41599">
              <w:rPr>
                <w:rFonts w:ascii="Calibri" w:hAnsi="Calibri" w:cs="Calibri"/>
                <w:color w:val="000000"/>
                <w:sz w:val="22"/>
                <w:szCs w:val="22"/>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234"/>
        </w:trPr>
        <w:tc>
          <w:tcPr>
            <w:tcW w:w="3255" w:type="pct"/>
            <w:gridSpan w:val="2"/>
            <w:tcBorders>
              <w:top w:val="nil"/>
              <w:left w:val="single" w:sz="4" w:space="0" w:color="auto"/>
              <w:bottom w:val="nil"/>
              <w:right w:val="nil"/>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A) Resultado de la cuenta de pérdidas y ganancias</w:t>
            </w:r>
          </w:p>
        </w:tc>
        <w:tc>
          <w:tcPr>
            <w:tcW w:w="632" w:type="pct"/>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47.012.107,02 </w:t>
            </w:r>
          </w:p>
        </w:tc>
        <w:tc>
          <w:tcPr>
            <w:tcW w:w="632" w:type="pct"/>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32.941.106,16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234"/>
        </w:trPr>
        <w:tc>
          <w:tcPr>
            <w:tcW w:w="3255" w:type="pct"/>
            <w:gridSpan w:val="2"/>
            <w:tcBorders>
              <w:top w:val="nil"/>
              <w:left w:val="single" w:sz="4" w:space="0" w:color="auto"/>
              <w:bottom w:val="nil"/>
              <w:right w:val="nil"/>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B) Ingresos y gastos imputados directamente al patrimonio neto (I+II+III+V)</w:t>
            </w:r>
          </w:p>
        </w:tc>
        <w:tc>
          <w:tcPr>
            <w:tcW w:w="632" w:type="pct"/>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897.120,44 </w:t>
            </w:r>
          </w:p>
        </w:tc>
        <w:tc>
          <w:tcPr>
            <w:tcW w:w="632" w:type="pct"/>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535.092,25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255" w:type="pct"/>
            <w:gridSpan w:val="2"/>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 Por valoración de instrumentos financieros</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Activos financieros a valor razonable con cambios en el patrimonio neto</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FF0000"/>
                <w:sz w:val="14"/>
                <w:szCs w:val="14"/>
                <w:lang w:val="es-ES"/>
              </w:rPr>
            </w:pPr>
            <w:r w:rsidRPr="00B41599">
              <w:rPr>
                <w:rFonts w:ascii="Lucida Bright" w:hAnsi="Lucida Bright" w:cs="Calibri"/>
                <w:color w:val="FF0000"/>
                <w:sz w:val="14"/>
                <w:szCs w:val="14"/>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Otros ingresos/gastos</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 Por coberturas de flujos de efectivos</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III. Subvenciones, donaciones y legados</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1.196.160,57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535.092,25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11</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 Efecto impositivo</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(299.040,13)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12</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234"/>
        </w:trPr>
        <w:tc>
          <w:tcPr>
            <w:tcW w:w="3255" w:type="pct"/>
            <w:gridSpan w:val="2"/>
            <w:tcBorders>
              <w:top w:val="nil"/>
              <w:left w:val="single" w:sz="4" w:space="0" w:color="auto"/>
              <w:bottom w:val="nil"/>
              <w:right w:val="nil"/>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C) Transferencias a la cuenta de pérdidas y ganancias (VI+VII+VIII+IX)</w:t>
            </w:r>
          </w:p>
        </w:tc>
        <w:tc>
          <w:tcPr>
            <w:tcW w:w="632" w:type="pct"/>
            <w:tcBorders>
              <w:top w:val="nil"/>
              <w:left w:val="single" w:sz="4" w:space="0" w:color="auto"/>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(891.242,59) </w:t>
            </w:r>
          </w:p>
        </w:tc>
        <w:tc>
          <w:tcPr>
            <w:tcW w:w="632" w:type="pct"/>
            <w:tcBorders>
              <w:top w:val="nil"/>
              <w:left w:val="nil"/>
              <w:bottom w:val="nil"/>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(882.917,85)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VI. Por valoración de activos y pasivos</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1. Activos financieros a valor razonable con cambios en el patrimonio neto</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FF0000"/>
                <w:sz w:val="14"/>
                <w:szCs w:val="14"/>
                <w:lang w:val="es-ES"/>
              </w:rPr>
            </w:pPr>
            <w:r w:rsidRPr="00B41599">
              <w:rPr>
                <w:rFonts w:ascii="Lucida Bright" w:hAnsi="Lucida Bright" w:cs="Calibri"/>
                <w:color w:val="FF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xml:space="preserve">         2. Otros ingresos/gastos</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sz w:val="14"/>
                <w:szCs w:val="14"/>
                <w:lang w:val="es-ES"/>
              </w:rPr>
            </w:pPr>
            <w:r w:rsidRPr="00B41599">
              <w:rPr>
                <w:rFonts w:ascii="Lucida Bright" w:hAnsi="Lucida Bright" w:cs="Calibri"/>
                <w:sz w:val="14"/>
                <w:szCs w:val="14"/>
                <w:lang w:val="es-ES"/>
              </w:rPr>
              <w:t xml:space="preserve">-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auto" w:fill="auto"/>
            <w:noWrap/>
            <w:vAlign w:val="bottom"/>
            <w:hideMark/>
          </w:tcPr>
          <w:p w:rsidR="00B41599" w:rsidRPr="00B41599" w:rsidRDefault="00B41599" w:rsidP="00B41599">
            <w:pPr>
              <w:rPr>
                <w:rFonts w:ascii="Calibri" w:hAnsi="Calibri" w:cs="Calibri"/>
                <w:color w:val="000000"/>
                <w:sz w:val="22"/>
                <w:szCs w:val="22"/>
                <w:lang w:val="es-ES"/>
              </w:rPr>
            </w:pP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VII. Por coberturas de flujos de efectivos</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VIII. Subvenciones, donaciones y legados</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(1.090.957,03)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(1.115.054,43)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11</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114" w:type="pct"/>
            <w:tcBorders>
              <w:top w:val="nil"/>
              <w:left w:val="nil"/>
              <w:bottom w:val="nil"/>
              <w:right w:val="nil"/>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nil"/>
              <w:bottom w:val="nil"/>
              <w:right w:val="single" w:sz="4" w:space="0" w:color="auto"/>
            </w:tcBorders>
            <w:shd w:val="clear" w:color="000000" w:fill="FFFFFF"/>
            <w:noWrap/>
            <w:vAlign w:val="bottom"/>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 </w:t>
            </w:r>
          </w:p>
        </w:tc>
        <w:tc>
          <w:tcPr>
            <w:tcW w:w="113" w:type="pct"/>
            <w:tcBorders>
              <w:top w:val="nil"/>
              <w:left w:val="nil"/>
              <w:bottom w:val="nil"/>
              <w:right w:val="nil"/>
            </w:tcBorders>
            <w:shd w:val="clear" w:color="000000" w:fill="FFFFFF"/>
            <w:noWrap/>
            <w:vAlign w:val="bottom"/>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64"/>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IX. Efecto impositivo</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199.714,44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232.136,58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Lucida Bright" w:hAnsi="Lucida Bright" w:cs="Calibri"/>
                <w:color w:val="000000"/>
                <w:sz w:val="14"/>
                <w:szCs w:val="14"/>
                <w:lang w:val="es-ES"/>
              </w:rPr>
            </w:pPr>
            <w:r w:rsidRPr="00B41599">
              <w:rPr>
                <w:rFonts w:ascii="Lucida Bright" w:hAnsi="Lucida Bright" w:cs="Calibri"/>
                <w:color w:val="000000"/>
                <w:sz w:val="14"/>
                <w:szCs w:val="14"/>
                <w:lang w:val="es-ES"/>
              </w:rPr>
              <w:t>12</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109"/>
        </w:trPr>
        <w:tc>
          <w:tcPr>
            <w:tcW w:w="3141" w:type="pct"/>
            <w:tcBorders>
              <w:top w:val="nil"/>
              <w:left w:val="single" w:sz="4" w:space="0" w:color="auto"/>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114" w:type="pct"/>
            <w:tcBorders>
              <w:top w:val="nil"/>
              <w:left w:val="nil"/>
              <w:bottom w:val="nil"/>
              <w:right w:val="nil"/>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632" w:type="pct"/>
            <w:tcBorders>
              <w:top w:val="nil"/>
              <w:left w:val="single" w:sz="4" w:space="0" w:color="auto"/>
              <w:bottom w:val="nil"/>
              <w:right w:val="single" w:sz="4" w:space="0" w:color="auto"/>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632" w:type="pct"/>
            <w:tcBorders>
              <w:top w:val="nil"/>
              <w:left w:val="nil"/>
              <w:bottom w:val="nil"/>
              <w:right w:val="single" w:sz="4" w:space="0" w:color="auto"/>
            </w:tcBorders>
            <w:shd w:val="clear" w:color="000000" w:fill="FFFFFF"/>
            <w:noWrap/>
            <w:vAlign w:val="center"/>
            <w:hideMark/>
          </w:tcPr>
          <w:p w:rsidR="00B41599" w:rsidRPr="00B41599" w:rsidRDefault="00B41599" w:rsidP="00B41599">
            <w:pPr>
              <w:rPr>
                <w:rFonts w:ascii="Lucida Bright" w:hAnsi="Lucida Bright" w:cs="Calibri"/>
                <w:sz w:val="14"/>
                <w:szCs w:val="14"/>
                <w:lang w:val="es-ES"/>
              </w:rPr>
            </w:pPr>
            <w:r w:rsidRPr="00B41599">
              <w:rPr>
                <w:rFonts w:ascii="Lucida Bright" w:hAnsi="Lucida Bright" w:cs="Calibri"/>
                <w:sz w:val="14"/>
                <w:szCs w:val="14"/>
                <w:lang w:val="es-ES"/>
              </w:rPr>
              <w:t> </w:t>
            </w:r>
          </w:p>
        </w:tc>
        <w:tc>
          <w:tcPr>
            <w:tcW w:w="368" w:type="pct"/>
            <w:tcBorders>
              <w:top w:val="nil"/>
              <w:left w:val="nil"/>
              <w:bottom w:val="nil"/>
              <w:right w:val="single" w:sz="4" w:space="0" w:color="auto"/>
            </w:tcBorders>
            <w:shd w:val="clear" w:color="000000" w:fill="FFFFFF"/>
            <w:noWrap/>
            <w:vAlign w:val="bottom"/>
            <w:hideMark/>
          </w:tcPr>
          <w:p w:rsidR="00B41599" w:rsidRPr="00B41599" w:rsidRDefault="00B41599" w:rsidP="00B41599">
            <w:pPr>
              <w:jc w:val="center"/>
              <w:rPr>
                <w:rFonts w:ascii="Calibri" w:hAnsi="Calibri" w:cs="Calibri"/>
                <w:color w:val="000000"/>
                <w:sz w:val="14"/>
                <w:szCs w:val="14"/>
                <w:lang w:val="es-ES"/>
              </w:rPr>
            </w:pPr>
            <w:r w:rsidRPr="00B41599">
              <w:rPr>
                <w:rFonts w:ascii="Calibri" w:hAnsi="Calibri" w:cs="Calibri"/>
                <w:color w:val="000000"/>
                <w:sz w:val="14"/>
                <w:szCs w:val="14"/>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r w:rsidR="00B41599" w:rsidRPr="00B41599" w:rsidTr="00B41599">
        <w:trPr>
          <w:trHeight w:val="234"/>
        </w:trPr>
        <w:tc>
          <w:tcPr>
            <w:tcW w:w="3255" w:type="pct"/>
            <w:gridSpan w:val="2"/>
            <w:tcBorders>
              <w:top w:val="single" w:sz="4" w:space="0" w:color="auto"/>
              <w:left w:val="single" w:sz="4" w:space="0" w:color="auto"/>
              <w:bottom w:val="single" w:sz="4" w:space="0" w:color="auto"/>
              <w:right w:val="nil"/>
            </w:tcBorders>
            <w:shd w:val="clear" w:color="000000" w:fill="CCFFCC"/>
            <w:noWrap/>
            <w:vAlign w:val="center"/>
            <w:hideMark/>
          </w:tcPr>
          <w:p w:rsidR="00B41599" w:rsidRPr="00B41599" w:rsidRDefault="00B41599" w:rsidP="00B41599">
            <w:pPr>
              <w:rPr>
                <w:rFonts w:ascii="Lucida Bright" w:hAnsi="Lucida Bright" w:cs="Calibri"/>
                <w:b/>
                <w:bCs/>
                <w:sz w:val="14"/>
                <w:szCs w:val="14"/>
                <w:lang w:val="es-ES"/>
              </w:rPr>
            </w:pPr>
            <w:r w:rsidRPr="00B41599">
              <w:rPr>
                <w:rFonts w:ascii="Lucida Bright" w:hAnsi="Lucida Bright" w:cs="Calibri"/>
                <w:b/>
                <w:bCs/>
                <w:sz w:val="14"/>
                <w:szCs w:val="14"/>
                <w:lang w:val="es-ES"/>
              </w:rPr>
              <w:t xml:space="preserve"> Total de ingresos y gastos reconocidos (A+B+C)</w:t>
            </w:r>
          </w:p>
        </w:tc>
        <w:tc>
          <w:tcPr>
            <w:tcW w:w="63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47.017.984,87 </w:t>
            </w:r>
          </w:p>
        </w:tc>
        <w:tc>
          <w:tcPr>
            <w:tcW w:w="63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41599" w:rsidRPr="00B41599" w:rsidRDefault="00B41599" w:rsidP="00B41599">
            <w:pPr>
              <w:jc w:val="right"/>
              <w:rPr>
                <w:rFonts w:ascii="Lucida Bright" w:hAnsi="Lucida Bright" w:cs="Calibri"/>
                <w:b/>
                <w:bCs/>
                <w:sz w:val="14"/>
                <w:szCs w:val="14"/>
                <w:lang w:val="es-ES"/>
              </w:rPr>
            </w:pPr>
            <w:r w:rsidRPr="00B41599">
              <w:rPr>
                <w:rFonts w:ascii="Lucida Bright" w:hAnsi="Lucida Bright" w:cs="Calibri"/>
                <w:b/>
                <w:bCs/>
                <w:sz w:val="14"/>
                <w:szCs w:val="14"/>
                <w:lang w:val="es-ES"/>
              </w:rPr>
              <w:t xml:space="preserve">32.593.280,56 </w:t>
            </w:r>
          </w:p>
        </w:tc>
        <w:tc>
          <w:tcPr>
            <w:tcW w:w="368" w:type="pct"/>
            <w:tcBorders>
              <w:top w:val="single" w:sz="4" w:space="0" w:color="auto"/>
              <w:left w:val="nil"/>
              <w:bottom w:val="single" w:sz="4" w:space="0" w:color="auto"/>
              <w:right w:val="single" w:sz="4" w:space="0" w:color="auto"/>
            </w:tcBorders>
            <w:shd w:val="clear" w:color="000000" w:fill="CCFFCC"/>
            <w:noWrap/>
            <w:vAlign w:val="bottom"/>
            <w:hideMark/>
          </w:tcPr>
          <w:p w:rsidR="00B41599" w:rsidRPr="00B41599" w:rsidRDefault="00B41599" w:rsidP="00B41599">
            <w:pPr>
              <w:rPr>
                <w:rFonts w:ascii="Calibri" w:hAnsi="Calibri" w:cs="Calibri"/>
                <w:color w:val="000000"/>
                <w:sz w:val="22"/>
                <w:szCs w:val="22"/>
                <w:lang w:val="es-ES"/>
              </w:rPr>
            </w:pPr>
            <w:r w:rsidRPr="00B41599">
              <w:rPr>
                <w:rFonts w:ascii="Calibri" w:hAnsi="Calibri" w:cs="Calibri"/>
                <w:color w:val="000000"/>
                <w:sz w:val="22"/>
                <w:szCs w:val="22"/>
                <w:lang w:val="es-ES"/>
              </w:rPr>
              <w:t> </w:t>
            </w:r>
          </w:p>
        </w:tc>
        <w:tc>
          <w:tcPr>
            <w:tcW w:w="113" w:type="pct"/>
            <w:tcBorders>
              <w:top w:val="nil"/>
              <w:left w:val="nil"/>
              <w:bottom w:val="nil"/>
              <w:right w:val="nil"/>
            </w:tcBorders>
            <w:shd w:val="clear" w:color="000000" w:fill="FFFFFF"/>
            <w:noWrap/>
            <w:vAlign w:val="center"/>
            <w:hideMark/>
          </w:tcPr>
          <w:p w:rsidR="00B41599" w:rsidRPr="00B41599" w:rsidRDefault="00B41599" w:rsidP="00B41599">
            <w:pPr>
              <w:rPr>
                <w:rFonts w:ascii="Tahoma" w:hAnsi="Tahoma" w:cs="Tahoma"/>
                <w:lang w:val="es-ES"/>
              </w:rPr>
            </w:pPr>
            <w:r w:rsidRPr="00B41599">
              <w:rPr>
                <w:rFonts w:ascii="Tahoma" w:hAnsi="Tahoma" w:cs="Tahoma"/>
                <w:lang w:val="es-ES"/>
              </w:rPr>
              <w:t> </w:t>
            </w:r>
          </w:p>
        </w:tc>
      </w:tr>
    </w:tbl>
    <w:p w:rsidR="000927E0" w:rsidRDefault="000927E0" w:rsidP="00E13AD1">
      <w:pPr>
        <w:rPr>
          <w:rFonts w:ascii="Lucida Bright" w:hAnsi="Lucida Bright"/>
          <w:b/>
          <w:bCs/>
          <w:sz w:val="22"/>
          <w:szCs w:val="22"/>
        </w:rPr>
      </w:pPr>
    </w:p>
    <w:tbl>
      <w:tblPr>
        <w:tblW w:w="5000" w:type="pct"/>
        <w:tblCellMar>
          <w:left w:w="70" w:type="dxa"/>
          <w:right w:w="70" w:type="dxa"/>
        </w:tblCellMar>
        <w:tblLook w:val="04A0" w:firstRow="1" w:lastRow="0" w:firstColumn="1" w:lastColumn="0" w:noHBand="0" w:noVBand="1"/>
      </w:tblPr>
      <w:tblGrid>
        <w:gridCol w:w="4981"/>
        <w:gridCol w:w="1469"/>
        <w:gridCol w:w="1561"/>
        <w:gridCol w:w="1548"/>
        <w:gridCol w:w="959"/>
        <w:gridCol w:w="1504"/>
        <w:gridCol w:w="1556"/>
      </w:tblGrid>
      <w:tr w:rsidR="00723230" w:rsidRPr="00723230" w:rsidTr="00723230">
        <w:trPr>
          <w:trHeight w:val="300"/>
        </w:trPr>
        <w:tc>
          <w:tcPr>
            <w:tcW w:w="5000" w:type="pct"/>
            <w:gridSpan w:val="7"/>
            <w:tcBorders>
              <w:top w:val="nil"/>
              <w:left w:val="nil"/>
              <w:bottom w:val="nil"/>
              <w:right w:val="nil"/>
            </w:tcBorders>
            <w:shd w:val="clear" w:color="000000" w:fill="FFFFFF"/>
            <w:noWrap/>
            <w:vAlign w:val="bottom"/>
            <w:hideMark/>
          </w:tcPr>
          <w:p w:rsidR="00723230" w:rsidRPr="00723230" w:rsidRDefault="00723230" w:rsidP="00723230">
            <w:pPr>
              <w:rPr>
                <w:rFonts w:ascii="Lucida Bright" w:hAnsi="Lucida Bright" w:cs="Calibri"/>
                <w:b/>
                <w:bCs/>
                <w:lang w:val="es-ES"/>
              </w:rPr>
            </w:pPr>
            <w:r w:rsidRPr="00723230">
              <w:rPr>
                <w:rFonts w:ascii="Lucida Bright" w:hAnsi="Lucida Bright" w:cs="Calibri"/>
                <w:b/>
                <w:bCs/>
                <w:lang w:val="es-ES"/>
              </w:rPr>
              <w:t>B) Estado total de cambios en el patrimonio neto correspondiente al ejercicio terminado el 31-12-23</w:t>
            </w:r>
          </w:p>
        </w:tc>
      </w:tr>
      <w:tr w:rsidR="00723230" w:rsidRPr="00723230" w:rsidTr="00723230">
        <w:trPr>
          <w:trHeight w:val="300"/>
        </w:trPr>
        <w:tc>
          <w:tcPr>
            <w:tcW w:w="1834" w:type="pct"/>
            <w:tcBorders>
              <w:top w:val="nil"/>
              <w:left w:val="nil"/>
              <w:bottom w:val="nil"/>
              <w:right w:val="nil"/>
            </w:tcBorders>
            <w:shd w:val="clear" w:color="000000" w:fill="FFFFFF"/>
            <w:noWrap/>
            <w:vAlign w:val="center"/>
            <w:hideMark/>
          </w:tcPr>
          <w:p w:rsidR="00723230" w:rsidRPr="00723230" w:rsidRDefault="00723230" w:rsidP="00723230">
            <w:pPr>
              <w:rPr>
                <w:rFonts w:ascii="Lucida Bright" w:hAnsi="Lucida Bright" w:cs="Calibri"/>
                <w:sz w:val="16"/>
                <w:szCs w:val="16"/>
                <w:lang w:val="es-ES"/>
              </w:rPr>
            </w:pPr>
            <w:r w:rsidRPr="00723230">
              <w:rPr>
                <w:rFonts w:ascii="Lucida Bright" w:hAnsi="Lucida Bright" w:cs="Calibri"/>
                <w:sz w:val="16"/>
                <w:szCs w:val="16"/>
                <w:lang w:val="es-ES"/>
              </w:rPr>
              <w:t>(en euros)</w:t>
            </w:r>
          </w:p>
        </w:tc>
        <w:tc>
          <w:tcPr>
            <w:tcW w:w="541" w:type="pct"/>
            <w:tcBorders>
              <w:top w:val="nil"/>
              <w:left w:val="nil"/>
              <w:bottom w:val="nil"/>
              <w:right w:val="nil"/>
            </w:tcBorders>
            <w:shd w:val="clear" w:color="000000" w:fill="FFFFFF"/>
            <w:noWrap/>
            <w:vAlign w:val="center"/>
            <w:hideMark/>
          </w:tcPr>
          <w:p w:rsidR="00723230" w:rsidRPr="00723230" w:rsidRDefault="00723230" w:rsidP="00723230">
            <w:pPr>
              <w:rPr>
                <w:rFonts w:ascii="Tahoma" w:hAnsi="Tahoma" w:cs="Tahoma"/>
                <w:sz w:val="16"/>
                <w:szCs w:val="16"/>
                <w:lang w:val="es-ES"/>
              </w:rPr>
            </w:pPr>
            <w:r w:rsidRPr="00723230">
              <w:rPr>
                <w:rFonts w:ascii="Tahoma" w:hAnsi="Tahoma" w:cs="Tahoma"/>
                <w:sz w:val="16"/>
                <w:szCs w:val="16"/>
                <w:lang w:val="es-ES"/>
              </w:rPr>
              <w:t> </w:t>
            </w:r>
          </w:p>
        </w:tc>
        <w:tc>
          <w:tcPr>
            <w:tcW w:w="575" w:type="pct"/>
            <w:tcBorders>
              <w:top w:val="nil"/>
              <w:left w:val="nil"/>
              <w:bottom w:val="nil"/>
              <w:right w:val="nil"/>
            </w:tcBorders>
            <w:shd w:val="clear" w:color="000000" w:fill="FFFFFF"/>
            <w:noWrap/>
            <w:vAlign w:val="center"/>
            <w:hideMark/>
          </w:tcPr>
          <w:p w:rsidR="00723230" w:rsidRPr="00723230" w:rsidRDefault="00723230" w:rsidP="00723230">
            <w:pPr>
              <w:rPr>
                <w:rFonts w:ascii="Tahoma" w:hAnsi="Tahoma" w:cs="Tahoma"/>
                <w:lang w:val="es-ES"/>
              </w:rPr>
            </w:pPr>
            <w:r w:rsidRPr="00723230">
              <w:rPr>
                <w:rFonts w:ascii="Tahoma" w:hAnsi="Tahoma" w:cs="Tahoma"/>
                <w:lang w:val="es-ES"/>
              </w:rPr>
              <w:t> </w:t>
            </w:r>
          </w:p>
        </w:tc>
        <w:tc>
          <w:tcPr>
            <w:tcW w:w="570" w:type="pct"/>
            <w:tcBorders>
              <w:top w:val="nil"/>
              <w:left w:val="nil"/>
              <w:bottom w:val="nil"/>
              <w:right w:val="nil"/>
            </w:tcBorders>
            <w:shd w:val="clear" w:color="000000" w:fill="FFFFFF"/>
            <w:noWrap/>
            <w:vAlign w:val="center"/>
            <w:hideMark/>
          </w:tcPr>
          <w:p w:rsidR="00723230" w:rsidRPr="00723230" w:rsidRDefault="00723230" w:rsidP="00723230">
            <w:pPr>
              <w:rPr>
                <w:rFonts w:ascii="Tahoma" w:hAnsi="Tahoma" w:cs="Tahoma"/>
                <w:lang w:val="es-ES"/>
              </w:rPr>
            </w:pPr>
            <w:r w:rsidRPr="00723230">
              <w:rPr>
                <w:rFonts w:ascii="Tahoma" w:hAnsi="Tahoma" w:cs="Tahoma"/>
                <w:lang w:val="es-ES"/>
              </w:rPr>
              <w:t> </w:t>
            </w:r>
          </w:p>
        </w:tc>
        <w:tc>
          <w:tcPr>
            <w:tcW w:w="353" w:type="pct"/>
            <w:tcBorders>
              <w:top w:val="nil"/>
              <w:left w:val="nil"/>
              <w:bottom w:val="nil"/>
              <w:right w:val="nil"/>
            </w:tcBorders>
            <w:shd w:val="clear" w:color="000000" w:fill="FFFFFF"/>
            <w:noWrap/>
            <w:vAlign w:val="center"/>
            <w:hideMark/>
          </w:tcPr>
          <w:p w:rsidR="00723230" w:rsidRPr="00723230" w:rsidRDefault="00723230" w:rsidP="00723230">
            <w:pPr>
              <w:rPr>
                <w:rFonts w:ascii="Tahoma" w:hAnsi="Tahoma" w:cs="Tahoma"/>
                <w:lang w:val="es-ES"/>
              </w:rPr>
            </w:pPr>
            <w:r w:rsidRPr="00723230">
              <w:rPr>
                <w:rFonts w:ascii="Tahoma" w:hAnsi="Tahoma" w:cs="Tahoma"/>
                <w:lang w:val="es-ES"/>
              </w:rPr>
              <w:t> </w:t>
            </w:r>
          </w:p>
        </w:tc>
        <w:tc>
          <w:tcPr>
            <w:tcW w:w="554" w:type="pct"/>
            <w:tcBorders>
              <w:top w:val="nil"/>
              <w:left w:val="nil"/>
              <w:bottom w:val="nil"/>
              <w:right w:val="nil"/>
            </w:tcBorders>
            <w:shd w:val="clear" w:color="000000" w:fill="FFFFFF"/>
            <w:noWrap/>
            <w:vAlign w:val="center"/>
            <w:hideMark/>
          </w:tcPr>
          <w:p w:rsidR="00723230" w:rsidRPr="00723230" w:rsidRDefault="00723230" w:rsidP="00723230">
            <w:pPr>
              <w:rPr>
                <w:rFonts w:ascii="Tahoma" w:hAnsi="Tahoma" w:cs="Tahoma"/>
                <w:lang w:val="es-ES"/>
              </w:rPr>
            </w:pPr>
            <w:r w:rsidRPr="00723230">
              <w:rPr>
                <w:rFonts w:ascii="Tahoma" w:hAnsi="Tahoma" w:cs="Tahoma"/>
                <w:lang w:val="es-ES"/>
              </w:rPr>
              <w:t> </w:t>
            </w:r>
          </w:p>
        </w:tc>
        <w:tc>
          <w:tcPr>
            <w:tcW w:w="575" w:type="pct"/>
            <w:tcBorders>
              <w:top w:val="nil"/>
              <w:left w:val="nil"/>
              <w:bottom w:val="nil"/>
              <w:right w:val="nil"/>
            </w:tcBorders>
            <w:shd w:val="clear" w:color="000000" w:fill="FFFFFF"/>
            <w:noWrap/>
            <w:vAlign w:val="center"/>
            <w:hideMark/>
          </w:tcPr>
          <w:p w:rsidR="00723230" w:rsidRPr="00723230" w:rsidRDefault="00723230" w:rsidP="00723230">
            <w:pPr>
              <w:rPr>
                <w:rFonts w:ascii="Tahoma" w:hAnsi="Tahoma" w:cs="Tahoma"/>
                <w:lang w:val="es-ES"/>
              </w:rPr>
            </w:pPr>
            <w:r w:rsidRPr="00723230">
              <w:rPr>
                <w:rFonts w:ascii="Tahoma" w:hAnsi="Tahoma" w:cs="Tahoma"/>
                <w:lang w:val="es-ES"/>
              </w:rPr>
              <w:t> </w:t>
            </w:r>
          </w:p>
        </w:tc>
      </w:tr>
      <w:tr w:rsidR="00723230" w:rsidRPr="00723230" w:rsidTr="00723230">
        <w:trPr>
          <w:trHeight w:val="540"/>
        </w:trPr>
        <w:tc>
          <w:tcPr>
            <w:tcW w:w="1834"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23230" w:rsidRPr="00723230" w:rsidRDefault="00723230" w:rsidP="00723230">
            <w:pPr>
              <w:jc w:val="cente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single" w:sz="4" w:space="0" w:color="auto"/>
              <w:left w:val="nil"/>
              <w:bottom w:val="single" w:sz="4" w:space="0" w:color="auto"/>
              <w:right w:val="single" w:sz="4" w:space="0" w:color="auto"/>
            </w:tcBorders>
            <w:shd w:val="clear" w:color="000000" w:fill="CCFFCC"/>
            <w:noWrap/>
            <w:vAlign w:val="center"/>
            <w:hideMark/>
          </w:tcPr>
          <w:p w:rsidR="00723230" w:rsidRPr="00723230" w:rsidRDefault="00723230" w:rsidP="00723230">
            <w:pPr>
              <w:jc w:val="center"/>
              <w:rPr>
                <w:rFonts w:ascii="Lucida Bright" w:hAnsi="Lucida Bright" w:cs="Calibri"/>
                <w:sz w:val="14"/>
                <w:szCs w:val="14"/>
                <w:lang w:val="es-ES"/>
              </w:rPr>
            </w:pPr>
            <w:r w:rsidRPr="00723230">
              <w:rPr>
                <w:rFonts w:ascii="Lucida Bright" w:hAnsi="Lucida Bright" w:cs="Calibri"/>
                <w:sz w:val="14"/>
                <w:szCs w:val="14"/>
                <w:lang w:val="es-ES"/>
              </w:rPr>
              <w:t>Patrimonio</w:t>
            </w:r>
          </w:p>
        </w:tc>
        <w:tc>
          <w:tcPr>
            <w:tcW w:w="575" w:type="pct"/>
            <w:tcBorders>
              <w:top w:val="single" w:sz="4" w:space="0" w:color="auto"/>
              <w:left w:val="nil"/>
              <w:bottom w:val="single" w:sz="4" w:space="0" w:color="auto"/>
              <w:right w:val="single" w:sz="4" w:space="0" w:color="auto"/>
            </w:tcBorders>
            <w:shd w:val="clear" w:color="000000" w:fill="CCFFCC"/>
            <w:vAlign w:val="center"/>
            <w:hideMark/>
          </w:tcPr>
          <w:p w:rsidR="00723230" w:rsidRPr="00723230" w:rsidRDefault="00723230" w:rsidP="00723230">
            <w:pPr>
              <w:jc w:val="center"/>
              <w:rPr>
                <w:rFonts w:ascii="Lucida Bright" w:hAnsi="Lucida Bright" w:cs="Calibri"/>
                <w:sz w:val="14"/>
                <w:szCs w:val="14"/>
                <w:lang w:val="es-ES"/>
              </w:rPr>
            </w:pPr>
            <w:r w:rsidRPr="00723230">
              <w:rPr>
                <w:rFonts w:ascii="Lucida Bright" w:hAnsi="Lucida Bright" w:cs="Calibri"/>
                <w:sz w:val="14"/>
                <w:szCs w:val="14"/>
                <w:lang w:val="es-ES"/>
              </w:rPr>
              <w:t>Resultados</w:t>
            </w:r>
            <w:r w:rsidRPr="00723230">
              <w:rPr>
                <w:rFonts w:ascii="Lucida Bright" w:hAnsi="Lucida Bright" w:cs="Calibri"/>
                <w:sz w:val="14"/>
                <w:szCs w:val="14"/>
                <w:lang w:val="es-ES"/>
              </w:rPr>
              <w:br/>
              <w:t>de ejercicios</w:t>
            </w:r>
            <w:r w:rsidRPr="00723230">
              <w:rPr>
                <w:rFonts w:ascii="Lucida Bright" w:hAnsi="Lucida Bright" w:cs="Calibri"/>
                <w:sz w:val="14"/>
                <w:szCs w:val="14"/>
                <w:lang w:val="es-ES"/>
              </w:rPr>
              <w:br/>
              <w:t>anteriores</w:t>
            </w:r>
          </w:p>
        </w:tc>
        <w:tc>
          <w:tcPr>
            <w:tcW w:w="570" w:type="pct"/>
            <w:tcBorders>
              <w:top w:val="single" w:sz="4" w:space="0" w:color="auto"/>
              <w:left w:val="nil"/>
              <w:bottom w:val="single" w:sz="4" w:space="0" w:color="auto"/>
              <w:right w:val="single" w:sz="4" w:space="0" w:color="auto"/>
            </w:tcBorders>
            <w:shd w:val="clear" w:color="000000" w:fill="CCFFCC"/>
            <w:vAlign w:val="center"/>
            <w:hideMark/>
          </w:tcPr>
          <w:p w:rsidR="00723230" w:rsidRPr="00723230" w:rsidRDefault="00723230" w:rsidP="00723230">
            <w:pPr>
              <w:jc w:val="center"/>
              <w:rPr>
                <w:rFonts w:ascii="Lucida Bright" w:hAnsi="Lucida Bright" w:cs="Calibri"/>
                <w:sz w:val="14"/>
                <w:szCs w:val="14"/>
                <w:lang w:val="es-ES"/>
              </w:rPr>
            </w:pPr>
            <w:r w:rsidRPr="00723230">
              <w:rPr>
                <w:rFonts w:ascii="Lucida Bright" w:hAnsi="Lucida Bright" w:cs="Calibri"/>
                <w:sz w:val="14"/>
                <w:szCs w:val="14"/>
                <w:lang w:val="es-ES"/>
              </w:rPr>
              <w:t>Resultado del ejercicio</w:t>
            </w:r>
          </w:p>
        </w:tc>
        <w:tc>
          <w:tcPr>
            <w:tcW w:w="353" w:type="pct"/>
            <w:tcBorders>
              <w:top w:val="single" w:sz="4" w:space="0" w:color="auto"/>
              <w:left w:val="nil"/>
              <w:bottom w:val="single" w:sz="4" w:space="0" w:color="auto"/>
              <w:right w:val="single" w:sz="4" w:space="0" w:color="auto"/>
            </w:tcBorders>
            <w:shd w:val="clear" w:color="000000" w:fill="CCFFCC"/>
            <w:vAlign w:val="center"/>
            <w:hideMark/>
          </w:tcPr>
          <w:p w:rsidR="00723230" w:rsidRPr="00723230" w:rsidRDefault="00723230" w:rsidP="00723230">
            <w:pPr>
              <w:jc w:val="center"/>
              <w:rPr>
                <w:rFonts w:ascii="Lucida Bright" w:hAnsi="Lucida Bright" w:cs="Calibri"/>
                <w:sz w:val="14"/>
                <w:szCs w:val="14"/>
                <w:lang w:val="es-ES"/>
              </w:rPr>
            </w:pPr>
            <w:r w:rsidRPr="00723230">
              <w:rPr>
                <w:rFonts w:ascii="Lucida Bright" w:hAnsi="Lucida Bright" w:cs="Calibri"/>
                <w:sz w:val="14"/>
                <w:szCs w:val="14"/>
                <w:lang w:val="es-ES"/>
              </w:rPr>
              <w:t>Ajustes por cambio de valor</w:t>
            </w:r>
          </w:p>
        </w:tc>
        <w:tc>
          <w:tcPr>
            <w:tcW w:w="554" w:type="pct"/>
            <w:tcBorders>
              <w:top w:val="single" w:sz="4" w:space="0" w:color="auto"/>
              <w:left w:val="nil"/>
              <w:bottom w:val="single" w:sz="4" w:space="0" w:color="auto"/>
              <w:right w:val="single" w:sz="4" w:space="0" w:color="auto"/>
            </w:tcBorders>
            <w:shd w:val="clear" w:color="000000" w:fill="CCFFCC"/>
            <w:vAlign w:val="center"/>
            <w:hideMark/>
          </w:tcPr>
          <w:p w:rsidR="00723230" w:rsidRPr="00723230" w:rsidRDefault="00723230" w:rsidP="00723230">
            <w:pPr>
              <w:jc w:val="center"/>
              <w:rPr>
                <w:rFonts w:ascii="Lucida Bright" w:hAnsi="Lucida Bright" w:cs="Calibri"/>
                <w:sz w:val="14"/>
                <w:szCs w:val="14"/>
                <w:lang w:val="es-ES"/>
              </w:rPr>
            </w:pPr>
            <w:r w:rsidRPr="00723230">
              <w:rPr>
                <w:rFonts w:ascii="Lucida Bright" w:hAnsi="Lucida Bright" w:cs="Calibri"/>
                <w:sz w:val="14"/>
                <w:szCs w:val="14"/>
                <w:lang w:val="es-ES"/>
              </w:rPr>
              <w:t>Subvenciones, donaciones y legados recibidos</w:t>
            </w:r>
          </w:p>
        </w:tc>
        <w:tc>
          <w:tcPr>
            <w:tcW w:w="575" w:type="pct"/>
            <w:tcBorders>
              <w:top w:val="single" w:sz="4" w:space="0" w:color="auto"/>
              <w:left w:val="nil"/>
              <w:bottom w:val="single" w:sz="4" w:space="0" w:color="auto"/>
              <w:right w:val="single" w:sz="4" w:space="0" w:color="auto"/>
            </w:tcBorders>
            <w:shd w:val="clear" w:color="000000" w:fill="CCFFCC"/>
            <w:vAlign w:val="center"/>
            <w:hideMark/>
          </w:tcPr>
          <w:p w:rsidR="00723230" w:rsidRPr="00723230" w:rsidRDefault="00723230" w:rsidP="00723230">
            <w:pPr>
              <w:jc w:val="center"/>
              <w:rPr>
                <w:rFonts w:ascii="Lucida Bright" w:hAnsi="Lucida Bright" w:cs="Calibri"/>
                <w:sz w:val="14"/>
                <w:szCs w:val="14"/>
                <w:lang w:val="es-ES"/>
              </w:rPr>
            </w:pPr>
            <w:r w:rsidRPr="00723230">
              <w:rPr>
                <w:rFonts w:ascii="Lucida Bright" w:hAnsi="Lucida Bright" w:cs="Calibri"/>
                <w:sz w:val="14"/>
                <w:szCs w:val="14"/>
                <w:lang w:val="es-ES"/>
              </w:rPr>
              <w:t>Total</w:t>
            </w:r>
          </w:p>
        </w:tc>
      </w:tr>
      <w:tr w:rsidR="00723230" w:rsidRPr="00723230" w:rsidTr="00723230">
        <w:trPr>
          <w:trHeight w:val="139"/>
        </w:trPr>
        <w:tc>
          <w:tcPr>
            <w:tcW w:w="1834" w:type="pct"/>
            <w:tcBorders>
              <w:top w:val="nil"/>
              <w:left w:val="single" w:sz="4" w:space="0" w:color="auto"/>
              <w:bottom w:val="nil"/>
              <w:right w:val="single" w:sz="4" w:space="0" w:color="auto"/>
            </w:tcBorders>
            <w:shd w:val="clear" w:color="auto" w:fill="auto"/>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nil"/>
              <w:left w:val="nil"/>
              <w:bottom w:val="nil"/>
              <w:right w:val="single" w:sz="4" w:space="0" w:color="auto"/>
            </w:tcBorders>
            <w:shd w:val="clear" w:color="auto" w:fill="auto"/>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auto" w:fill="auto"/>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0" w:type="pct"/>
            <w:tcBorders>
              <w:top w:val="nil"/>
              <w:left w:val="nil"/>
              <w:bottom w:val="nil"/>
              <w:right w:val="single" w:sz="4" w:space="0" w:color="auto"/>
            </w:tcBorders>
            <w:shd w:val="clear" w:color="auto" w:fill="auto"/>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353" w:type="pct"/>
            <w:tcBorders>
              <w:top w:val="nil"/>
              <w:left w:val="nil"/>
              <w:bottom w:val="nil"/>
              <w:right w:val="single" w:sz="4" w:space="0" w:color="auto"/>
            </w:tcBorders>
            <w:shd w:val="clear" w:color="auto" w:fill="auto"/>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54" w:type="pct"/>
            <w:tcBorders>
              <w:top w:val="nil"/>
              <w:left w:val="nil"/>
              <w:bottom w:val="nil"/>
              <w:right w:val="single" w:sz="4" w:space="0" w:color="auto"/>
            </w:tcBorders>
            <w:shd w:val="clear" w:color="auto" w:fill="auto"/>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auto" w:fill="auto"/>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CCFFCC"/>
            <w:noWrap/>
            <w:vAlign w:val="center"/>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xml:space="preserve"> A. SALDO, FINAL DEL AÑO 2021</w:t>
            </w:r>
          </w:p>
        </w:tc>
        <w:tc>
          <w:tcPr>
            <w:tcW w:w="541"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212.383.193,39 </w:t>
            </w:r>
          </w:p>
        </w:tc>
        <w:tc>
          <w:tcPr>
            <w:tcW w:w="575"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398.943.220,75 </w:t>
            </w:r>
          </w:p>
        </w:tc>
        <w:tc>
          <w:tcPr>
            <w:tcW w:w="570"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30.188.626,13 </w:t>
            </w:r>
          </w:p>
        </w:tc>
        <w:tc>
          <w:tcPr>
            <w:tcW w:w="353"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(0,00) </w:t>
            </w:r>
          </w:p>
        </w:tc>
        <w:tc>
          <w:tcPr>
            <w:tcW w:w="554"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22.007.325,71 </w:t>
            </w:r>
          </w:p>
        </w:tc>
        <w:tc>
          <w:tcPr>
            <w:tcW w:w="575"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663.522.365,98 </w:t>
            </w:r>
          </w:p>
        </w:tc>
      </w:tr>
      <w:tr w:rsidR="00723230" w:rsidRPr="00723230" w:rsidTr="00723230">
        <w:trPr>
          <w:trHeight w:val="139"/>
        </w:trPr>
        <w:tc>
          <w:tcPr>
            <w:tcW w:w="1834" w:type="pct"/>
            <w:tcBorders>
              <w:top w:val="nil"/>
              <w:left w:val="single" w:sz="4" w:space="0" w:color="auto"/>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0"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353"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54"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 Ajustes por cambios de criterio 2021 y anteriores.</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II. Ajustes por errores 2021 y anteriores.</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(1.096,04)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(83.944,05)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(85.040,09) </w:t>
            </w:r>
          </w:p>
        </w:tc>
      </w:tr>
      <w:tr w:rsidR="00723230" w:rsidRPr="00723230" w:rsidTr="00723230">
        <w:trPr>
          <w:trHeight w:val="139"/>
        </w:trPr>
        <w:tc>
          <w:tcPr>
            <w:tcW w:w="1834" w:type="pct"/>
            <w:tcBorders>
              <w:top w:val="nil"/>
              <w:left w:val="single" w:sz="4" w:space="0" w:color="auto"/>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0"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353"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54"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CCFFCC"/>
            <w:noWrap/>
            <w:vAlign w:val="center"/>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xml:space="preserve"> B. SALDO AJUSTADO, INICIO DEL AÑO 2022</w:t>
            </w:r>
          </w:p>
        </w:tc>
        <w:tc>
          <w:tcPr>
            <w:tcW w:w="541"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212.383.193,39 </w:t>
            </w:r>
          </w:p>
        </w:tc>
        <w:tc>
          <w:tcPr>
            <w:tcW w:w="575"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398.942.124,71 </w:t>
            </w:r>
          </w:p>
        </w:tc>
        <w:tc>
          <w:tcPr>
            <w:tcW w:w="570"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30.104.682,08 </w:t>
            </w:r>
          </w:p>
        </w:tc>
        <w:tc>
          <w:tcPr>
            <w:tcW w:w="353"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(0,00) </w:t>
            </w:r>
          </w:p>
        </w:tc>
        <w:tc>
          <w:tcPr>
            <w:tcW w:w="554"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22.007.325,71 </w:t>
            </w:r>
          </w:p>
        </w:tc>
        <w:tc>
          <w:tcPr>
            <w:tcW w:w="575"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663.437.325,89 </w:t>
            </w:r>
          </w:p>
        </w:tc>
      </w:tr>
      <w:tr w:rsidR="00723230" w:rsidRPr="00723230" w:rsidTr="00723230">
        <w:trPr>
          <w:trHeight w:val="139"/>
        </w:trPr>
        <w:tc>
          <w:tcPr>
            <w:tcW w:w="1834" w:type="pct"/>
            <w:tcBorders>
              <w:top w:val="nil"/>
              <w:left w:val="single" w:sz="4" w:space="0" w:color="auto"/>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0"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353"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54"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 Total ingresos y gastos reconocidos</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32.937.294,09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(347.825,60)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32.589.468,49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II. Operaciones con socios o propietarios (*)</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III. Otras variaciones del patrimonio neto</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30.104.682,08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(30.104.682,08)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r>
      <w:tr w:rsidR="00723230" w:rsidRPr="00723230" w:rsidTr="00723230">
        <w:trPr>
          <w:trHeight w:val="139"/>
        </w:trPr>
        <w:tc>
          <w:tcPr>
            <w:tcW w:w="1834" w:type="pct"/>
            <w:tcBorders>
              <w:top w:val="nil"/>
              <w:left w:val="single" w:sz="4" w:space="0" w:color="auto"/>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0"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353"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54"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CCFFCC"/>
            <w:noWrap/>
            <w:vAlign w:val="center"/>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xml:space="preserve"> C. SALDO, FINAL DEL AÑO 2022</w:t>
            </w:r>
          </w:p>
        </w:tc>
        <w:tc>
          <w:tcPr>
            <w:tcW w:w="541"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212.383.193,39 </w:t>
            </w:r>
          </w:p>
        </w:tc>
        <w:tc>
          <w:tcPr>
            <w:tcW w:w="575"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429.046.806,79 </w:t>
            </w:r>
          </w:p>
        </w:tc>
        <w:tc>
          <w:tcPr>
            <w:tcW w:w="570"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32.937.294,09 </w:t>
            </w:r>
          </w:p>
        </w:tc>
        <w:tc>
          <w:tcPr>
            <w:tcW w:w="353"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(0,00) </w:t>
            </w:r>
          </w:p>
        </w:tc>
        <w:tc>
          <w:tcPr>
            <w:tcW w:w="554"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21.659.500,11 </w:t>
            </w:r>
          </w:p>
        </w:tc>
        <w:tc>
          <w:tcPr>
            <w:tcW w:w="575"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696.026.794,38 </w:t>
            </w:r>
          </w:p>
        </w:tc>
      </w:tr>
      <w:tr w:rsidR="00723230" w:rsidRPr="00723230" w:rsidTr="00723230">
        <w:trPr>
          <w:trHeight w:val="139"/>
        </w:trPr>
        <w:tc>
          <w:tcPr>
            <w:tcW w:w="1834" w:type="pct"/>
            <w:tcBorders>
              <w:top w:val="nil"/>
              <w:left w:val="single" w:sz="4" w:space="0" w:color="auto"/>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0"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353"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54"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 Ajustes por cambios de criterio 2022.</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II. Ajustes por errores 2022.</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3.812,07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3.812,07 </w:t>
            </w:r>
          </w:p>
        </w:tc>
      </w:tr>
      <w:tr w:rsidR="00723230" w:rsidRPr="00723230" w:rsidTr="00723230">
        <w:trPr>
          <w:trHeight w:val="139"/>
        </w:trPr>
        <w:tc>
          <w:tcPr>
            <w:tcW w:w="1834" w:type="pct"/>
            <w:tcBorders>
              <w:top w:val="nil"/>
              <w:left w:val="single" w:sz="4" w:space="0" w:color="auto"/>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0"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353"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54"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CCFFCC"/>
            <w:noWrap/>
            <w:vAlign w:val="center"/>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xml:space="preserve"> D. SALDO AJUSTADO, INICIO DEL AÑO 2023</w:t>
            </w:r>
          </w:p>
        </w:tc>
        <w:tc>
          <w:tcPr>
            <w:tcW w:w="541"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212.383.193,39 </w:t>
            </w:r>
          </w:p>
        </w:tc>
        <w:tc>
          <w:tcPr>
            <w:tcW w:w="575"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429.046.806,79 </w:t>
            </w:r>
          </w:p>
        </w:tc>
        <w:tc>
          <w:tcPr>
            <w:tcW w:w="570"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32.941.106,16 </w:t>
            </w:r>
          </w:p>
        </w:tc>
        <w:tc>
          <w:tcPr>
            <w:tcW w:w="353"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(0,00) </w:t>
            </w:r>
          </w:p>
        </w:tc>
        <w:tc>
          <w:tcPr>
            <w:tcW w:w="554"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21.659.500,11 </w:t>
            </w:r>
          </w:p>
        </w:tc>
        <w:tc>
          <w:tcPr>
            <w:tcW w:w="575" w:type="pct"/>
            <w:tcBorders>
              <w:top w:val="nil"/>
              <w:left w:val="nil"/>
              <w:bottom w:val="nil"/>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696.030.606,45 </w:t>
            </w:r>
          </w:p>
        </w:tc>
      </w:tr>
      <w:tr w:rsidR="00723230" w:rsidRPr="00723230" w:rsidTr="00723230">
        <w:trPr>
          <w:trHeight w:val="139"/>
        </w:trPr>
        <w:tc>
          <w:tcPr>
            <w:tcW w:w="1834" w:type="pct"/>
            <w:tcBorders>
              <w:top w:val="nil"/>
              <w:left w:val="single" w:sz="4" w:space="0" w:color="auto"/>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0"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353"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54"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 Total ingresos y gastos reconocidos</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47.012.107,02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5.877,85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47.017.984,87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II. Operaciones con socios o propietarios (*)</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14.401,08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14.401,08 </w:t>
            </w:r>
          </w:p>
        </w:tc>
      </w:tr>
      <w:tr w:rsidR="00723230" w:rsidRPr="00723230" w:rsidTr="00723230">
        <w:trPr>
          <w:trHeight w:val="210"/>
        </w:trPr>
        <w:tc>
          <w:tcPr>
            <w:tcW w:w="1834" w:type="pct"/>
            <w:tcBorders>
              <w:top w:val="nil"/>
              <w:left w:val="single" w:sz="4" w:space="0" w:color="auto"/>
              <w:bottom w:val="nil"/>
              <w:right w:val="single" w:sz="4" w:space="0" w:color="auto"/>
            </w:tcBorders>
            <w:shd w:val="clear" w:color="000000" w:fill="FFFFFF"/>
            <w:noWrap/>
            <w:vAlign w:val="center"/>
            <w:hideMark/>
          </w:tcPr>
          <w:p w:rsidR="00723230" w:rsidRPr="00723230" w:rsidRDefault="00723230" w:rsidP="00723230">
            <w:pPr>
              <w:rPr>
                <w:rFonts w:ascii="Lucida Bright" w:hAnsi="Lucida Bright" w:cs="Calibri"/>
                <w:sz w:val="14"/>
                <w:szCs w:val="14"/>
                <w:lang w:val="es-ES"/>
              </w:rPr>
            </w:pPr>
            <w:r w:rsidRPr="00723230">
              <w:rPr>
                <w:rFonts w:ascii="Lucida Bright" w:hAnsi="Lucida Bright" w:cs="Calibri"/>
                <w:sz w:val="14"/>
                <w:szCs w:val="14"/>
                <w:lang w:val="es-ES"/>
              </w:rPr>
              <w:t xml:space="preserve">    III. Otras variaciones del patrimonio neto</w:t>
            </w:r>
          </w:p>
        </w:tc>
        <w:tc>
          <w:tcPr>
            <w:tcW w:w="541"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32.941.106,16 </w:t>
            </w:r>
          </w:p>
        </w:tc>
        <w:tc>
          <w:tcPr>
            <w:tcW w:w="570"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(32.941.106,16) </w:t>
            </w:r>
          </w:p>
        </w:tc>
        <w:tc>
          <w:tcPr>
            <w:tcW w:w="353"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54"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c>
          <w:tcPr>
            <w:tcW w:w="575" w:type="pct"/>
            <w:tcBorders>
              <w:top w:val="nil"/>
              <w:left w:val="nil"/>
              <w:bottom w:val="nil"/>
              <w:right w:val="single" w:sz="4" w:space="0" w:color="auto"/>
            </w:tcBorders>
            <w:shd w:val="clear" w:color="000000" w:fill="FFFFFF"/>
            <w:noWrap/>
            <w:vAlign w:val="center"/>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w:t>
            </w:r>
          </w:p>
        </w:tc>
      </w:tr>
      <w:tr w:rsidR="00723230" w:rsidRPr="00723230" w:rsidTr="00723230">
        <w:trPr>
          <w:trHeight w:val="139"/>
        </w:trPr>
        <w:tc>
          <w:tcPr>
            <w:tcW w:w="1834" w:type="pct"/>
            <w:tcBorders>
              <w:top w:val="nil"/>
              <w:left w:val="single" w:sz="4" w:space="0" w:color="auto"/>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41"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0"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353"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54"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c>
          <w:tcPr>
            <w:tcW w:w="575" w:type="pct"/>
            <w:tcBorders>
              <w:top w:val="nil"/>
              <w:left w:val="nil"/>
              <w:bottom w:val="nil"/>
              <w:right w:val="single" w:sz="4" w:space="0" w:color="auto"/>
            </w:tcBorders>
            <w:shd w:val="clear" w:color="000000" w:fill="FFFFFF"/>
            <w:noWrap/>
            <w:vAlign w:val="bottom"/>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w:t>
            </w:r>
          </w:p>
        </w:tc>
      </w:tr>
      <w:tr w:rsidR="00723230" w:rsidRPr="00723230" w:rsidTr="00723230">
        <w:trPr>
          <w:trHeight w:val="300"/>
        </w:trPr>
        <w:tc>
          <w:tcPr>
            <w:tcW w:w="1834"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23230" w:rsidRPr="00723230" w:rsidRDefault="00723230" w:rsidP="00723230">
            <w:pPr>
              <w:rPr>
                <w:rFonts w:ascii="Lucida Bright" w:hAnsi="Lucida Bright" w:cs="Calibri"/>
                <w:b/>
                <w:bCs/>
                <w:sz w:val="14"/>
                <w:szCs w:val="14"/>
                <w:lang w:val="es-ES"/>
              </w:rPr>
            </w:pPr>
            <w:r w:rsidRPr="00723230">
              <w:rPr>
                <w:rFonts w:ascii="Lucida Bright" w:hAnsi="Lucida Bright" w:cs="Calibri"/>
                <w:b/>
                <w:bCs/>
                <w:sz w:val="14"/>
                <w:szCs w:val="14"/>
                <w:lang w:val="es-ES"/>
              </w:rPr>
              <w:t xml:space="preserve"> E. SALDO, FINAL DEL AÑO 2023</w:t>
            </w:r>
          </w:p>
        </w:tc>
        <w:tc>
          <w:tcPr>
            <w:tcW w:w="541" w:type="pct"/>
            <w:tcBorders>
              <w:top w:val="single" w:sz="4" w:space="0" w:color="auto"/>
              <w:left w:val="nil"/>
              <w:bottom w:val="single" w:sz="4" w:space="0" w:color="auto"/>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212.397.594,47 </w:t>
            </w:r>
          </w:p>
        </w:tc>
        <w:tc>
          <w:tcPr>
            <w:tcW w:w="575" w:type="pct"/>
            <w:tcBorders>
              <w:top w:val="single" w:sz="4" w:space="0" w:color="auto"/>
              <w:left w:val="nil"/>
              <w:bottom w:val="single" w:sz="4" w:space="0" w:color="auto"/>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461.987.912,95 </w:t>
            </w:r>
          </w:p>
        </w:tc>
        <w:tc>
          <w:tcPr>
            <w:tcW w:w="570" w:type="pct"/>
            <w:tcBorders>
              <w:top w:val="single" w:sz="4" w:space="0" w:color="auto"/>
              <w:left w:val="nil"/>
              <w:bottom w:val="single" w:sz="4" w:space="0" w:color="auto"/>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47.012.107,02 </w:t>
            </w:r>
          </w:p>
        </w:tc>
        <w:tc>
          <w:tcPr>
            <w:tcW w:w="353" w:type="pct"/>
            <w:tcBorders>
              <w:top w:val="single" w:sz="4" w:space="0" w:color="auto"/>
              <w:left w:val="nil"/>
              <w:bottom w:val="single" w:sz="4" w:space="0" w:color="auto"/>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(0,00) </w:t>
            </w:r>
          </w:p>
        </w:tc>
        <w:tc>
          <w:tcPr>
            <w:tcW w:w="554" w:type="pct"/>
            <w:tcBorders>
              <w:top w:val="single" w:sz="4" w:space="0" w:color="auto"/>
              <w:left w:val="nil"/>
              <w:bottom w:val="single" w:sz="4" w:space="0" w:color="auto"/>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21.665.377,96 </w:t>
            </w:r>
          </w:p>
        </w:tc>
        <w:tc>
          <w:tcPr>
            <w:tcW w:w="575" w:type="pct"/>
            <w:tcBorders>
              <w:top w:val="single" w:sz="4" w:space="0" w:color="auto"/>
              <w:left w:val="nil"/>
              <w:bottom w:val="single" w:sz="4" w:space="0" w:color="auto"/>
              <w:right w:val="single" w:sz="4" w:space="0" w:color="auto"/>
            </w:tcBorders>
            <w:shd w:val="clear" w:color="000000" w:fill="CCFFCC"/>
            <w:noWrap/>
            <w:vAlign w:val="center"/>
            <w:hideMark/>
          </w:tcPr>
          <w:p w:rsidR="00723230" w:rsidRPr="00723230" w:rsidRDefault="00723230" w:rsidP="00723230">
            <w:pPr>
              <w:jc w:val="right"/>
              <w:rPr>
                <w:rFonts w:ascii="Lucida Bright" w:hAnsi="Lucida Bright" w:cs="Calibri"/>
                <w:b/>
                <w:bCs/>
                <w:sz w:val="14"/>
                <w:szCs w:val="14"/>
                <w:lang w:val="es-ES"/>
              </w:rPr>
            </w:pPr>
            <w:r w:rsidRPr="00723230">
              <w:rPr>
                <w:rFonts w:ascii="Lucida Bright" w:hAnsi="Lucida Bright" w:cs="Calibri"/>
                <w:b/>
                <w:bCs/>
                <w:sz w:val="14"/>
                <w:szCs w:val="14"/>
                <w:lang w:val="es-ES"/>
              </w:rPr>
              <w:t xml:space="preserve">743.062.992,40 </w:t>
            </w:r>
          </w:p>
        </w:tc>
      </w:tr>
      <w:tr w:rsidR="00723230" w:rsidRPr="00723230" w:rsidTr="00723230">
        <w:trPr>
          <w:trHeight w:val="300"/>
        </w:trPr>
        <w:tc>
          <w:tcPr>
            <w:tcW w:w="1834" w:type="pct"/>
            <w:tcBorders>
              <w:top w:val="nil"/>
              <w:left w:val="nil"/>
              <w:bottom w:val="nil"/>
              <w:right w:val="nil"/>
            </w:tcBorders>
            <w:shd w:val="clear" w:color="000000" w:fill="FFFFFF"/>
            <w:noWrap/>
            <w:vAlign w:val="bottom"/>
            <w:hideMark/>
          </w:tcPr>
          <w:p w:rsidR="00723230" w:rsidRPr="00723230" w:rsidRDefault="00723230" w:rsidP="00723230">
            <w:pPr>
              <w:jc w:val="right"/>
              <w:rPr>
                <w:rFonts w:ascii="Lucida Bright" w:hAnsi="Lucida Bright" w:cs="Calibri"/>
                <w:sz w:val="14"/>
                <w:szCs w:val="14"/>
                <w:lang w:val="es-ES"/>
              </w:rPr>
            </w:pPr>
            <w:r w:rsidRPr="00723230">
              <w:rPr>
                <w:rFonts w:ascii="Lucida Bright" w:hAnsi="Lucida Bright" w:cs="Calibri"/>
                <w:sz w:val="14"/>
                <w:szCs w:val="14"/>
                <w:lang w:val="es-ES"/>
              </w:rPr>
              <w:t xml:space="preserve">(*) Adscripciones y </w:t>
            </w:r>
            <w:proofErr w:type="spellStart"/>
            <w:r w:rsidRPr="00723230">
              <w:rPr>
                <w:rFonts w:ascii="Lucida Bright" w:hAnsi="Lucida Bright" w:cs="Calibri"/>
                <w:sz w:val="14"/>
                <w:szCs w:val="14"/>
                <w:lang w:val="es-ES"/>
              </w:rPr>
              <w:t>desadscripciones</w:t>
            </w:r>
            <w:proofErr w:type="spellEnd"/>
            <w:r w:rsidRPr="00723230">
              <w:rPr>
                <w:rFonts w:ascii="Lucida Bright" w:hAnsi="Lucida Bright" w:cs="Calibri"/>
                <w:sz w:val="14"/>
                <w:szCs w:val="14"/>
                <w:lang w:val="es-ES"/>
              </w:rPr>
              <w:t xml:space="preserve"> patrimoniales</w:t>
            </w:r>
          </w:p>
        </w:tc>
        <w:tc>
          <w:tcPr>
            <w:tcW w:w="541" w:type="pct"/>
            <w:tcBorders>
              <w:top w:val="nil"/>
              <w:left w:val="nil"/>
              <w:bottom w:val="nil"/>
              <w:right w:val="nil"/>
            </w:tcBorders>
            <w:shd w:val="clear" w:color="000000" w:fill="FFFFFF"/>
            <w:noWrap/>
            <w:vAlign w:val="bottom"/>
            <w:hideMark/>
          </w:tcPr>
          <w:p w:rsidR="00723230" w:rsidRPr="00723230" w:rsidRDefault="00723230" w:rsidP="00723230">
            <w:pPr>
              <w:rPr>
                <w:rFonts w:ascii="Tahoma" w:hAnsi="Tahoma" w:cs="Tahoma"/>
                <w:lang w:val="es-ES"/>
              </w:rPr>
            </w:pPr>
            <w:r w:rsidRPr="00723230">
              <w:rPr>
                <w:rFonts w:ascii="Tahoma" w:hAnsi="Tahoma" w:cs="Tahoma"/>
                <w:lang w:val="es-ES"/>
              </w:rPr>
              <w:t> </w:t>
            </w:r>
          </w:p>
        </w:tc>
        <w:tc>
          <w:tcPr>
            <w:tcW w:w="575" w:type="pct"/>
            <w:tcBorders>
              <w:top w:val="nil"/>
              <w:left w:val="nil"/>
              <w:bottom w:val="nil"/>
              <w:right w:val="nil"/>
            </w:tcBorders>
            <w:shd w:val="clear" w:color="000000" w:fill="FFFFFF"/>
            <w:noWrap/>
            <w:vAlign w:val="bottom"/>
            <w:hideMark/>
          </w:tcPr>
          <w:p w:rsidR="00723230" w:rsidRPr="00723230" w:rsidRDefault="00723230" w:rsidP="00723230">
            <w:pPr>
              <w:rPr>
                <w:rFonts w:ascii="Tahoma" w:hAnsi="Tahoma" w:cs="Tahoma"/>
                <w:lang w:val="es-ES"/>
              </w:rPr>
            </w:pPr>
            <w:r w:rsidRPr="00723230">
              <w:rPr>
                <w:rFonts w:ascii="Tahoma" w:hAnsi="Tahoma" w:cs="Tahoma"/>
                <w:lang w:val="es-ES"/>
              </w:rPr>
              <w:t> </w:t>
            </w:r>
          </w:p>
        </w:tc>
        <w:tc>
          <w:tcPr>
            <w:tcW w:w="570" w:type="pct"/>
            <w:tcBorders>
              <w:top w:val="nil"/>
              <w:left w:val="nil"/>
              <w:bottom w:val="nil"/>
              <w:right w:val="nil"/>
            </w:tcBorders>
            <w:shd w:val="clear" w:color="000000" w:fill="FFFFFF"/>
            <w:noWrap/>
            <w:vAlign w:val="bottom"/>
            <w:hideMark/>
          </w:tcPr>
          <w:p w:rsidR="00723230" w:rsidRPr="00723230" w:rsidRDefault="00723230" w:rsidP="00723230">
            <w:pPr>
              <w:rPr>
                <w:rFonts w:ascii="Tahoma" w:hAnsi="Tahoma" w:cs="Tahoma"/>
                <w:lang w:val="es-ES"/>
              </w:rPr>
            </w:pPr>
            <w:r w:rsidRPr="00723230">
              <w:rPr>
                <w:rFonts w:ascii="Tahoma" w:hAnsi="Tahoma" w:cs="Tahoma"/>
                <w:lang w:val="es-ES"/>
              </w:rPr>
              <w:t> </w:t>
            </w:r>
          </w:p>
        </w:tc>
        <w:tc>
          <w:tcPr>
            <w:tcW w:w="353" w:type="pct"/>
            <w:tcBorders>
              <w:top w:val="nil"/>
              <w:left w:val="nil"/>
              <w:bottom w:val="nil"/>
              <w:right w:val="nil"/>
            </w:tcBorders>
            <w:shd w:val="clear" w:color="000000" w:fill="FFFFFF"/>
            <w:noWrap/>
            <w:vAlign w:val="bottom"/>
            <w:hideMark/>
          </w:tcPr>
          <w:p w:rsidR="00723230" w:rsidRPr="00723230" w:rsidRDefault="00723230" w:rsidP="00723230">
            <w:pPr>
              <w:rPr>
                <w:rFonts w:ascii="Tahoma" w:hAnsi="Tahoma" w:cs="Tahoma"/>
                <w:lang w:val="es-ES"/>
              </w:rPr>
            </w:pPr>
            <w:r w:rsidRPr="00723230">
              <w:rPr>
                <w:rFonts w:ascii="Tahoma" w:hAnsi="Tahoma" w:cs="Tahoma"/>
                <w:lang w:val="es-ES"/>
              </w:rPr>
              <w:t> </w:t>
            </w:r>
          </w:p>
        </w:tc>
        <w:tc>
          <w:tcPr>
            <w:tcW w:w="554" w:type="pct"/>
            <w:tcBorders>
              <w:top w:val="nil"/>
              <w:left w:val="nil"/>
              <w:bottom w:val="nil"/>
              <w:right w:val="nil"/>
            </w:tcBorders>
            <w:shd w:val="clear" w:color="000000" w:fill="FFFFFF"/>
            <w:noWrap/>
            <w:vAlign w:val="bottom"/>
            <w:hideMark/>
          </w:tcPr>
          <w:p w:rsidR="00723230" w:rsidRPr="00723230" w:rsidRDefault="00723230" w:rsidP="00723230">
            <w:pPr>
              <w:rPr>
                <w:rFonts w:ascii="Tahoma" w:hAnsi="Tahoma" w:cs="Tahoma"/>
                <w:lang w:val="es-ES"/>
              </w:rPr>
            </w:pPr>
            <w:r w:rsidRPr="00723230">
              <w:rPr>
                <w:rFonts w:ascii="Tahoma" w:hAnsi="Tahoma" w:cs="Tahoma"/>
                <w:lang w:val="es-ES"/>
              </w:rPr>
              <w:t> </w:t>
            </w:r>
          </w:p>
        </w:tc>
        <w:tc>
          <w:tcPr>
            <w:tcW w:w="575" w:type="pct"/>
            <w:tcBorders>
              <w:top w:val="nil"/>
              <w:left w:val="nil"/>
              <w:bottom w:val="nil"/>
              <w:right w:val="nil"/>
            </w:tcBorders>
            <w:shd w:val="clear" w:color="000000" w:fill="FFFFFF"/>
            <w:noWrap/>
            <w:vAlign w:val="bottom"/>
            <w:hideMark/>
          </w:tcPr>
          <w:p w:rsidR="00723230" w:rsidRPr="00723230" w:rsidRDefault="00723230" w:rsidP="00723230">
            <w:pPr>
              <w:rPr>
                <w:rFonts w:ascii="Tahoma" w:hAnsi="Tahoma" w:cs="Tahoma"/>
                <w:lang w:val="es-ES"/>
              </w:rPr>
            </w:pPr>
            <w:r w:rsidRPr="00723230">
              <w:rPr>
                <w:rFonts w:ascii="Tahoma" w:hAnsi="Tahoma" w:cs="Tahoma"/>
                <w:lang w:val="es-ES"/>
              </w:rPr>
              <w:t> </w:t>
            </w:r>
          </w:p>
        </w:tc>
      </w:tr>
    </w:tbl>
    <w:p w:rsidR="00B41599" w:rsidRDefault="00B41599" w:rsidP="00E13AD1">
      <w:pPr>
        <w:rPr>
          <w:rFonts w:ascii="Lucida Bright" w:hAnsi="Lucida Bright"/>
          <w:b/>
          <w:bCs/>
          <w:sz w:val="22"/>
          <w:szCs w:val="22"/>
        </w:rPr>
      </w:pPr>
    </w:p>
    <w:p w:rsidR="000927E0" w:rsidRDefault="000927E0" w:rsidP="00E13AD1">
      <w:pPr>
        <w:rPr>
          <w:rFonts w:ascii="Lucida Bright" w:hAnsi="Lucida Bright"/>
          <w:b/>
          <w:bCs/>
          <w:sz w:val="22"/>
          <w:szCs w:val="22"/>
        </w:rPr>
      </w:pPr>
    </w:p>
    <w:p w:rsidR="00CD3595" w:rsidRDefault="00CD3595" w:rsidP="00E13AD1">
      <w:pPr>
        <w:rPr>
          <w:rFonts w:ascii="Lucida Bright" w:hAnsi="Lucida Bright"/>
          <w:b/>
          <w:bCs/>
          <w:sz w:val="22"/>
          <w:szCs w:val="22"/>
        </w:rPr>
      </w:pPr>
    </w:p>
    <w:p w:rsidR="00790C4F" w:rsidRDefault="00790C4F" w:rsidP="00E13AD1">
      <w:pPr>
        <w:rPr>
          <w:rFonts w:ascii="Lucida Bright" w:hAnsi="Lucida Bright"/>
          <w:b/>
          <w:bCs/>
          <w:sz w:val="22"/>
          <w:szCs w:val="22"/>
        </w:rPr>
        <w:sectPr w:rsidR="00790C4F" w:rsidSect="00790C4F">
          <w:pgSz w:w="16840" w:h="11907" w:orient="landscape" w:code="9"/>
          <w:pgMar w:top="1985" w:right="1701" w:bottom="1418" w:left="1701" w:header="567" w:footer="397" w:gutter="0"/>
          <w:cols w:space="720"/>
          <w:docGrid w:linePitch="272"/>
        </w:sectPr>
      </w:pPr>
    </w:p>
    <w:tbl>
      <w:tblPr>
        <w:tblW w:w="10231" w:type="dxa"/>
        <w:tblInd w:w="-663" w:type="dxa"/>
        <w:tblCellMar>
          <w:left w:w="70" w:type="dxa"/>
          <w:right w:w="70" w:type="dxa"/>
        </w:tblCellMar>
        <w:tblLook w:val="04A0" w:firstRow="1" w:lastRow="0" w:firstColumn="1" w:lastColumn="0" w:noHBand="0" w:noVBand="1"/>
      </w:tblPr>
      <w:tblGrid>
        <w:gridCol w:w="7148"/>
        <w:gridCol w:w="1216"/>
        <w:gridCol w:w="1216"/>
        <w:gridCol w:w="651"/>
      </w:tblGrid>
      <w:tr w:rsidR="00B633D2" w:rsidRPr="00B633D2" w:rsidTr="00B633D2">
        <w:trPr>
          <w:trHeight w:val="255"/>
        </w:trPr>
        <w:tc>
          <w:tcPr>
            <w:tcW w:w="8364" w:type="dxa"/>
            <w:gridSpan w:val="2"/>
            <w:tcBorders>
              <w:top w:val="nil"/>
              <w:left w:val="nil"/>
              <w:bottom w:val="nil"/>
              <w:right w:val="nil"/>
            </w:tcBorders>
            <w:shd w:val="clear" w:color="000000" w:fill="FFFFFF"/>
            <w:noWrap/>
            <w:vAlign w:val="center"/>
            <w:hideMark/>
          </w:tcPr>
          <w:p w:rsidR="00B633D2" w:rsidRPr="00B633D2" w:rsidRDefault="00B633D2" w:rsidP="00B633D2">
            <w:pPr>
              <w:rPr>
                <w:rFonts w:ascii="Lucida Bright" w:hAnsi="Lucida Bright" w:cs="Calibri"/>
                <w:b/>
                <w:bCs/>
                <w:lang w:val="es-ES"/>
              </w:rPr>
            </w:pPr>
            <w:r w:rsidRPr="00B633D2">
              <w:rPr>
                <w:rFonts w:ascii="Lucida Bright" w:hAnsi="Lucida Bright" w:cs="Calibri"/>
                <w:b/>
                <w:bCs/>
                <w:lang w:val="es-ES"/>
              </w:rPr>
              <w:lastRenderedPageBreak/>
              <w:t>Estado de flujos de efectivo correspondiente al ejercicio terminado el 31-12-23</w:t>
            </w:r>
          </w:p>
        </w:tc>
        <w:tc>
          <w:tcPr>
            <w:tcW w:w="1216" w:type="dxa"/>
            <w:tcBorders>
              <w:top w:val="nil"/>
              <w:left w:val="nil"/>
              <w:bottom w:val="nil"/>
              <w:right w:val="nil"/>
            </w:tcBorders>
            <w:shd w:val="clear" w:color="000000" w:fill="FFFFFF"/>
            <w:noWrap/>
            <w:vAlign w:val="bottom"/>
            <w:hideMark/>
          </w:tcPr>
          <w:p w:rsidR="00B633D2" w:rsidRPr="00B633D2" w:rsidRDefault="00B633D2" w:rsidP="00B633D2">
            <w:pPr>
              <w:rPr>
                <w:rFonts w:ascii="Lucida Bright" w:hAnsi="Lucida Bright" w:cs="Calibri"/>
                <w:lang w:val="es-ES"/>
              </w:rPr>
            </w:pPr>
            <w:r w:rsidRPr="00B633D2">
              <w:rPr>
                <w:rFonts w:ascii="Lucida Bright" w:hAnsi="Lucida Bright" w:cs="Calibri"/>
                <w:lang w:val="es-ES"/>
              </w:rPr>
              <w:t> </w:t>
            </w:r>
          </w:p>
        </w:tc>
        <w:tc>
          <w:tcPr>
            <w:tcW w:w="651" w:type="dxa"/>
            <w:tcBorders>
              <w:top w:val="nil"/>
              <w:left w:val="nil"/>
              <w:bottom w:val="nil"/>
              <w:right w:val="nil"/>
            </w:tcBorders>
            <w:shd w:val="clear" w:color="auto" w:fill="auto"/>
            <w:noWrap/>
            <w:vAlign w:val="bottom"/>
            <w:hideMark/>
          </w:tcPr>
          <w:p w:rsidR="00B633D2" w:rsidRPr="00B633D2" w:rsidRDefault="00B633D2" w:rsidP="00B633D2">
            <w:pPr>
              <w:rPr>
                <w:rFonts w:ascii="Lucida Bright" w:hAnsi="Lucida Bright" w:cs="Calibri"/>
                <w:color w:val="000000"/>
                <w:lang w:val="es-ES"/>
              </w:rPr>
            </w:pPr>
          </w:p>
        </w:tc>
      </w:tr>
      <w:tr w:rsidR="00B633D2" w:rsidRPr="00B633D2" w:rsidTr="00B633D2">
        <w:trPr>
          <w:trHeight w:val="180"/>
        </w:trPr>
        <w:tc>
          <w:tcPr>
            <w:tcW w:w="7148" w:type="dxa"/>
            <w:tcBorders>
              <w:top w:val="nil"/>
              <w:left w:val="nil"/>
              <w:bottom w:val="nil"/>
              <w:right w:val="nil"/>
            </w:tcBorders>
            <w:shd w:val="clear" w:color="000000" w:fill="FFFFFF"/>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(en euros)</w:t>
            </w:r>
          </w:p>
        </w:tc>
        <w:tc>
          <w:tcPr>
            <w:tcW w:w="1216" w:type="dxa"/>
            <w:tcBorders>
              <w:top w:val="nil"/>
              <w:left w:val="nil"/>
              <w:bottom w:val="nil"/>
              <w:right w:val="nil"/>
            </w:tcBorders>
            <w:shd w:val="clear" w:color="000000" w:fill="FFFFFF"/>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w:t>
            </w:r>
          </w:p>
        </w:tc>
        <w:tc>
          <w:tcPr>
            <w:tcW w:w="1216" w:type="dxa"/>
            <w:tcBorders>
              <w:top w:val="nil"/>
              <w:left w:val="nil"/>
              <w:bottom w:val="nil"/>
              <w:right w:val="nil"/>
            </w:tcBorders>
            <w:shd w:val="clear" w:color="000000" w:fill="FFFFFF"/>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w:t>
            </w:r>
          </w:p>
        </w:tc>
        <w:tc>
          <w:tcPr>
            <w:tcW w:w="651" w:type="dxa"/>
            <w:tcBorders>
              <w:top w:val="nil"/>
              <w:left w:val="nil"/>
              <w:bottom w:val="nil"/>
              <w:right w:val="nil"/>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p>
        </w:tc>
      </w:tr>
      <w:tr w:rsidR="00B633D2" w:rsidRPr="00B633D2" w:rsidTr="00B633D2">
        <w:trPr>
          <w:trHeight w:val="180"/>
        </w:trPr>
        <w:tc>
          <w:tcPr>
            <w:tcW w:w="7148" w:type="dxa"/>
            <w:tcBorders>
              <w:top w:val="single" w:sz="4" w:space="0" w:color="auto"/>
              <w:left w:val="single" w:sz="4" w:space="0" w:color="auto"/>
              <w:bottom w:val="single" w:sz="4" w:space="0" w:color="auto"/>
              <w:right w:val="nil"/>
            </w:tcBorders>
            <w:shd w:val="clear" w:color="000000" w:fill="CCFFCC"/>
            <w:noWrap/>
            <w:vAlign w:val="center"/>
            <w:hideMark/>
          </w:tcPr>
          <w:p w:rsidR="00B633D2" w:rsidRPr="00B633D2" w:rsidRDefault="00B633D2" w:rsidP="00B633D2">
            <w:pPr>
              <w:jc w:val="center"/>
              <w:rPr>
                <w:rFonts w:ascii="Lucida Bright" w:hAnsi="Lucida Bright" w:cs="Calibri"/>
                <w:b/>
                <w:bCs/>
                <w:sz w:val="14"/>
                <w:szCs w:val="14"/>
                <w:lang w:val="es-ES"/>
              </w:rPr>
            </w:pPr>
            <w:r w:rsidRPr="00B633D2">
              <w:rPr>
                <w:rFonts w:ascii="Lucida Bright" w:hAnsi="Lucida Bright" w:cs="Calibri"/>
                <w:b/>
                <w:bCs/>
                <w:sz w:val="14"/>
                <w:szCs w:val="14"/>
                <w:lang w:val="es-ES"/>
              </w:rPr>
              <w:t>CONCEPTO</w:t>
            </w:r>
          </w:p>
        </w:tc>
        <w:tc>
          <w:tcPr>
            <w:tcW w:w="121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B633D2" w:rsidRPr="00B633D2" w:rsidRDefault="00B633D2" w:rsidP="00B633D2">
            <w:pPr>
              <w:jc w:val="center"/>
              <w:rPr>
                <w:rFonts w:ascii="Lucida Bright" w:hAnsi="Lucida Bright" w:cs="Calibri"/>
                <w:b/>
                <w:bCs/>
                <w:sz w:val="14"/>
                <w:szCs w:val="14"/>
                <w:lang w:val="es-ES"/>
              </w:rPr>
            </w:pPr>
            <w:r w:rsidRPr="00B633D2">
              <w:rPr>
                <w:rFonts w:ascii="Lucida Bright" w:hAnsi="Lucida Bright" w:cs="Calibri"/>
                <w:b/>
                <w:bCs/>
                <w:sz w:val="14"/>
                <w:szCs w:val="14"/>
                <w:lang w:val="es-ES"/>
              </w:rPr>
              <w:t>2023</w:t>
            </w:r>
          </w:p>
        </w:tc>
        <w:tc>
          <w:tcPr>
            <w:tcW w:w="1216" w:type="dxa"/>
            <w:tcBorders>
              <w:top w:val="single" w:sz="4" w:space="0" w:color="auto"/>
              <w:left w:val="nil"/>
              <w:bottom w:val="single" w:sz="4" w:space="0" w:color="auto"/>
              <w:right w:val="single" w:sz="4" w:space="0" w:color="auto"/>
            </w:tcBorders>
            <w:shd w:val="clear" w:color="000000" w:fill="CCFFCC"/>
            <w:noWrap/>
            <w:vAlign w:val="center"/>
            <w:hideMark/>
          </w:tcPr>
          <w:p w:rsidR="00B633D2" w:rsidRPr="00B633D2" w:rsidRDefault="00B633D2" w:rsidP="00B633D2">
            <w:pPr>
              <w:jc w:val="center"/>
              <w:rPr>
                <w:rFonts w:ascii="Lucida Bright" w:hAnsi="Lucida Bright" w:cs="Calibri"/>
                <w:b/>
                <w:bCs/>
                <w:sz w:val="14"/>
                <w:szCs w:val="14"/>
                <w:lang w:val="es-ES"/>
              </w:rPr>
            </w:pPr>
            <w:r w:rsidRPr="00B633D2">
              <w:rPr>
                <w:rFonts w:ascii="Lucida Bright" w:hAnsi="Lucida Bright" w:cs="Calibri"/>
                <w:b/>
                <w:bCs/>
                <w:sz w:val="14"/>
                <w:szCs w:val="14"/>
                <w:lang w:val="es-ES"/>
              </w:rPr>
              <w:t>2022</w:t>
            </w:r>
          </w:p>
        </w:tc>
        <w:tc>
          <w:tcPr>
            <w:tcW w:w="651" w:type="dxa"/>
            <w:tcBorders>
              <w:top w:val="single" w:sz="4" w:space="0" w:color="auto"/>
              <w:left w:val="nil"/>
              <w:bottom w:val="single" w:sz="4" w:space="0" w:color="auto"/>
              <w:right w:val="single" w:sz="4" w:space="0" w:color="auto"/>
            </w:tcBorders>
            <w:shd w:val="clear" w:color="000000" w:fill="CCFFCC"/>
            <w:noWrap/>
            <w:vAlign w:val="bottom"/>
            <w:hideMark/>
          </w:tcPr>
          <w:p w:rsidR="00B633D2" w:rsidRPr="00B633D2" w:rsidRDefault="00B633D2" w:rsidP="00B633D2">
            <w:pPr>
              <w:rPr>
                <w:rFonts w:ascii="Lucida Bright" w:hAnsi="Lucida Bright" w:cs="Calibri"/>
                <w:b/>
                <w:bCs/>
                <w:color w:val="000000"/>
                <w:sz w:val="14"/>
                <w:szCs w:val="14"/>
                <w:lang w:val="es-ES"/>
              </w:rPr>
            </w:pPr>
            <w:r w:rsidRPr="00B633D2">
              <w:rPr>
                <w:rFonts w:ascii="Lucida Bright" w:hAnsi="Lucida Bright" w:cs="Calibri"/>
                <w:b/>
                <w:bCs/>
                <w:color w:val="000000"/>
                <w:sz w:val="14"/>
                <w:szCs w:val="14"/>
                <w:lang w:val="es-ES"/>
              </w:rPr>
              <w:t>Notas</w:t>
            </w:r>
          </w:p>
        </w:tc>
      </w:tr>
      <w:tr w:rsidR="00B633D2" w:rsidRPr="00B633D2" w:rsidTr="00B633D2">
        <w:trPr>
          <w:trHeight w:val="180"/>
        </w:trPr>
        <w:tc>
          <w:tcPr>
            <w:tcW w:w="7148" w:type="dxa"/>
            <w:tcBorders>
              <w:top w:val="nil"/>
              <w:left w:val="single" w:sz="4" w:space="0" w:color="auto"/>
              <w:bottom w:val="nil"/>
              <w:right w:val="nil"/>
            </w:tcBorders>
            <w:shd w:val="clear" w:color="000000" w:fill="CCFFCC"/>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A) FLUJOS DE EFECTIVO DE LAS ACTIVIDADES DE EXPLOTACIÓN (+/-1+/-2+/-3+/-4)</w:t>
            </w:r>
          </w:p>
        </w:tc>
        <w:tc>
          <w:tcPr>
            <w:tcW w:w="1216" w:type="dxa"/>
            <w:tcBorders>
              <w:top w:val="nil"/>
              <w:left w:val="single" w:sz="4" w:space="0" w:color="auto"/>
              <w:bottom w:val="nil"/>
              <w:right w:val="single" w:sz="4" w:space="0" w:color="auto"/>
            </w:tcBorders>
            <w:shd w:val="clear" w:color="000000" w:fill="CCFFCC"/>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65.986.841,39  </w:t>
            </w:r>
          </w:p>
        </w:tc>
        <w:tc>
          <w:tcPr>
            <w:tcW w:w="1216" w:type="dxa"/>
            <w:tcBorders>
              <w:top w:val="nil"/>
              <w:left w:val="nil"/>
              <w:bottom w:val="nil"/>
              <w:right w:val="single" w:sz="4" w:space="0" w:color="auto"/>
            </w:tcBorders>
            <w:shd w:val="clear" w:color="000000" w:fill="CCFFCC"/>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62.145.925,01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1. Resultado del ejercicio antes de impuestos</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47.050.375,18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32.807.595,40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2. Ajustes del resultado</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15.583.536,64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24.841.538,67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a) Amortización del inmovilizado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19.348.744,55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18.532.515,35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b) Correcciones valorativas por deterioro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9.713,29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c) Variación de provisiones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1.535.106,08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8.139.450,93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d) Imputación de subvenciones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(969.362,82)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(942.332,47)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e) Resultados por bajas y enajenaciones del inmovilizado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398.372,74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(542.487,87)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f) Resultados por bajas y enajenaciones de instrumentos financieros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g) Ingresos financieros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(4.996.788,79)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(208.314,76)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h) Gastos financieros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366.112,01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64.222,33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i) Variación de valor razonable en instrumentos financieros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j) Ingresos traspasados al resultado por concesiones revertidas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(121.594,21)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(172.721,96)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k) Imputación a resultados de anticipos recibidos por ventas o prestación de servicios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l) Otros ingresos y gastos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13.233,79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(28.792,88)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3. Cambios en el capital corriente</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1.525.235,20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7.439.648,40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a) Existencias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1.660,96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11.869,21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b) Deudores y otras cuentas a cobrar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(1.556.485,86)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6.097.664,16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c) Otros activos corrientes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(1.244.438,00)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d) Acreedores y otras cuentas a pagar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1.715.126,20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830.248,20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e) Otros pasivos corrientes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1.700.200,68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1.983.304,83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f) Otros activos y pasivos no corrientes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(335.266,78)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(239.000,00)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4. Otros flujos de efectivo de las actividades de explotación</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1.827.694,37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(2.942.857,46)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a) Pagos de intereses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(2.909,60)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(2.183,37)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b) Cobros de dividendos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c) Cobros de intereses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3.352.746,81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75.259,76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d) Pagos de principales e intereses de demora por litigios tarifarios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(8.061,32)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e) Cobros de OPPE para el pago de principales e intereses de demora por litigios </w:t>
            </w:r>
            <w:proofErr w:type="spellStart"/>
            <w:r w:rsidRPr="00B633D2">
              <w:rPr>
                <w:rFonts w:ascii="Lucida Bright" w:hAnsi="Lucida Bright" w:cs="Calibri"/>
                <w:sz w:val="14"/>
                <w:szCs w:val="14"/>
                <w:lang w:val="es-ES"/>
              </w:rPr>
              <w:t>tarif</w:t>
            </w:r>
            <w:proofErr w:type="spellEnd"/>
            <w:r w:rsidRPr="00B633D2">
              <w:rPr>
                <w:rFonts w:ascii="Lucida Bright" w:hAnsi="Lucida Bright" w:cs="Calibri"/>
                <w:sz w:val="14"/>
                <w:szCs w:val="14"/>
                <w:lang w:val="es-ES"/>
              </w:rPr>
              <w:t>.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(10.788,81)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155.703,65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f) Cobros (pagos) por impuesto sobre beneficios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(1.296.554,03)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(3.163.576,18)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g) Otros pagos (cobros)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(214.800,00)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000000" w:fill="CCFFCC"/>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B) FLUJOS DE EFECTIVO DE LAS ACTIVIDADES DE INVERSIÓN (7-6)</w:t>
            </w:r>
          </w:p>
        </w:tc>
        <w:tc>
          <w:tcPr>
            <w:tcW w:w="1216" w:type="dxa"/>
            <w:tcBorders>
              <w:top w:val="nil"/>
              <w:left w:val="single" w:sz="4" w:space="0" w:color="auto"/>
              <w:bottom w:val="nil"/>
              <w:right w:val="single" w:sz="4" w:space="0" w:color="auto"/>
            </w:tcBorders>
            <w:shd w:val="clear" w:color="000000" w:fill="CCFFCC"/>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(91.202.459,95)  </w:t>
            </w:r>
          </w:p>
        </w:tc>
        <w:tc>
          <w:tcPr>
            <w:tcW w:w="1216" w:type="dxa"/>
            <w:tcBorders>
              <w:top w:val="nil"/>
              <w:left w:val="nil"/>
              <w:bottom w:val="nil"/>
              <w:right w:val="single" w:sz="4" w:space="0" w:color="auto"/>
            </w:tcBorders>
            <w:shd w:val="clear" w:color="000000" w:fill="CCFFCC"/>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(98.940.595,77)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6. Pagos por inversiones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(91.230.342,31)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(99.555.878,86)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a) Empresas del grupo y asociadas</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(3.845.000,00)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b) Inmovilizado intangible</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c) Inmovilizado material</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(41.214.292,31)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(18.560.358,86)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d) Inversiones inmobiliarias</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e) Otros activos financieros</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(50.016.050,00)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(77.150.520,00)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f) Activos no corrientes mantenidos para la venta</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g) Otros activos</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7. Cobros por desinversiones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27.882,36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615.283,09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r w:rsidR="00802A23">
              <w:rPr>
                <w:rFonts w:ascii="Lucida Bright" w:hAnsi="Lucida Bright" w:cs="Calibri"/>
                <w:color w:val="000000"/>
                <w:sz w:val="14"/>
                <w:szCs w:val="14"/>
                <w:lang w:val="es-ES"/>
              </w:rPr>
              <w:t>9.1</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a) Empresas del grupo y asociadas</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27.882,36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11.211,22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b) Inmovilizado intangible</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c) Inmovilizado material</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604.071,87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d) Inversiones inmobiliarias</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e) Otros activos financieros</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f) Activos no corrientes mantenidos para la venta</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g) Otros activos</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000000" w:fill="CCFFCC"/>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C) FLUJOS DE EFECTIVO DE LAS ACTIVIDADES DE FINANCIACIÓN (+/-9+/-10)</w:t>
            </w:r>
          </w:p>
        </w:tc>
        <w:tc>
          <w:tcPr>
            <w:tcW w:w="1216" w:type="dxa"/>
            <w:tcBorders>
              <w:top w:val="nil"/>
              <w:left w:val="single" w:sz="4" w:space="0" w:color="auto"/>
              <w:bottom w:val="nil"/>
              <w:right w:val="single" w:sz="4" w:space="0" w:color="auto"/>
            </w:tcBorders>
            <w:shd w:val="clear" w:color="000000" w:fill="CCFFCC"/>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1.151.422,83  </w:t>
            </w:r>
          </w:p>
        </w:tc>
        <w:tc>
          <w:tcPr>
            <w:tcW w:w="1216" w:type="dxa"/>
            <w:tcBorders>
              <w:top w:val="nil"/>
              <w:left w:val="nil"/>
              <w:bottom w:val="nil"/>
              <w:right w:val="single" w:sz="4" w:space="0" w:color="auto"/>
            </w:tcBorders>
            <w:shd w:val="clear" w:color="000000" w:fill="CCFFCC"/>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540.254,75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9. Cobros y pagos por instrumentos de patrimonio</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1.151.422,83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540.254,75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r w:rsidR="00802A23">
              <w:rPr>
                <w:rFonts w:ascii="Lucida Bright" w:hAnsi="Lucida Bright" w:cs="Calibri"/>
                <w:color w:val="000000"/>
                <w:sz w:val="14"/>
                <w:szCs w:val="14"/>
                <w:lang w:val="es-ES"/>
              </w:rPr>
              <w:t>11</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a) Subvenciones, donaciones y legados recibidos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1.151.422,83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540.254,75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b) Aumento/Disminución de Patrimonio (+/-)</w:t>
            </w:r>
          </w:p>
        </w:tc>
        <w:tc>
          <w:tcPr>
            <w:tcW w:w="1216" w:type="dxa"/>
            <w:tcBorders>
              <w:top w:val="nil"/>
              <w:left w:val="single" w:sz="4" w:space="0" w:color="auto"/>
              <w:bottom w:val="nil"/>
              <w:right w:val="single" w:sz="4" w:space="0" w:color="auto"/>
            </w:tcBorders>
            <w:shd w:val="clear" w:color="auto" w:fill="auto"/>
            <w:noWrap/>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10. Cobros y pagos por instrumentos de pasivo financiero</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a) Emisión</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1. Deudas con entidades de crédito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2. Deudas con empresas del grupo y asociadas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3. Otras deudas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b) Devolución y amortización de</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1. Deudas con entidades de crédito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2. Deudas con empresas del grupo y asociadas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3. Otras deudas (-)</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000000" w:fill="CCFFCC"/>
            <w:noWrap/>
            <w:vAlign w:val="center"/>
            <w:hideMark/>
          </w:tcPr>
          <w:p w:rsidR="00B633D2" w:rsidRPr="00B633D2" w:rsidRDefault="00B633D2" w:rsidP="00B633D2">
            <w:pPr>
              <w:rPr>
                <w:rFonts w:ascii="Lucida Bright" w:hAnsi="Lucida Bright" w:cs="Calibri"/>
                <w:b/>
                <w:bCs/>
                <w:sz w:val="14"/>
                <w:szCs w:val="14"/>
                <w:lang w:val="es-ES"/>
              </w:rPr>
            </w:pPr>
            <w:r w:rsidRPr="00B633D2">
              <w:rPr>
                <w:rFonts w:ascii="Lucida Bright" w:hAnsi="Lucida Bright" w:cs="Calibri"/>
                <w:b/>
                <w:bCs/>
                <w:sz w:val="14"/>
                <w:szCs w:val="14"/>
                <w:lang w:val="es-ES"/>
              </w:rPr>
              <w:t xml:space="preserve"> E) AUMENTO/DISMINUCIÓN NETA DEL EFECTIVO O EQUIVALENTES (+/-A+/-B+/-C)</w:t>
            </w:r>
          </w:p>
        </w:tc>
        <w:tc>
          <w:tcPr>
            <w:tcW w:w="1216" w:type="dxa"/>
            <w:tcBorders>
              <w:top w:val="nil"/>
              <w:left w:val="single" w:sz="4" w:space="0" w:color="auto"/>
              <w:bottom w:val="nil"/>
              <w:right w:val="single" w:sz="4" w:space="0" w:color="auto"/>
            </w:tcBorders>
            <w:shd w:val="clear" w:color="000000" w:fill="CCFFCC"/>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(24.064.195,73)  </w:t>
            </w:r>
          </w:p>
        </w:tc>
        <w:tc>
          <w:tcPr>
            <w:tcW w:w="1216" w:type="dxa"/>
            <w:tcBorders>
              <w:top w:val="nil"/>
              <w:left w:val="nil"/>
              <w:bottom w:val="nil"/>
              <w:right w:val="single" w:sz="4" w:space="0" w:color="auto"/>
            </w:tcBorders>
            <w:shd w:val="clear" w:color="000000" w:fill="CCFFCC"/>
            <w:noWrap/>
            <w:vAlign w:val="center"/>
            <w:hideMark/>
          </w:tcPr>
          <w:p w:rsidR="00B633D2" w:rsidRPr="00B633D2" w:rsidRDefault="00B633D2" w:rsidP="00B633D2">
            <w:pPr>
              <w:jc w:val="right"/>
              <w:rPr>
                <w:rFonts w:ascii="Lucida Bright" w:hAnsi="Lucida Bright" w:cs="Calibri"/>
                <w:b/>
                <w:bCs/>
                <w:sz w:val="14"/>
                <w:szCs w:val="14"/>
                <w:lang w:val="es-ES"/>
              </w:rPr>
            </w:pPr>
            <w:r w:rsidRPr="00B633D2">
              <w:rPr>
                <w:rFonts w:ascii="Lucida Bright" w:hAnsi="Lucida Bright" w:cs="Calibri"/>
                <w:b/>
                <w:bCs/>
                <w:sz w:val="14"/>
                <w:szCs w:val="14"/>
                <w:lang w:val="es-ES"/>
              </w:rPr>
              <w:t xml:space="preserve">(36.254.416,01)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nil"/>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Efectivo o equivalentes al comienzo del ejercicio</w:t>
            </w:r>
          </w:p>
        </w:tc>
        <w:tc>
          <w:tcPr>
            <w:tcW w:w="1216" w:type="dxa"/>
            <w:tcBorders>
              <w:top w:val="nil"/>
              <w:left w:val="single" w:sz="4" w:space="0" w:color="auto"/>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163.008.339,31  </w:t>
            </w:r>
          </w:p>
        </w:tc>
        <w:tc>
          <w:tcPr>
            <w:tcW w:w="1216" w:type="dxa"/>
            <w:tcBorders>
              <w:top w:val="nil"/>
              <w:left w:val="nil"/>
              <w:bottom w:val="nil"/>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199.262.755,32  </w:t>
            </w:r>
          </w:p>
        </w:tc>
        <w:tc>
          <w:tcPr>
            <w:tcW w:w="651" w:type="dxa"/>
            <w:tcBorders>
              <w:top w:val="nil"/>
              <w:left w:val="nil"/>
              <w:bottom w:val="nil"/>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r w:rsidR="00B633D2" w:rsidRPr="00B633D2" w:rsidTr="00B633D2">
        <w:trPr>
          <w:trHeight w:val="180"/>
        </w:trPr>
        <w:tc>
          <w:tcPr>
            <w:tcW w:w="7148" w:type="dxa"/>
            <w:tcBorders>
              <w:top w:val="nil"/>
              <w:left w:val="single" w:sz="4" w:space="0" w:color="auto"/>
              <w:bottom w:val="single" w:sz="4" w:space="0" w:color="auto"/>
              <w:right w:val="nil"/>
            </w:tcBorders>
            <w:shd w:val="clear" w:color="auto" w:fill="auto"/>
            <w:noWrap/>
            <w:vAlign w:val="center"/>
            <w:hideMark/>
          </w:tcPr>
          <w:p w:rsidR="00B633D2" w:rsidRPr="00B633D2" w:rsidRDefault="00B633D2" w:rsidP="00B633D2">
            <w:pPr>
              <w:rPr>
                <w:rFonts w:ascii="Lucida Bright" w:hAnsi="Lucida Bright" w:cs="Calibri"/>
                <w:sz w:val="14"/>
                <w:szCs w:val="14"/>
                <w:lang w:val="es-ES"/>
              </w:rPr>
            </w:pPr>
            <w:r w:rsidRPr="00B633D2">
              <w:rPr>
                <w:rFonts w:ascii="Lucida Bright" w:hAnsi="Lucida Bright" w:cs="Calibri"/>
                <w:sz w:val="14"/>
                <w:szCs w:val="14"/>
                <w:lang w:val="es-ES"/>
              </w:rPr>
              <w:t xml:space="preserve">         Efectivo o equivalentes al final del ejercicio</w:t>
            </w:r>
          </w:p>
        </w:tc>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138.944.143,58  </w:t>
            </w:r>
          </w:p>
        </w:tc>
        <w:tc>
          <w:tcPr>
            <w:tcW w:w="1216" w:type="dxa"/>
            <w:tcBorders>
              <w:top w:val="nil"/>
              <w:left w:val="nil"/>
              <w:bottom w:val="single" w:sz="4" w:space="0" w:color="auto"/>
              <w:right w:val="single" w:sz="4" w:space="0" w:color="auto"/>
            </w:tcBorders>
            <w:shd w:val="clear" w:color="auto" w:fill="auto"/>
            <w:noWrap/>
            <w:vAlign w:val="center"/>
            <w:hideMark/>
          </w:tcPr>
          <w:p w:rsidR="00B633D2" w:rsidRPr="00B633D2" w:rsidRDefault="00B633D2" w:rsidP="00B633D2">
            <w:pPr>
              <w:jc w:val="right"/>
              <w:rPr>
                <w:rFonts w:ascii="Lucida Bright" w:hAnsi="Lucida Bright" w:cs="Calibri"/>
                <w:sz w:val="14"/>
                <w:szCs w:val="14"/>
                <w:lang w:val="es-ES"/>
              </w:rPr>
            </w:pPr>
            <w:r w:rsidRPr="00B633D2">
              <w:rPr>
                <w:rFonts w:ascii="Lucida Bright" w:hAnsi="Lucida Bright" w:cs="Calibri"/>
                <w:sz w:val="14"/>
                <w:szCs w:val="14"/>
                <w:lang w:val="es-ES"/>
              </w:rPr>
              <w:t xml:space="preserve">163.008.339,31  </w:t>
            </w:r>
          </w:p>
        </w:tc>
        <w:tc>
          <w:tcPr>
            <w:tcW w:w="651" w:type="dxa"/>
            <w:tcBorders>
              <w:top w:val="nil"/>
              <w:left w:val="nil"/>
              <w:bottom w:val="single" w:sz="4" w:space="0" w:color="auto"/>
              <w:right w:val="single" w:sz="4" w:space="0" w:color="auto"/>
            </w:tcBorders>
            <w:shd w:val="clear" w:color="auto" w:fill="auto"/>
            <w:noWrap/>
            <w:vAlign w:val="bottom"/>
            <w:hideMark/>
          </w:tcPr>
          <w:p w:rsidR="00B633D2" w:rsidRPr="00B633D2" w:rsidRDefault="00B633D2" w:rsidP="00B633D2">
            <w:pPr>
              <w:rPr>
                <w:rFonts w:ascii="Lucida Bright" w:hAnsi="Lucida Bright" w:cs="Calibri"/>
                <w:color w:val="000000"/>
                <w:sz w:val="14"/>
                <w:szCs w:val="14"/>
                <w:lang w:val="es-ES"/>
              </w:rPr>
            </w:pPr>
            <w:r w:rsidRPr="00B633D2">
              <w:rPr>
                <w:rFonts w:ascii="Lucida Bright" w:hAnsi="Lucida Bright" w:cs="Calibri"/>
                <w:color w:val="000000"/>
                <w:sz w:val="14"/>
                <w:szCs w:val="14"/>
                <w:lang w:val="es-ES"/>
              </w:rPr>
              <w:t> </w:t>
            </w:r>
          </w:p>
        </w:tc>
      </w:tr>
    </w:tbl>
    <w:p w:rsidR="005E54C0" w:rsidRDefault="005E54C0" w:rsidP="00106204">
      <w:pPr>
        <w:shd w:val="clear" w:color="auto" w:fill="FFFFFF"/>
        <w:ind w:right="330"/>
        <w:rPr>
          <w:rFonts w:ascii="Lucida Bright" w:eastAsia="Lucida Bright" w:hAnsi="Lucida Bright" w:cs="Lucida Bright"/>
          <w:b/>
          <w:bCs/>
          <w:color w:val="000000"/>
          <w:sz w:val="19"/>
          <w:highlight w:val="white"/>
        </w:rPr>
      </w:pPr>
    </w:p>
    <w:p w:rsidR="000A2AAF" w:rsidRDefault="000A2AAF" w:rsidP="00106204">
      <w:pPr>
        <w:shd w:val="clear" w:color="auto" w:fill="FFFFFF"/>
        <w:ind w:right="330"/>
        <w:rPr>
          <w:lang w:val="es-ES"/>
        </w:rPr>
      </w:pPr>
      <w:r>
        <w:rPr>
          <w:rFonts w:eastAsia="Lucida Bright"/>
          <w:highlight w:val="white"/>
        </w:rPr>
        <w:fldChar w:fldCharType="begin"/>
      </w:r>
      <w:r>
        <w:rPr>
          <w:rFonts w:eastAsia="Lucida Bright"/>
          <w:highlight w:val="white"/>
        </w:rPr>
        <w:instrText xml:space="preserve"> LINK </w:instrText>
      </w:r>
      <w:r w:rsidR="00D24A8A">
        <w:rPr>
          <w:rFonts w:eastAsia="Lucida Bright"/>
          <w:highlight w:val="white"/>
        </w:rPr>
        <w:instrText xml:space="preserve">Excel.Sheet.12 "C:\\Users\\rnavarro\\Desktop\\MARGA POMAR\\CUENTAS ANUALES 2021\\_02. ANUALES__c. Estado de Flujos de Efectivo (FY21, BALEARES).xlsx" "Table 2!F1C1:F48C3" </w:instrText>
      </w:r>
      <w:r>
        <w:rPr>
          <w:rFonts w:eastAsia="Lucida Bright"/>
          <w:highlight w:val="white"/>
        </w:rPr>
        <w:instrText xml:space="preserve">\a \f 4 \h  \* MERGEFORMAT </w:instrText>
      </w:r>
      <w:r>
        <w:rPr>
          <w:rFonts w:eastAsia="Lucida Bright"/>
          <w:highlight w:val="white"/>
        </w:rPr>
        <w:fldChar w:fldCharType="separate"/>
      </w:r>
    </w:p>
    <w:p w:rsidR="00EE5732" w:rsidRDefault="000A2AAF" w:rsidP="00842F38">
      <w:pPr>
        <w:shd w:val="clear" w:color="auto" w:fill="FFFFFF"/>
        <w:ind w:right="330"/>
        <w:rPr>
          <w:rFonts w:ascii="Lucida Bright" w:eastAsia="Lucida Bright" w:hAnsi="Lucida Bright" w:cs="Lucida Bright"/>
          <w:b/>
          <w:bCs/>
          <w:color w:val="000000"/>
          <w:sz w:val="19"/>
          <w:highlight w:val="white"/>
        </w:rPr>
      </w:pPr>
      <w:r>
        <w:rPr>
          <w:rFonts w:ascii="Lucida Bright" w:eastAsia="Lucida Bright" w:hAnsi="Lucida Bright" w:cs="Lucida Bright"/>
          <w:b/>
          <w:bCs/>
          <w:color w:val="000000"/>
          <w:sz w:val="19"/>
          <w:highlight w:val="white"/>
        </w:rPr>
        <w:fldChar w:fldCharType="end"/>
      </w: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1C4AD5" w:rsidRDefault="001C4AD5" w:rsidP="00842F38">
      <w:pPr>
        <w:shd w:val="clear" w:color="auto" w:fill="FFFFFF"/>
        <w:ind w:right="330"/>
        <w:rPr>
          <w:rFonts w:ascii="Lucida Bright" w:eastAsia="Lucida Bright" w:hAnsi="Lucida Bright" w:cs="Lucida Bright"/>
          <w:b/>
          <w:bCs/>
          <w:color w:val="000000"/>
          <w:sz w:val="19"/>
          <w:highlight w:val="white"/>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052B62" w:rsidRDefault="00052B62" w:rsidP="00E13AD1">
      <w:pPr>
        <w:rPr>
          <w:b/>
          <w:bCs/>
          <w:sz w:val="22"/>
          <w:szCs w:val="22"/>
        </w:rPr>
      </w:pPr>
    </w:p>
    <w:p w:rsidR="001C4AD5" w:rsidRDefault="001C4AD5" w:rsidP="00DD4D9A">
      <w:pPr>
        <w:pStyle w:val="ListParagraph1"/>
        <w:ind w:left="0"/>
        <w:jc w:val="center"/>
        <w:rPr>
          <w:b/>
          <w:sz w:val="52"/>
          <w:szCs w:val="52"/>
        </w:rPr>
      </w:pPr>
    </w:p>
    <w:p w:rsidR="001C4AD5" w:rsidRDefault="001C4AD5" w:rsidP="00DD4D9A">
      <w:pPr>
        <w:pStyle w:val="ListParagraph1"/>
        <w:ind w:left="0"/>
        <w:jc w:val="center"/>
        <w:rPr>
          <w:b/>
          <w:sz w:val="52"/>
          <w:szCs w:val="52"/>
        </w:rPr>
      </w:pPr>
    </w:p>
    <w:p w:rsidR="001C4AD5" w:rsidRDefault="001C4AD5" w:rsidP="00DD4D9A">
      <w:pPr>
        <w:pStyle w:val="ListParagraph1"/>
        <w:ind w:left="0"/>
        <w:jc w:val="center"/>
        <w:rPr>
          <w:b/>
          <w:sz w:val="52"/>
          <w:szCs w:val="52"/>
        </w:rPr>
      </w:pPr>
    </w:p>
    <w:p w:rsidR="00240624" w:rsidRPr="00240624" w:rsidRDefault="00240624" w:rsidP="00240624">
      <w:pPr>
        <w:pStyle w:val="ListParagraph1"/>
        <w:ind w:left="0"/>
        <w:jc w:val="center"/>
        <w:rPr>
          <w:rStyle w:val="Textoennegrita"/>
          <w:rFonts w:ascii="Frutiger" w:hAnsi="Frutiger"/>
          <w:sz w:val="52"/>
          <w:szCs w:val="52"/>
        </w:rPr>
      </w:pPr>
      <w:r w:rsidRPr="00240624">
        <w:rPr>
          <w:rFonts w:ascii="Frutiger" w:hAnsi="Frutiger"/>
          <w:b/>
          <w:sz w:val="52"/>
          <w:szCs w:val="52"/>
        </w:rPr>
        <w:t xml:space="preserve">MEMORIA </w:t>
      </w:r>
    </w:p>
    <w:p w:rsidR="001C4AD5" w:rsidRDefault="001C4AD5" w:rsidP="00DD4D9A">
      <w:pPr>
        <w:pStyle w:val="ListParagraph1"/>
        <w:ind w:left="0"/>
        <w:jc w:val="center"/>
        <w:rPr>
          <w:b/>
          <w:sz w:val="52"/>
          <w:szCs w:val="52"/>
        </w:rPr>
      </w:pPr>
    </w:p>
    <w:p w:rsidR="00204019" w:rsidRDefault="00204019" w:rsidP="00DD4D9A">
      <w:pPr>
        <w:pStyle w:val="ListParagraph1"/>
        <w:ind w:left="0"/>
        <w:jc w:val="center"/>
        <w:rPr>
          <w:b/>
          <w:sz w:val="52"/>
          <w:szCs w:val="52"/>
        </w:rPr>
      </w:pPr>
    </w:p>
    <w:p w:rsidR="00204019" w:rsidRDefault="00204019" w:rsidP="00DD4D9A">
      <w:pPr>
        <w:pStyle w:val="ListParagraph1"/>
        <w:ind w:left="0"/>
        <w:jc w:val="center"/>
        <w:rPr>
          <w:b/>
          <w:sz w:val="52"/>
          <w:szCs w:val="52"/>
        </w:rPr>
      </w:pPr>
    </w:p>
    <w:p w:rsidR="001C4AD5" w:rsidRDefault="001C4AD5" w:rsidP="00DD4D9A">
      <w:pPr>
        <w:pStyle w:val="ListParagraph1"/>
        <w:ind w:left="0"/>
        <w:jc w:val="center"/>
        <w:rPr>
          <w:b/>
          <w:sz w:val="52"/>
          <w:szCs w:val="52"/>
        </w:rPr>
      </w:pPr>
    </w:p>
    <w:p w:rsidR="00DD4D9A" w:rsidRDefault="00DD4D9A" w:rsidP="00DD4D9A">
      <w:pPr>
        <w:pStyle w:val="ListParagraph1"/>
        <w:ind w:left="0"/>
        <w:jc w:val="center"/>
        <w:rPr>
          <w:b/>
          <w:sz w:val="52"/>
          <w:szCs w:val="52"/>
        </w:rPr>
      </w:pPr>
    </w:p>
    <w:p w:rsidR="002C4355" w:rsidRPr="006434D6" w:rsidRDefault="003B33B5" w:rsidP="008D4ADA">
      <w:pPr>
        <w:pStyle w:val="ListParagraph1"/>
        <w:ind w:left="0"/>
        <w:rPr>
          <w:rFonts w:ascii="NewBaskerville" w:hAnsi="NewBaskerville"/>
          <w:b/>
          <w:sz w:val="24"/>
          <w:szCs w:val="24"/>
        </w:rPr>
      </w:pPr>
      <w:r>
        <w:rPr>
          <w:b/>
          <w:sz w:val="52"/>
          <w:szCs w:val="52"/>
        </w:rPr>
        <w:br w:type="page"/>
      </w:r>
      <w:r w:rsidR="00385F74" w:rsidRPr="006434D6">
        <w:rPr>
          <w:rFonts w:ascii="NewBaskerville" w:hAnsi="NewBaskerville"/>
          <w:b/>
          <w:bCs/>
          <w:sz w:val="24"/>
          <w:szCs w:val="24"/>
        </w:rPr>
        <w:lastRenderedPageBreak/>
        <w:t xml:space="preserve">1. </w:t>
      </w:r>
      <w:r w:rsidR="002C4355" w:rsidRPr="006434D6">
        <w:rPr>
          <w:rFonts w:ascii="NewBaskerville" w:hAnsi="NewBaskerville"/>
          <w:b/>
          <w:bCs/>
          <w:sz w:val="24"/>
          <w:szCs w:val="24"/>
        </w:rPr>
        <w:t>Actividad de la entidad</w:t>
      </w:r>
    </w:p>
    <w:p w:rsidR="002C4355" w:rsidRPr="00D31592" w:rsidRDefault="002C4355">
      <w:pPr>
        <w:jc w:val="both"/>
        <w:rPr>
          <w:b/>
        </w:rPr>
      </w:pPr>
    </w:p>
    <w:p w:rsidR="002C4355" w:rsidRPr="006434D6" w:rsidRDefault="00441BF1" w:rsidP="006434D6">
      <w:pPr>
        <w:ind w:firstLine="567"/>
        <w:jc w:val="both"/>
        <w:rPr>
          <w:rFonts w:ascii="NewBaskerville" w:hAnsi="NewBaskerville"/>
        </w:rPr>
      </w:pPr>
      <w:r w:rsidRPr="006434D6">
        <w:rPr>
          <w:rFonts w:ascii="NewBaskerville" w:hAnsi="NewBaskerville"/>
        </w:rPr>
        <w:t>La Autoridad</w:t>
      </w:r>
      <w:r w:rsidR="00E104CB" w:rsidRPr="006434D6">
        <w:rPr>
          <w:rFonts w:ascii="NewBaskerville" w:hAnsi="NewBaskerville"/>
        </w:rPr>
        <w:t xml:space="preserve"> Portuaria</w:t>
      </w:r>
      <w:r w:rsidRPr="006434D6">
        <w:rPr>
          <w:rFonts w:ascii="NewBaskerville" w:hAnsi="NewBaskerville"/>
        </w:rPr>
        <w:t xml:space="preserve"> de Baleares</w:t>
      </w:r>
      <w:r w:rsidR="00E36D30">
        <w:rPr>
          <w:rFonts w:ascii="NewBaskerville" w:hAnsi="NewBaskerville"/>
        </w:rPr>
        <w:t xml:space="preserve"> (en adelante APB o la Entidad)</w:t>
      </w:r>
      <w:r w:rsidRPr="006434D6">
        <w:rPr>
          <w:rFonts w:ascii="NewBaskerville" w:hAnsi="NewBaskerville"/>
        </w:rPr>
        <w:t xml:space="preserve"> es un organismo</w:t>
      </w:r>
      <w:r w:rsidR="00E104CB" w:rsidRPr="006434D6">
        <w:rPr>
          <w:rFonts w:ascii="NewBaskerville" w:hAnsi="NewBaskerville"/>
        </w:rPr>
        <w:t xml:space="preserve"> público</w:t>
      </w:r>
      <w:r w:rsidRPr="006434D6">
        <w:rPr>
          <w:rFonts w:ascii="NewBaskerville" w:hAnsi="NewBaskerville"/>
        </w:rPr>
        <w:t xml:space="preserve"> de los previstos en la letra i) del apartado 2</w:t>
      </w:r>
      <w:r w:rsidR="00E104CB" w:rsidRPr="006434D6">
        <w:rPr>
          <w:rFonts w:ascii="NewBaskerville" w:hAnsi="NewBaskerville"/>
        </w:rPr>
        <w:t xml:space="preserve"> del artículo 2 de la Ley General Presupuestaria, con personalidad jurídica y patrimonio propios, así como plena capacidad de obrar; de</w:t>
      </w:r>
      <w:r w:rsidRPr="006434D6">
        <w:rPr>
          <w:rFonts w:ascii="NewBaskerville" w:hAnsi="NewBaskerville"/>
        </w:rPr>
        <w:t>penden del Ministerio de Transportes</w:t>
      </w:r>
      <w:r w:rsidR="0018037A">
        <w:rPr>
          <w:rFonts w:ascii="NewBaskerville" w:hAnsi="NewBaskerville"/>
        </w:rPr>
        <w:t xml:space="preserve"> y</w:t>
      </w:r>
      <w:r w:rsidRPr="006434D6">
        <w:rPr>
          <w:rFonts w:ascii="NewBaskerville" w:hAnsi="NewBaskerville"/>
        </w:rPr>
        <w:t xml:space="preserve"> Movilidad</w:t>
      </w:r>
      <w:r w:rsidR="0018037A">
        <w:rPr>
          <w:rFonts w:ascii="NewBaskerville" w:hAnsi="NewBaskerville"/>
        </w:rPr>
        <w:t xml:space="preserve"> Sostenible</w:t>
      </w:r>
      <w:r w:rsidR="00E104CB" w:rsidRPr="006434D6">
        <w:rPr>
          <w:rFonts w:ascii="NewBaskerville" w:hAnsi="NewBaskerville"/>
        </w:rPr>
        <w:t>, a través d</w:t>
      </w:r>
      <w:r w:rsidR="00B237A6" w:rsidRPr="006434D6">
        <w:rPr>
          <w:rFonts w:ascii="NewBaskerville" w:hAnsi="NewBaskerville"/>
        </w:rPr>
        <w:t>e Puertos del Estado; y se rige</w:t>
      </w:r>
      <w:r w:rsidR="00E104CB" w:rsidRPr="006434D6">
        <w:rPr>
          <w:rFonts w:ascii="NewBaskerville" w:hAnsi="NewBaskerville"/>
        </w:rPr>
        <w:t xml:space="preserve"> por su legislación específica, por las disposiciones de la Ley General Presupuestaria que les sean de aplicación y, supletoriamente, por la Ley 40/2015, de 1 de octubre, de Régimen Jurídico del Sector Público (D.A. 12ª, en relación con la DD Única de la Ley 40/2015)</w:t>
      </w:r>
      <w:r w:rsidR="00094725" w:rsidRPr="006434D6">
        <w:rPr>
          <w:rFonts w:ascii="NewBaskerville" w:hAnsi="NewBaskerville"/>
        </w:rPr>
        <w:t xml:space="preserve"> y por la Ley 39/2015, de 1 de octubre del Procedimiento Administrativo Común de las Administraciones Públicas</w:t>
      </w:r>
      <w:r w:rsidR="00E104CB" w:rsidRPr="006434D6">
        <w:rPr>
          <w:rFonts w:ascii="NewBaskerville" w:hAnsi="NewBaskerville"/>
        </w:rPr>
        <w:t>.</w:t>
      </w:r>
    </w:p>
    <w:p w:rsidR="002C4355" w:rsidRPr="006434D6" w:rsidRDefault="002C4355" w:rsidP="006434D6">
      <w:pPr>
        <w:ind w:firstLine="568"/>
        <w:jc w:val="both"/>
        <w:rPr>
          <w:rFonts w:ascii="NewBaskerville" w:hAnsi="NewBaskerville"/>
        </w:rPr>
      </w:pPr>
    </w:p>
    <w:p w:rsidR="002C4355" w:rsidRPr="006434D6" w:rsidRDefault="002C4355" w:rsidP="006434D6">
      <w:pPr>
        <w:ind w:firstLine="568"/>
        <w:jc w:val="both"/>
        <w:rPr>
          <w:rFonts w:ascii="NewBaskerville" w:hAnsi="NewBaskerville"/>
        </w:rPr>
      </w:pPr>
      <w:r w:rsidRPr="006434D6">
        <w:rPr>
          <w:rFonts w:ascii="NewBaskerville" w:hAnsi="NewBaskerville"/>
        </w:rPr>
        <w:t>Desarrolla las funciones que</w:t>
      </w:r>
      <w:r w:rsidR="00441BF1" w:rsidRPr="006434D6">
        <w:rPr>
          <w:rFonts w:ascii="NewBaskerville" w:hAnsi="NewBaskerville"/>
        </w:rPr>
        <w:t xml:space="preserve"> </w:t>
      </w:r>
      <w:r w:rsidR="00B237A6" w:rsidRPr="006434D6">
        <w:rPr>
          <w:rFonts w:ascii="NewBaskerville" w:hAnsi="NewBaskerville"/>
        </w:rPr>
        <w:t xml:space="preserve">le asigna </w:t>
      </w:r>
      <w:r w:rsidR="00441BF1" w:rsidRPr="006434D6">
        <w:rPr>
          <w:rFonts w:ascii="NewBaskerville" w:hAnsi="NewBaskerville"/>
        </w:rPr>
        <w:t>el Texto Refu</w:t>
      </w:r>
      <w:r w:rsidR="00557CEE" w:rsidRPr="006434D6">
        <w:rPr>
          <w:rFonts w:ascii="NewBaskerville" w:hAnsi="NewBaskerville"/>
        </w:rPr>
        <w:t>ndido de la Ley de Puertos del E</w:t>
      </w:r>
      <w:r w:rsidR="00B237A6" w:rsidRPr="006434D6">
        <w:rPr>
          <w:rFonts w:ascii="NewBaskerville" w:hAnsi="NewBaskerville"/>
        </w:rPr>
        <w:t>stado y de la Marina Mercante (en adelante TRLPEMM)</w:t>
      </w:r>
      <w:r w:rsidR="00441BF1" w:rsidRPr="006434D6">
        <w:rPr>
          <w:rFonts w:ascii="NewBaskerville" w:hAnsi="NewBaskerville"/>
        </w:rPr>
        <w:t xml:space="preserve"> aprobado por el Real Decreto Legislativo</w:t>
      </w:r>
      <w:r w:rsidR="0024168D" w:rsidRPr="006434D6">
        <w:rPr>
          <w:rFonts w:ascii="NewBaskerville" w:hAnsi="NewBaskerville"/>
        </w:rPr>
        <w:t xml:space="preserve"> 2/2011, de 5 de setiembre, </w:t>
      </w:r>
      <w:r w:rsidRPr="006434D6">
        <w:rPr>
          <w:rFonts w:ascii="NewBaskerville" w:hAnsi="NewBaskerville"/>
        </w:rPr>
        <w:t>bajo el principio general de autonomía funcional y de gestión.</w:t>
      </w:r>
    </w:p>
    <w:p w:rsidR="002C4355" w:rsidRPr="006434D6" w:rsidRDefault="002C4355" w:rsidP="006434D6">
      <w:pPr>
        <w:ind w:firstLine="568"/>
        <w:jc w:val="both"/>
        <w:rPr>
          <w:rFonts w:ascii="NewBaskerville" w:hAnsi="NewBaskerville"/>
        </w:rPr>
      </w:pPr>
    </w:p>
    <w:p w:rsidR="002C4355" w:rsidRPr="006434D6" w:rsidRDefault="002C4355" w:rsidP="006434D6">
      <w:pPr>
        <w:ind w:firstLine="568"/>
        <w:jc w:val="both"/>
        <w:rPr>
          <w:rFonts w:ascii="NewBaskerville" w:hAnsi="NewBaskerville"/>
        </w:rPr>
      </w:pPr>
      <w:r w:rsidRPr="006434D6">
        <w:rPr>
          <w:rFonts w:ascii="NewBaskerville" w:hAnsi="NewBaskerville"/>
        </w:rPr>
        <w:t xml:space="preserve">La Autoridad Portuaria tiene </w:t>
      </w:r>
      <w:r w:rsidR="00933882">
        <w:rPr>
          <w:rFonts w:ascii="NewBaskerville" w:hAnsi="NewBaskerville"/>
        </w:rPr>
        <w:t>las siguientes competencias</w:t>
      </w:r>
      <w:r w:rsidRPr="006434D6">
        <w:rPr>
          <w:rFonts w:ascii="NewBaskerville" w:hAnsi="NewBaskerville"/>
        </w:rPr>
        <w:t>:</w:t>
      </w:r>
    </w:p>
    <w:p w:rsidR="002C4355" w:rsidRPr="006434D6" w:rsidRDefault="006C4F76" w:rsidP="006434D6">
      <w:pPr>
        <w:numPr>
          <w:ilvl w:val="0"/>
          <w:numId w:val="1"/>
        </w:numPr>
        <w:ind w:left="851" w:hanging="284"/>
        <w:jc w:val="both"/>
        <w:rPr>
          <w:rFonts w:ascii="NewBaskerville" w:hAnsi="NewBaskerville"/>
        </w:rPr>
      </w:pPr>
      <w:r>
        <w:rPr>
          <w:rFonts w:ascii="NewBaskerville" w:hAnsi="NewBaskerville"/>
        </w:rPr>
        <w:t>La prestación de los servicios generales, así como la gestión y control de los servicios portuarios para lograr que se desarrollen en condiciones óptimas de eficacia, economía, productividad y seguridad, sin perjuicio de la competencia de otros organismos.</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 xml:space="preserve">La ordenación de la zona de servicio del puerto y de los usos portuarios, en coordinación con las Administraciones </w:t>
      </w:r>
      <w:r w:rsidR="003F24D6" w:rsidRPr="006434D6">
        <w:rPr>
          <w:rFonts w:ascii="NewBaskerville" w:hAnsi="NewBaskerville"/>
        </w:rPr>
        <w:t>competentes</w:t>
      </w:r>
      <w:r w:rsidR="003F24D6">
        <w:rPr>
          <w:rFonts w:ascii="NewBaskerville" w:hAnsi="NewBaskerville"/>
        </w:rPr>
        <w:t xml:space="preserve"> en</w:t>
      </w:r>
      <w:r w:rsidR="001807BF">
        <w:rPr>
          <w:rFonts w:ascii="NewBaskerville" w:hAnsi="NewBaskerville"/>
        </w:rPr>
        <w:t xml:space="preserve"> materia de ordenación de</w:t>
      </w:r>
      <w:r w:rsidR="00CA0A4C">
        <w:rPr>
          <w:rFonts w:ascii="NewBaskerville" w:hAnsi="NewBaskerville"/>
        </w:rPr>
        <w:t>l</w:t>
      </w:r>
      <w:r w:rsidR="001807BF">
        <w:rPr>
          <w:rFonts w:ascii="NewBaskerville" w:hAnsi="NewBaskerville"/>
        </w:rPr>
        <w:t xml:space="preserve"> territorio y urbanismo</w:t>
      </w:r>
      <w:r w:rsidRPr="006434D6">
        <w:rPr>
          <w:rFonts w:ascii="NewBaskerville" w:hAnsi="NewBaskerville"/>
        </w:rPr>
        <w:t>.</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 xml:space="preserve">La planificación, proyecto, construcción, conservación y explotación de las obras y servicios del puerto y de las </w:t>
      </w:r>
      <w:r w:rsidR="00072E45" w:rsidRPr="006434D6">
        <w:rPr>
          <w:rFonts w:ascii="NewBaskerville" w:hAnsi="NewBaskerville"/>
        </w:rPr>
        <w:t>s</w:t>
      </w:r>
      <w:r w:rsidRPr="006434D6">
        <w:rPr>
          <w:rFonts w:ascii="NewBaskerville" w:hAnsi="NewBaskerville"/>
        </w:rPr>
        <w:t xml:space="preserve">eñales </w:t>
      </w:r>
      <w:r w:rsidR="00072E45" w:rsidRPr="006434D6">
        <w:rPr>
          <w:rFonts w:ascii="NewBaskerville" w:hAnsi="NewBaskerville"/>
        </w:rPr>
        <w:t>m</w:t>
      </w:r>
      <w:r w:rsidRPr="006434D6">
        <w:rPr>
          <w:rFonts w:ascii="NewBaskerville" w:hAnsi="NewBaskerville"/>
        </w:rPr>
        <w:t>a</w:t>
      </w:r>
      <w:r w:rsidR="00CA0A4C">
        <w:rPr>
          <w:rFonts w:ascii="NewBaskerville" w:hAnsi="NewBaskerville"/>
        </w:rPr>
        <w:t>rítimas que tenga encomendadas, con sujeción a lo establecido en el TRLPEMM.</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 xml:space="preserve">La gestión del dominio público portuario y </w:t>
      </w:r>
      <w:r w:rsidR="00CA0A4C">
        <w:rPr>
          <w:rFonts w:ascii="NewBaskerville" w:hAnsi="NewBaskerville"/>
        </w:rPr>
        <w:t>de señales marítimas que le sea</w:t>
      </w:r>
      <w:r w:rsidRPr="006434D6">
        <w:rPr>
          <w:rFonts w:ascii="NewBaskerville" w:hAnsi="NewBaskerville"/>
        </w:rPr>
        <w:t xml:space="preserve"> adscrit</w:t>
      </w:r>
      <w:r w:rsidR="00CA0A4C">
        <w:rPr>
          <w:rFonts w:ascii="NewBaskerville" w:hAnsi="NewBaskerville"/>
        </w:rPr>
        <w:t>o</w:t>
      </w:r>
      <w:r w:rsidRPr="006434D6">
        <w:rPr>
          <w:rFonts w:ascii="NewBaskerville" w:hAnsi="NewBaskerville"/>
        </w:rPr>
        <w:t>.</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La optimización de la gestión económica y la rentabilización del patrimonio y de los recursos que tenga asignados.</w:t>
      </w:r>
    </w:p>
    <w:p w:rsidR="002C4355" w:rsidRPr="006434D6" w:rsidRDefault="002C4355" w:rsidP="006434D6">
      <w:pPr>
        <w:numPr>
          <w:ilvl w:val="0"/>
          <w:numId w:val="1"/>
        </w:numPr>
        <w:ind w:left="851" w:hanging="284"/>
        <w:jc w:val="both"/>
        <w:rPr>
          <w:rFonts w:ascii="NewBaskerville" w:hAnsi="NewBaskerville"/>
        </w:rPr>
      </w:pPr>
      <w:r w:rsidRPr="006434D6">
        <w:rPr>
          <w:rFonts w:ascii="NewBaskerville" w:hAnsi="NewBaskerville"/>
        </w:rPr>
        <w:t>El fomento de las actividades industriales y comerciales relacionadas con el tráfico marítimo o portuario.</w:t>
      </w:r>
    </w:p>
    <w:p w:rsidR="002C4355" w:rsidRDefault="002C4355" w:rsidP="006434D6">
      <w:pPr>
        <w:numPr>
          <w:ilvl w:val="0"/>
          <w:numId w:val="1"/>
        </w:numPr>
        <w:ind w:left="851" w:hanging="284"/>
        <w:jc w:val="both"/>
        <w:rPr>
          <w:rFonts w:ascii="NewBaskerville" w:hAnsi="NewBaskerville"/>
        </w:rPr>
      </w:pPr>
      <w:r w:rsidRPr="006434D6">
        <w:rPr>
          <w:rFonts w:ascii="NewBaskerville" w:hAnsi="NewBaskerville"/>
        </w:rPr>
        <w:t>La coordinación de las operaciones de los distintos modos de transporte en el espacio portuario.</w:t>
      </w:r>
    </w:p>
    <w:p w:rsidR="006C4F76" w:rsidRPr="006434D6" w:rsidRDefault="006C4F76" w:rsidP="006434D6">
      <w:pPr>
        <w:numPr>
          <w:ilvl w:val="0"/>
          <w:numId w:val="1"/>
        </w:numPr>
        <w:ind w:left="851" w:hanging="284"/>
        <w:jc w:val="both"/>
        <w:rPr>
          <w:rFonts w:ascii="NewBaskerville" w:hAnsi="NewBaskerville"/>
        </w:rPr>
      </w:pPr>
      <w:r>
        <w:rPr>
          <w:rFonts w:ascii="NewBaskerville" w:hAnsi="NewBaskerville"/>
        </w:rPr>
        <w:t>La ordenación y coordinación del tráfico portuario, tanto marítimo como terrestre.</w:t>
      </w:r>
    </w:p>
    <w:p w:rsidR="00385F74" w:rsidRPr="006434D6" w:rsidRDefault="00385F74" w:rsidP="006434D6">
      <w:pPr>
        <w:ind w:firstLine="567"/>
        <w:jc w:val="both"/>
        <w:rPr>
          <w:rFonts w:ascii="NewBaskerville" w:hAnsi="NewBaskerville"/>
        </w:rPr>
      </w:pPr>
    </w:p>
    <w:p w:rsidR="002C4355" w:rsidRPr="006434D6" w:rsidRDefault="002C4355" w:rsidP="006434D6">
      <w:pPr>
        <w:ind w:firstLine="567"/>
        <w:jc w:val="both"/>
        <w:rPr>
          <w:rFonts w:ascii="NewBaskerville" w:hAnsi="NewBaskerville"/>
        </w:rPr>
      </w:pPr>
      <w:r w:rsidRPr="006434D6">
        <w:rPr>
          <w:rFonts w:ascii="NewBaskerville" w:hAnsi="NewBaskerville"/>
        </w:rPr>
        <w:t xml:space="preserve">La Autoridad Portuaria está regida por un Consejo de Administración cuyas competencias y composición están establecidas en el artículo </w:t>
      </w:r>
      <w:r w:rsidR="00B237A6" w:rsidRPr="006434D6">
        <w:rPr>
          <w:rFonts w:ascii="NewBaskerville" w:hAnsi="NewBaskerville"/>
        </w:rPr>
        <w:t>30 del T</w:t>
      </w:r>
      <w:r w:rsidR="00DF4480" w:rsidRPr="006434D6">
        <w:rPr>
          <w:rFonts w:ascii="NewBaskerville" w:hAnsi="NewBaskerville"/>
        </w:rPr>
        <w:t>R</w:t>
      </w:r>
      <w:r w:rsidR="0052117A" w:rsidRPr="006434D6">
        <w:rPr>
          <w:rFonts w:ascii="NewBaskerville" w:hAnsi="NewBaskerville"/>
        </w:rPr>
        <w:t>LPE</w:t>
      </w:r>
      <w:r w:rsidR="00072E45" w:rsidRPr="006434D6">
        <w:rPr>
          <w:rFonts w:ascii="NewBaskerville" w:hAnsi="NewBaskerville"/>
        </w:rPr>
        <w:t>MM</w:t>
      </w:r>
      <w:r w:rsidRPr="006434D6">
        <w:rPr>
          <w:rFonts w:ascii="NewBaskerville" w:hAnsi="NewBaskerville"/>
        </w:rPr>
        <w:t>.</w:t>
      </w:r>
    </w:p>
    <w:p w:rsidR="002C4355" w:rsidRPr="006434D6" w:rsidRDefault="002C4355" w:rsidP="006434D6">
      <w:pPr>
        <w:ind w:firstLine="567"/>
        <w:jc w:val="both"/>
        <w:rPr>
          <w:rFonts w:ascii="NewBaskerville" w:hAnsi="NewBaskerville"/>
        </w:rPr>
      </w:pPr>
    </w:p>
    <w:p w:rsidR="002C4355" w:rsidRPr="006434D6" w:rsidRDefault="002C4355" w:rsidP="006434D6">
      <w:pPr>
        <w:ind w:firstLine="567"/>
        <w:jc w:val="both"/>
        <w:rPr>
          <w:rFonts w:ascii="NewBaskerville" w:hAnsi="NewBaskerville"/>
        </w:rPr>
      </w:pPr>
      <w:r w:rsidRPr="006434D6">
        <w:rPr>
          <w:rFonts w:ascii="NewBaskerville" w:hAnsi="NewBaskerville"/>
        </w:rPr>
        <w:t xml:space="preserve">La APB comprende los puertos de Palma, </w:t>
      </w:r>
      <w:proofErr w:type="spellStart"/>
      <w:r w:rsidR="00866F3D">
        <w:rPr>
          <w:rFonts w:ascii="NewBaskerville" w:hAnsi="NewBaskerville"/>
        </w:rPr>
        <w:t>Maó</w:t>
      </w:r>
      <w:proofErr w:type="spellEnd"/>
      <w:r w:rsidR="00866F3D">
        <w:rPr>
          <w:rFonts w:ascii="NewBaskerville" w:hAnsi="NewBaskerville"/>
        </w:rPr>
        <w:t>-</w:t>
      </w:r>
      <w:r w:rsidRPr="006434D6">
        <w:rPr>
          <w:rFonts w:ascii="NewBaskerville" w:hAnsi="NewBaskerville"/>
        </w:rPr>
        <w:t>Mahón,</w:t>
      </w:r>
      <w:r w:rsidR="00866F3D">
        <w:rPr>
          <w:rFonts w:ascii="NewBaskerville" w:hAnsi="NewBaskerville"/>
        </w:rPr>
        <w:t xml:space="preserve"> </w:t>
      </w:r>
      <w:proofErr w:type="spellStart"/>
      <w:r w:rsidR="00866F3D">
        <w:rPr>
          <w:rFonts w:ascii="NewBaskerville" w:hAnsi="NewBaskerville"/>
        </w:rPr>
        <w:t>Eivissa</w:t>
      </w:r>
      <w:proofErr w:type="spellEnd"/>
      <w:r w:rsidR="00866F3D">
        <w:rPr>
          <w:rFonts w:ascii="NewBaskerville" w:hAnsi="NewBaskerville"/>
        </w:rPr>
        <w:t>-</w:t>
      </w:r>
      <w:r w:rsidRPr="006434D6">
        <w:rPr>
          <w:rFonts w:ascii="NewBaskerville" w:hAnsi="NewBaskerville"/>
        </w:rPr>
        <w:t>Ibi</w:t>
      </w:r>
      <w:r w:rsidR="00866F3D">
        <w:rPr>
          <w:rFonts w:ascii="NewBaskerville" w:hAnsi="NewBaskerville"/>
        </w:rPr>
        <w:t xml:space="preserve">za, la </w:t>
      </w:r>
      <w:proofErr w:type="spellStart"/>
      <w:r w:rsidR="00866F3D">
        <w:rPr>
          <w:rFonts w:ascii="NewBaskerville" w:hAnsi="NewBaskerville"/>
        </w:rPr>
        <w:t>Savina</w:t>
      </w:r>
      <w:proofErr w:type="spellEnd"/>
      <w:r w:rsidR="00866F3D">
        <w:rPr>
          <w:rFonts w:ascii="NewBaskerville" w:hAnsi="NewBaskerville"/>
        </w:rPr>
        <w:t xml:space="preserve"> y </w:t>
      </w:r>
      <w:proofErr w:type="spellStart"/>
      <w:r w:rsidR="00866F3D">
        <w:rPr>
          <w:rFonts w:ascii="NewBaskerville" w:hAnsi="NewBaskerville"/>
        </w:rPr>
        <w:t>Alcú</w:t>
      </w:r>
      <w:r w:rsidRPr="006434D6">
        <w:rPr>
          <w:rFonts w:ascii="NewBaskerville" w:hAnsi="NewBaskerville"/>
        </w:rPr>
        <w:t>dia</w:t>
      </w:r>
      <w:proofErr w:type="spellEnd"/>
      <w:r w:rsidRPr="006434D6">
        <w:rPr>
          <w:rFonts w:ascii="NewBaskerville" w:hAnsi="NewBaskerville"/>
        </w:rPr>
        <w:t>.</w:t>
      </w:r>
    </w:p>
    <w:p w:rsidR="002C4355" w:rsidRPr="006434D6" w:rsidRDefault="002C4355" w:rsidP="006434D6">
      <w:pPr>
        <w:ind w:firstLine="567"/>
        <w:jc w:val="both"/>
        <w:rPr>
          <w:rFonts w:ascii="NewBaskerville" w:hAnsi="NewBaskerville"/>
        </w:rPr>
      </w:pPr>
    </w:p>
    <w:p w:rsidR="007B0DE7" w:rsidRDefault="002C4355" w:rsidP="006434D6">
      <w:pPr>
        <w:pStyle w:val="Sangradetextonormal"/>
        <w:tabs>
          <w:tab w:val="clear" w:pos="8364"/>
        </w:tabs>
        <w:overflowPunct/>
        <w:autoSpaceDE/>
        <w:autoSpaceDN/>
        <w:adjustRightInd/>
        <w:textAlignment w:val="auto"/>
        <w:rPr>
          <w:rFonts w:ascii="NewBaskerville" w:hAnsi="NewBaskerville"/>
          <w:sz w:val="20"/>
        </w:rPr>
      </w:pPr>
      <w:r w:rsidRPr="006434D6">
        <w:rPr>
          <w:rFonts w:ascii="NewBaskerville" w:hAnsi="NewBaskerville"/>
          <w:sz w:val="20"/>
        </w:rPr>
        <w:t xml:space="preserve">Identifica su ejercicio económico con el año natural según lo establecido en </w:t>
      </w:r>
      <w:r w:rsidR="00020B55" w:rsidRPr="006434D6">
        <w:rPr>
          <w:rFonts w:ascii="NewBaskerville" w:hAnsi="NewBaskerville"/>
          <w:sz w:val="20"/>
        </w:rPr>
        <w:t>el artículo 39 del T</w:t>
      </w:r>
      <w:r w:rsidR="00CA0A4C">
        <w:rPr>
          <w:rFonts w:ascii="NewBaskerville" w:hAnsi="NewBaskerville"/>
          <w:sz w:val="20"/>
        </w:rPr>
        <w:t>R</w:t>
      </w:r>
      <w:r w:rsidR="00020B55" w:rsidRPr="006434D6">
        <w:rPr>
          <w:rFonts w:ascii="NewBaskerville" w:hAnsi="NewBaskerville"/>
          <w:sz w:val="20"/>
        </w:rPr>
        <w:t>LPEM</w:t>
      </w:r>
      <w:r w:rsidR="00CA0A4C">
        <w:rPr>
          <w:rFonts w:ascii="NewBaskerville" w:hAnsi="NewBaskerville"/>
          <w:sz w:val="20"/>
        </w:rPr>
        <w:t>M</w:t>
      </w:r>
      <w:r w:rsidR="00020B55" w:rsidRPr="006434D6">
        <w:rPr>
          <w:rFonts w:ascii="NewBaskerville" w:hAnsi="NewBaskerville"/>
          <w:sz w:val="20"/>
        </w:rPr>
        <w:t>.</w:t>
      </w:r>
    </w:p>
    <w:p w:rsidR="006A0154" w:rsidRDefault="006A0154" w:rsidP="006434D6">
      <w:pPr>
        <w:pStyle w:val="Sangradetextonormal"/>
        <w:tabs>
          <w:tab w:val="clear" w:pos="8364"/>
        </w:tabs>
        <w:overflowPunct/>
        <w:autoSpaceDE/>
        <w:autoSpaceDN/>
        <w:adjustRightInd/>
        <w:textAlignment w:val="auto"/>
        <w:rPr>
          <w:rFonts w:ascii="NewBaskerville" w:hAnsi="NewBaskerville"/>
          <w:sz w:val="20"/>
        </w:rPr>
      </w:pPr>
    </w:p>
    <w:p w:rsidR="006A0154" w:rsidRPr="006434D6" w:rsidRDefault="006A0154" w:rsidP="006434D6">
      <w:pPr>
        <w:pStyle w:val="Sangradetextonormal"/>
        <w:tabs>
          <w:tab w:val="clear" w:pos="8364"/>
        </w:tabs>
        <w:overflowPunct/>
        <w:autoSpaceDE/>
        <w:autoSpaceDN/>
        <w:adjustRightInd/>
        <w:textAlignment w:val="auto"/>
        <w:rPr>
          <w:rFonts w:ascii="NewBaskerville" w:hAnsi="NewBaskerville"/>
          <w:sz w:val="20"/>
        </w:rPr>
      </w:pPr>
      <w:r>
        <w:rPr>
          <w:rFonts w:ascii="NewBaskerville" w:hAnsi="NewBaskerville"/>
          <w:sz w:val="20"/>
        </w:rPr>
        <w:t xml:space="preserve">El domicilio social de la APB se encuentra en la calle </w:t>
      </w:r>
      <w:proofErr w:type="spellStart"/>
      <w:r>
        <w:rPr>
          <w:rFonts w:ascii="NewBaskerville" w:hAnsi="NewBaskerville"/>
          <w:sz w:val="20"/>
        </w:rPr>
        <w:t>Moll</w:t>
      </w:r>
      <w:proofErr w:type="spellEnd"/>
      <w:r>
        <w:rPr>
          <w:rFonts w:ascii="NewBaskerville" w:hAnsi="NewBaskerville"/>
          <w:sz w:val="20"/>
        </w:rPr>
        <w:t xml:space="preserve"> </w:t>
      </w:r>
      <w:proofErr w:type="spellStart"/>
      <w:r>
        <w:rPr>
          <w:rFonts w:ascii="NewBaskerville" w:hAnsi="NewBaskerville"/>
          <w:sz w:val="20"/>
        </w:rPr>
        <w:t>Vell</w:t>
      </w:r>
      <w:proofErr w:type="spellEnd"/>
      <w:r>
        <w:rPr>
          <w:rFonts w:ascii="NewBaskerville" w:hAnsi="NewBaskerville"/>
          <w:sz w:val="20"/>
        </w:rPr>
        <w:t>, 3 – 5, 07012 Palma Illes Balears - España.</w:t>
      </w:r>
    </w:p>
    <w:p w:rsidR="003E004A" w:rsidRPr="00072D1A" w:rsidRDefault="003E004A" w:rsidP="007B0DE7">
      <w:pPr>
        <w:pStyle w:val="Sangradetextonormal"/>
        <w:tabs>
          <w:tab w:val="clear" w:pos="8364"/>
        </w:tabs>
        <w:overflowPunct/>
        <w:autoSpaceDE/>
        <w:autoSpaceDN/>
        <w:adjustRightInd/>
        <w:ind w:firstLine="0"/>
        <w:textAlignment w:val="auto"/>
      </w:pPr>
    </w:p>
    <w:p w:rsidR="00396608" w:rsidRDefault="007B0DE7" w:rsidP="00385F74">
      <w:pPr>
        <w:pStyle w:val="ListParagraph1"/>
        <w:ind w:left="0"/>
        <w:rPr>
          <w:b/>
          <w:bCs/>
          <w:sz w:val="24"/>
          <w:szCs w:val="24"/>
        </w:rPr>
      </w:pPr>
      <w:r>
        <w:rPr>
          <w:b/>
          <w:bCs/>
          <w:sz w:val="24"/>
          <w:szCs w:val="24"/>
        </w:rPr>
        <w:br w:type="page"/>
      </w:r>
    </w:p>
    <w:p w:rsidR="00396608" w:rsidRDefault="00396608" w:rsidP="00385F74">
      <w:pPr>
        <w:pStyle w:val="ListParagraph1"/>
        <w:ind w:left="0"/>
        <w:rPr>
          <w:b/>
          <w:bCs/>
          <w:sz w:val="24"/>
          <w:szCs w:val="24"/>
        </w:rPr>
      </w:pPr>
    </w:p>
    <w:p w:rsidR="002C4355" w:rsidRPr="006434D6" w:rsidRDefault="00385F74" w:rsidP="00385F74">
      <w:pPr>
        <w:pStyle w:val="ListParagraph1"/>
        <w:ind w:left="0"/>
        <w:rPr>
          <w:rFonts w:ascii="NewBaskerville" w:hAnsi="NewBaskerville"/>
          <w:b/>
          <w:bCs/>
          <w:sz w:val="24"/>
          <w:szCs w:val="24"/>
        </w:rPr>
      </w:pPr>
      <w:r w:rsidRPr="006434D6">
        <w:rPr>
          <w:rFonts w:ascii="NewBaskerville" w:hAnsi="NewBaskerville"/>
          <w:b/>
          <w:bCs/>
          <w:sz w:val="24"/>
          <w:szCs w:val="24"/>
        </w:rPr>
        <w:t xml:space="preserve">2. </w:t>
      </w:r>
      <w:r w:rsidR="002C4355" w:rsidRPr="006434D6">
        <w:rPr>
          <w:rFonts w:ascii="NewBaskerville" w:hAnsi="NewBaskerville"/>
          <w:b/>
          <w:bCs/>
          <w:sz w:val="24"/>
          <w:szCs w:val="24"/>
        </w:rPr>
        <w:t>Bases de presentación de las cuentas anuales</w:t>
      </w:r>
    </w:p>
    <w:p w:rsidR="002C4355" w:rsidRDefault="002C4355">
      <w:pPr>
        <w:ind w:firstLine="567"/>
        <w:jc w:val="both"/>
      </w:pPr>
    </w:p>
    <w:p w:rsidR="002C4355" w:rsidRPr="006434D6" w:rsidRDefault="00CA0A4C">
      <w:pPr>
        <w:ind w:firstLine="567"/>
        <w:jc w:val="both"/>
        <w:rPr>
          <w:rFonts w:ascii="NewBaskerville" w:hAnsi="NewBaskerville"/>
          <w:b/>
          <w:u w:val="single"/>
        </w:rPr>
      </w:pPr>
      <w:r>
        <w:rPr>
          <w:rFonts w:ascii="NewBaskerville" w:hAnsi="NewBaskerville"/>
        </w:rPr>
        <w:t>En aplicación del</w:t>
      </w:r>
      <w:r w:rsidR="002C4355" w:rsidRPr="006434D6">
        <w:rPr>
          <w:rFonts w:ascii="NewBaskerville" w:hAnsi="NewBaskerville"/>
        </w:rPr>
        <w:t xml:space="preserve"> artículo </w:t>
      </w:r>
      <w:r w:rsidR="00557CEE" w:rsidRPr="006434D6">
        <w:rPr>
          <w:rFonts w:ascii="NewBaskerville" w:hAnsi="NewBaskerville"/>
        </w:rPr>
        <w:t xml:space="preserve">39 del </w:t>
      </w:r>
      <w:r w:rsidR="006F0FC2" w:rsidRPr="006434D6">
        <w:rPr>
          <w:rFonts w:ascii="NewBaskerville" w:hAnsi="NewBaskerville"/>
        </w:rPr>
        <w:t>TRLPEMM</w:t>
      </w:r>
      <w:r w:rsidR="00AC51DF" w:rsidRPr="006434D6">
        <w:rPr>
          <w:rFonts w:ascii="NewBaskerville" w:hAnsi="NewBaskerville"/>
        </w:rPr>
        <w:t xml:space="preserve">,  </w:t>
      </w:r>
      <w:r>
        <w:rPr>
          <w:rFonts w:ascii="NewBaskerville" w:hAnsi="NewBaskerville"/>
        </w:rPr>
        <w:t>la AP</w:t>
      </w:r>
      <w:r w:rsidR="00E36D30">
        <w:rPr>
          <w:rFonts w:ascii="NewBaskerville" w:hAnsi="NewBaskerville"/>
        </w:rPr>
        <w:t>B</w:t>
      </w:r>
      <w:r>
        <w:rPr>
          <w:rFonts w:ascii="NewBaskerville" w:hAnsi="NewBaskerville"/>
        </w:rPr>
        <w:t xml:space="preserve"> ajusta</w:t>
      </w:r>
      <w:r w:rsidR="002C4355" w:rsidRPr="006434D6">
        <w:rPr>
          <w:rFonts w:ascii="NewBaskerville" w:hAnsi="NewBaskerville"/>
        </w:rPr>
        <w:t xml:space="preserve"> su contabilidad a las disposiciones del Código de Comercio, a las del Plan General de Contabilidad y a las demás que sean de aplicación.</w:t>
      </w:r>
    </w:p>
    <w:p w:rsidR="002C4355" w:rsidRPr="00072D1A" w:rsidRDefault="002C4355" w:rsidP="00072D1A">
      <w:pPr>
        <w:ind w:firstLine="567"/>
        <w:jc w:val="both"/>
      </w:pPr>
    </w:p>
    <w:p w:rsidR="002C4355" w:rsidRPr="00A33E43" w:rsidRDefault="002C4355" w:rsidP="00A33E43">
      <w:pPr>
        <w:pStyle w:val="Prrafodelista"/>
        <w:numPr>
          <w:ilvl w:val="0"/>
          <w:numId w:val="44"/>
        </w:numPr>
        <w:jc w:val="both"/>
        <w:rPr>
          <w:rFonts w:ascii="NewBaskerville" w:hAnsi="NewBaskerville"/>
          <w:bCs/>
          <w:u w:val="single"/>
        </w:rPr>
      </w:pPr>
      <w:r w:rsidRPr="00A33E43">
        <w:rPr>
          <w:rFonts w:ascii="NewBaskerville" w:hAnsi="NewBaskerville"/>
          <w:bCs/>
          <w:u w:val="single"/>
        </w:rPr>
        <w:t>Imagen fiel</w:t>
      </w:r>
    </w:p>
    <w:p w:rsidR="002C4355" w:rsidRPr="006434D6" w:rsidRDefault="002C4355" w:rsidP="002C3CB4">
      <w:pPr>
        <w:spacing w:before="100"/>
        <w:ind w:firstLine="568"/>
        <w:jc w:val="both"/>
        <w:rPr>
          <w:rFonts w:ascii="NewBaskerville" w:hAnsi="NewBaskerville"/>
        </w:rPr>
      </w:pPr>
      <w:r w:rsidRPr="006434D6">
        <w:rPr>
          <w:rFonts w:ascii="NewBaskerville" w:hAnsi="NewBaskerville"/>
        </w:rPr>
        <w:t>Las cuentas a</w:t>
      </w:r>
      <w:r w:rsidR="00094725" w:rsidRPr="006434D6">
        <w:rPr>
          <w:rFonts w:ascii="NewBaskerville" w:hAnsi="NewBaskerville"/>
        </w:rPr>
        <w:t>nuales adjuntas se han formulado</w:t>
      </w:r>
      <w:r w:rsidRPr="006434D6">
        <w:rPr>
          <w:rFonts w:ascii="NewBaskerville" w:hAnsi="NewBaskerville"/>
        </w:rPr>
        <w:t xml:space="preserve"> a partir de los registros contables de</w:t>
      </w:r>
      <w:r w:rsidR="00E36D30">
        <w:rPr>
          <w:rFonts w:ascii="NewBaskerville" w:hAnsi="NewBaskerville"/>
        </w:rPr>
        <w:t xml:space="preserve"> </w:t>
      </w:r>
      <w:r w:rsidRPr="006434D6">
        <w:rPr>
          <w:rFonts w:ascii="NewBaskerville" w:hAnsi="NewBaskerville"/>
        </w:rPr>
        <w:t>l</w:t>
      </w:r>
      <w:r w:rsidR="00E36D30">
        <w:rPr>
          <w:rFonts w:ascii="NewBaskerville" w:hAnsi="NewBaskerville"/>
        </w:rPr>
        <w:t>a Entidad</w:t>
      </w:r>
      <w:r w:rsidRPr="006434D6">
        <w:rPr>
          <w:rFonts w:ascii="NewBaskerville" w:hAnsi="NewBaskerville"/>
        </w:rPr>
        <w:t xml:space="preserve"> c</w:t>
      </w:r>
      <w:r w:rsidR="004D36F7" w:rsidRPr="006434D6">
        <w:rPr>
          <w:rFonts w:ascii="NewBaskerville" w:hAnsi="NewBaskerville"/>
        </w:rPr>
        <w:t>errados a 31 d</w:t>
      </w:r>
      <w:r w:rsidR="0020324A" w:rsidRPr="006434D6">
        <w:rPr>
          <w:rFonts w:ascii="NewBaskerville" w:hAnsi="NewBaskerville"/>
        </w:rPr>
        <w:t xml:space="preserve">e </w:t>
      </w:r>
      <w:r w:rsidR="006434D6" w:rsidRPr="006434D6">
        <w:rPr>
          <w:rFonts w:ascii="NewBaskerville" w:hAnsi="NewBaskerville"/>
        </w:rPr>
        <w:t>diciembre de 202</w:t>
      </w:r>
      <w:r w:rsidR="0018037A">
        <w:rPr>
          <w:rFonts w:ascii="NewBaskerville" w:hAnsi="NewBaskerville"/>
        </w:rPr>
        <w:t>3</w:t>
      </w:r>
      <w:r w:rsidRPr="006434D6">
        <w:rPr>
          <w:rFonts w:ascii="NewBaskerville" w:hAnsi="NewBaskerville"/>
        </w:rPr>
        <w:t>, llevados conforme a las disposiciones legales vigentes en materia contable y a las instrucciones dictadas por Puertos del Estado mostrando la imagen fiel del patrimonio, de la situación financiera y de los resultados, así como de la veracidad de los flujos incorporados en el estado de flujos de efectivo.</w:t>
      </w:r>
    </w:p>
    <w:p w:rsidR="007D09F3" w:rsidRPr="006434D6" w:rsidRDefault="007D09F3">
      <w:pPr>
        <w:ind w:firstLine="568"/>
        <w:jc w:val="both"/>
        <w:rPr>
          <w:rFonts w:ascii="NewBaskerville" w:hAnsi="NewBaskerville"/>
        </w:rPr>
      </w:pPr>
    </w:p>
    <w:p w:rsidR="002C4355" w:rsidRPr="006434D6" w:rsidRDefault="002C4355">
      <w:pPr>
        <w:ind w:firstLine="568"/>
        <w:jc w:val="both"/>
        <w:rPr>
          <w:rFonts w:ascii="NewBaskerville" w:hAnsi="NewBaskerville"/>
        </w:rPr>
      </w:pPr>
      <w:r w:rsidRPr="006434D6">
        <w:rPr>
          <w:rFonts w:ascii="NewBaskerville" w:hAnsi="NewBaskerville"/>
        </w:rPr>
        <w:t xml:space="preserve">Las cifras del balance, la cuenta de pérdidas y ganancias, </w:t>
      </w:r>
      <w:r w:rsidR="00866F3D">
        <w:rPr>
          <w:rFonts w:ascii="NewBaskerville" w:hAnsi="NewBaskerville"/>
        </w:rPr>
        <w:t xml:space="preserve">el </w:t>
      </w:r>
      <w:r w:rsidRPr="006434D6">
        <w:rPr>
          <w:rFonts w:ascii="NewBaskerville" w:hAnsi="NewBaskerville"/>
        </w:rPr>
        <w:t xml:space="preserve">estado de cambios en el patrimonio neto, </w:t>
      </w:r>
      <w:r w:rsidR="00866F3D">
        <w:rPr>
          <w:rFonts w:ascii="NewBaskerville" w:hAnsi="NewBaskerville"/>
        </w:rPr>
        <w:t xml:space="preserve">el </w:t>
      </w:r>
      <w:r w:rsidRPr="006434D6">
        <w:rPr>
          <w:rFonts w:ascii="NewBaskerville" w:hAnsi="NewBaskerville"/>
        </w:rPr>
        <w:t>estado de flujos de efectivo y la memoria, se expresan en euros.</w:t>
      </w:r>
    </w:p>
    <w:p w:rsidR="002C4355" w:rsidRPr="006434D6" w:rsidRDefault="002C4355">
      <w:pPr>
        <w:ind w:firstLine="568"/>
        <w:jc w:val="both"/>
        <w:rPr>
          <w:rFonts w:ascii="NewBaskerville" w:hAnsi="NewBaskerville"/>
        </w:rPr>
      </w:pPr>
    </w:p>
    <w:p w:rsidR="002C4355" w:rsidRPr="006434D6" w:rsidRDefault="002C4355">
      <w:pPr>
        <w:ind w:firstLine="568"/>
        <w:jc w:val="both"/>
        <w:rPr>
          <w:rFonts w:ascii="NewBaskerville" w:hAnsi="NewBaskerville"/>
        </w:rPr>
      </w:pPr>
      <w:r w:rsidRPr="006434D6">
        <w:rPr>
          <w:rFonts w:ascii="NewBaskerville" w:hAnsi="NewBaskerville"/>
        </w:rPr>
        <w:t>Estas cuentas anuales han sido formuladas por el Presidente de la Autoridad Portuaria, para su sometimiento a la aprobación del Consejo de Administración, estimándose que serán aprobadas sin ninguna modificación. El estado de flujos de efectivo se ha preparado con el fin de informar verazmente sobre el origen y la utilización de los activos monetarios representativos de efectivo y otros activos líquidos equivalentes de la Entidad.</w:t>
      </w:r>
    </w:p>
    <w:p w:rsidR="002C4355" w:rsidRPr="00817044" w:rsidRDefault="002C4355">
      <w:pPr>
        <w:jc w:val="both"/>
      </w:pPr>
    </w:p>
    <w:p w:rsidR="002C4355" w:rsidRPr="00A33E43" w:rsidRDefault="002C4355" w:rsidP="00A33E43">
      <w:pPr>
        <w:pStyle w:val="Prrafodelista"/>
        <w:numPr>
          <w:ilvl w:val="0"/>
          <w:numId w:val="44"/>
        </w:numPr>
        <w:jc w:val="both"/>
        <w:rPr>
          <w:rFonts w:ascii="NewBaskerville" w:hAnsi="NewBaskerville"/>
          <w:bCs/>
          <w:u w:val="single"/>
        </w:rPr>
      </w:pPr>
      <w:r w:rsidRPr="00A33E43">
        <w:rPr>
          <w:rFonts w:ascii="NewBaskerville" w:hAnsi="NewBaskerville"/>
          <w:bCs/>
          <w:u w:val="single"/>
        </w:rPr>
        <w:t>Principios contables</w:t>
      </w:r>
    </w:p>
    <w:p w:rsidR="002C4355" w:rsidRDefault="002C4355" w:rsidP="002C3CB4">
      <w:pPr>
        <w:spacing w:before="100"/>
        <w:ind w:firstLine="568"/>
        <w:jc w:val="both"/>
        <w:rPr>
          <w:rFonts w:ascii="NewBaskerville" w:hAnsi="NewBaskerville"/>
        </w:rPr>
      </w:pPr>
      <w:r w:rsidRPr="00A33E43">
        <w:rPr>
          <w:rFonts w:ascii="NewBaskerville" w:hAnsi="NewBaskerville"/>
        </w:rPr>
        <w:t>Las c</w:t>
      </w:r>
      <w:r w:rsidR="004D36F7" w:rsidRPr="00A33E43">
        <w:rPr>
          <w:rFonts w:ascii="NewBaskerville" w:hAnsi="NewBaskerville"/>
        </w:rPr>
        <w:t>u</w:t>
      </w:r>
      <w:r w:rsidR="00102226" w:rsidRPr="00A33E43">
        <w:rPr>
          <w:rFonts w:ascii="NewBaskerville" w:hAnsi="NewBaskerville"/>
        </w:rPr>
        <w:t>entas anuales del ejercicio 202</w:t>
      </w:r>
      <w:r w:rsidR="0018037A">
        <w:rPr>
          <w:rFonts w:ascii="NewBaskerville" w:hAnsi="NewBaskerville"/>
        </w:rPr>
        <w:t>3</w:t>
      </w:r>
      <w:r w:rsidR="00FA5F3E" w:rsidRPr="00A33E43">
        <w:rPr>
          <w:rFonts w:ascii="NewBaskerville" w:hAnsi="NewBaskerville"/>
        </w:rPr>
        <w:t xml:space="preserve"> </w:t>
      </w:r>
      <w:r w:rsidRPr="00A33E43">
        <w:rPr>
          <w:rFonts w:ascii="NewBaskerville" w:hAnsi="NewBaskerville"/>
        </w:rPr>
        <w:t>se formulan aplicando el Plan General de Contabilidad aprobado por el Real Decreto 1514/2007, de 16 de noviembre,</w:t>
      </w:r>
      <w:r w:rsidR="006F0FC2" w:rsidRPr="00A33E43">
        <w:rPr>
          <w:rFonts w:ascii="NewBaskerville" w:hAnsi="NewBaskerville"/>
        </w:rPr>
        <w:t xml:space="preserve"> y</w:t>
      </w:r>
      <w:r w:rsidRPr="00A33E43">
        <w:rPr>
          <w:rFonts w:ascii="NewBaskerville" w:hAnsi="NewBaskerville"/>
        </w:rPr>
        <w:t xml:space="preserve"> los </w:t>
      </w:r>
      <w:r w:rsidR="00575642" w:rsidRPr="00A33E43">
        <w:rPr>
          <w:rFonts w:ascii="NewBaskerville" w:hAnsi="NewBaskerville"/>
        </w:rPr>
        <w:t>p</w:t>
      </w:r>
      <w:r w:rsidRPr="00A33E43">
        <w:rPr>
          <w:rFonts w:ascii="NewBaskerville" w:hAnsi="NewBaskerville"/>
        </w:rPr>
        <w:t xml:space="preserve">rincipios </w:t>
      </w:r>
      <w:r w:rsidR="00575642" w:rsidRPr="00A33E43">
        <w:rPr>
          <w:rFonts w:ascii="NewBaskerville" w:hAnsi="NewBaskerville"/>
        </w:rPr>
        <w:t>c</w:t>
      </w:r>
      <w:r w:rsidRPr="00A33E43">
        <w:rPr>
          <w:rFonts w:ascii="NewBaskerville" w:hAnsi="NewBaskerville"/>
        </w:rPr>
        <w:t>ontables obliga</w:t>
      </w:r>
      <w:r w:rsidR="00E07063" w:rsidRPr="00A33E43">
        <w:rPr>
          <w:rFonts w:ascii="NewBaskerville" w:hAnsi="NewBaskerville"/>
        </w:rPr>
        <w:t>torios que en él se establecen y las directrices emitidas por el Ente Público Puertos del Estado.</w:t>
      </w:r>
    </w:p>
    <w:p w:rsidR="00A33E43" w:rsidRPr="00A33E43" w:rsidRDefault="00A33E43" w:rsidP="006010B3">
      <w:pPr>
        <w:ind w:firstLine="568"/>
        <w:jc w:val="both"/>
        <w:rPr>
          <w:rFonts w:ascii="NewBaskerville" w:hAnsi="NewBaskerville"/>
        </w:rPr>
      </w:pPr>
    </w:p>
    <w:p w:rsidR="00A33E43" w:rsidRPr="00DC4334" w:rsidRDefault="00A33E43" w:rsidP="00DC4334">
      <w:pPr>
        <w:pStyle w:val="Prrafodelista"/>
        <w:numPr>
          <w:ilvl w:val="0"/>
          <w:numId w:val="44"/>
        </w:numPr>
        <w:jc w:val="both"/>
        <w:rPr>
          <w:rFonts w:ascii="NewBaskerville" w:hAnsi="NewBaskerville"/>
          <w:bCs/>
        </w:rPr>
      </w:pPr>
      <w:r w:rsidRPr="00DC4334">
        <w:rPr>
          <w:rFonts w:ascii="NewBaskerville" w:hAnsi="NewBaskerville"/>
          <w:bCs/>
          <w:u w:val="single"/>
        </w:rPr>
        <w:t>Aspectos críticos de la valoración y estimación de la incertidumbre</w:t>
      </w:r>
    </w:p>
    <w:p w:rsidR="00A33E43" w:rsidRDefault="00A33E43" w:rsidP="002C3CB4">
      <w:pPr>
        <w:spacing w:before="100"/>
        <w:ind w:firstLine="568"/>
        <w:jc w:val="both"/>
        <w:rPr>
          <w:rFonts w:ascii="NewBaskerville" w:hAnsi="NewBaskerville"/>
        </w:rPr>
      </w:pPr>
      <w:r w:rsidRPr="00A33E43">
        <w:rPr>
          <w:rFonts w:ascii="NewBaskerville" w:hAnsi="NewBaskerville"/>
        </w:rPr>
        <w:t>En la preparación de las cuentas anuales de</w:t>
      </w:r>
      <w:r w:rsidR="00E36D30">
        <w:rPr>
          <w:rFonts w:ascii="NewBaskerville" w:hAnsi="NewBaskerville"/>
        </w:rPr>
        <w:t xml:space="preserve"> </w:t>
      </w:r>
      <w:r>
        <w:rPr>
          <w:rFonts w:ascii="NewBaskerville" w:hAnsi="NewBaskerville"/>
        </w:rPr>
        <w:t>l</w:t>
      </w:r>
      <w:r w:rsidR="00E36D30">
        <w:rPr>
          <w:rFonts w:ascii="NewBaskerville" w:hAnsi="NewBaskerville"/>
        </w:rPr>
        <w:t>a</w:t>
      </w:r>
      <w:r>
        <w:rPr>
          <w:rFonts w:ascii="NewBaskerville" w:hAnsi="NewBaskerville"/>
        </w:rPr>
        <w:t xml:space="preserve"> </w:t>
      </w:r>
      <w:r w:rsidR="00E36D30">
        <w:rPr>
          <w:rFonts w:ascii="NewBaskerville" w:hAnsi="NewBaskerville"/>
        </w:rPr>
        <w:t>Entidad</w:t>
      </w:r>
      <w:r w:rsidRPr="00A33E43">
        <w:rPr>
          <w:rFonts w:ascii="NewBaskerville" w:hAnsi="NewBaskerville"/>
        </w:rPr>
        <w:t xml:space="preserve">, se han realizado estimaciones que están basadas en la experiencia histórica y en otros factores que se consideran razonables de acuerdo con las circunstancias actuales y que constituyen la base para establecer el valor contable de los activos y pasivos cuyo valor no es fácilmente determinable mediante otras fuentes. </w:t>
      </w:r>
      <w:r w:rsidR="00E36D30">
        <w:rPr>
          <w:rFonts w:ascii="NewBaskerville" w:hAnsi="NewBaskerville"/>
        </w:rPr>
        <w:t xml:space="preserve">La </w:t>
      </w:r>
      <w:r w:rsidR="003F24D6">
        <w:rPr>
          <w:rFonts w:ascii="NewBaskerville" w:hAnsi="NewBaskerville"/>
        </w:rPr>
        <w:t>Entidad</w:t>
      </w:r>
      <w:r w:rsidRPr="00A33E43">
        <w:rPr>
          <w:rFonts w:ascii="NewBaskerville" w:hAnsi="NewBaskerville"/>
        </w:rPr>
        <w:t xml:space="preserve"> revisa sus estimaciones de forma continua. Las principales estimaciones llevadas a cabo se realizan en los siguientes ámbitos:</w:t>
      </w:r>
    </w:p>
    <w:p w:rsidR="00A33E43" w:rsidRPr="00A33E43" w:rsidRDefault="00A33E43" w:rsidP="00A33E43">
      <w:pPr>
        <w:ind w:firstLine="568"/>
        <w:jc w:val="both"/>
        <w:rPr>
          <w:rFonts w:ascii="NewBaskerville" w:hAnsi="NewBaskerville"/>
        </w:rPr>
      </w:pPr>
    </w:p>
    <w:p w:rsidR="00A33E43" w:rsidRDefault="00A33E43" w:rsidP="00A131D1">
      <w:pPr>
        <w:pStyle w:val="Prrafodelista"/>
        <w:numPr>
          <w:ilvl w:val="0"/>
          <w:numId w:val="43"/>
        </w:numPr>
        <w:jc w:val="both"/>
        <w:rPr>
          <w:rFonts w:ascii="NewBaskerville" w:hAnsi="NewBaskerville"/>
        </w:rPr>
      </w:pPr>
      <w:r w:rsidRPr="00A33E43">
        <w:rPr>
          <w:rFonts w:ascii="NewBaskerville" w:hAnsi="NewBaskerville"/>
        </w:rPr>
        <w:t>Deterioro de activos no financieros</w:t>
      </w:r>
    </w:p>
    <w:p w:rsidR="00A33E43" w:rsidRDefault="00E709C6" w:rsidP="002C3CB4">
      <w:pPr>
        <w:spacing w:before="100"/>
        <w:ind w:firstLine="568"/>
        <w:jc w:val="both"/>
        <w:rPr>
          <w:rFonts w:ascii="NewBaskerville" w:hAnsi="NewBaskerville"/>
        </w:rPr>
      </w:pPr>
      <w:r>
        <w:rPr>
          <w:rFonts w:ascii="NewBaskerville" w:hAnsi="NewBaskerville"/>
        </w:rPr>
        <w:t xml:space="preserve">Se </w:t>
      </w:r>
      <w:r w:rsidR="00A33E43" w:rsidRPr="00A33E43">
        <w:rPr>
          <w:rFonts w:ascii="NewBaskerville" w:hAnsi="NewBaskerville"/>
        </w:rPr>
        <w:t>analiza anualmente si existen indi</w:t>
      </w:r>
      <w:r w:rsidR="0018037A">
        <w:rPr>
          <w:rFonts w:ascii="NewBaskerville" w:hAnsi="NewBaskerville"/>
        </w:rPr>
        <w:t>cios</w:t>
      </w:r>
      <w:r w:rsidR="00A33E43" w:rsidRPr="00A33E43">
        <w:rPr>
          <w:rFonts w:ascii="NewBaskerville" w:hAnsi="NewBaskerville"/>
        </w:rPr>
        <w:t xml:space="preserve"> de deterioro para los activos no financieros. Estos activos no financieros se someten a la prueba de deterioro de valor cuando existen indicadores de su deterioro. </w:t>
      </w:r>
    </w:p>
    <w:p w:rsidR="00A33E43" w:rsidRPr="00A33E43" w:rsidRDefault="00A33E43" w:rsidP="00A33E43">
      <w:pPr>
        <w:ind w:firstLine="568"/>
        <w:jc w:val="both"/>
        <w:rPr>
          <w:rFonts w:ascii="NewBaskerville" w:hAnsi="NewBaskerville"/>
        </w:rPr>
      </w:pPr>
    </w:p>
    <w:p w:rsidR="00A33E43" w:rsidRDefault="00A33E43" w:rsidP="00A33E43">
      <w:pPr>
        <w:pStyle w:val="Prrafodelista"/>
        <w:numPr>
          <w:ilvl w:val="0"/>
          <w:numId w:val="43"/>
        </w:numPr>
        <w:jc w:val="both"/>
        <w:rPr>
          <w:rFonts w:ascii="NewBaskerville" w:hAnsi="NewBaskerville"/>
        </w:rPr>
      </w:pPr>
      <w:r w:rsidRPr="00A33E43">
        <w:rPr>
          <w:rFonts w:ascii="NewBaskerville" w:hAnsi="NewBaskerville"/>
        </w:rPr>
        <w:t>Provisiones</w:t>
      </w:r>
    </w:p>
    <w:p w:rsidR="00A33E43" w:rsidRDefault="00E709C6" w:rsidP="002C3CB4">
      <w:pPr>
        <w:spacing w:before="100"/>
        <w:ind w:firstLine="568"/>
        <w:jc w:val="both"/>
        <w:rPr>
          <w:rFonts w:ascii="NewBaskerville" w:hAnsi="NewBaskerville"/>
          <w:color w:val="000000"/>
          <w:lang w:eastAsia="en-US"/>
        </w:rPr>
      </w:pPr>
      <w:r>
        <w:rPr>
          <w:rFonts w:ascii="NewBaskerville" w:hAnsi="NewBaskerville"/>
          <w:color w:val="000000"/>
          <w:lang w:eastAsia="en-US"/>
        </w:rPr>
        <w:t>Se</w:t>
      </w:r>
      <w:r w:rsidR="00A33E43" w:rsidRPr="00A33E43">
        <w:rPr>
          <w:rFonts w:ascii="NewBaskerville" w:hAnsi="NewBaskerville"/>
          <w:color w:val="000000"/>
          <w:lang w:eastAsia="en-US"/>
        </w:rPr>
        <w:t xml:space="preserve"> reconoce</w:t>
      </w:r>
      <w:r>
        <w:rPr>
          <w:rFonts w:ascii="NewBaskerville" w:hAnsi="NewBaskerville"/>
          <w:color w:val="000000"/>
          <w:lang w:eastAsia="en-US"/>
        </w:rPr>
        <w:t>n</w:t>
      </w:r>
      <w:r w:rsidR="00A33E43" w:rsidRPr="00A33E43">
        <w:rPr>
          <w:rFonts w:ascii="NewBaskerville" w:hAnsi="NewBaskerville"/>
          <w:color w:val="000000"/>
          <w:lang w:eastAsia="en-US"/>
        </w:rPr>
        <w:t xml:space="preserve"> provisiones sobre riesgos, de acuerdo con la política contable indicada en </w:t>
      </w:r>
      <w:r w:rsidR="0018037A">
        <w:rPr>
          <w:rFonts w:ascii="NewBaskerville" w:hAnsi="NewBaskerville"/>
          <w:color w:val="000000"/>
          <w:lang w:eastAsia="en-US"/>
        </w:rPr>
        <w:t>la nota</w:t>
      </w:r>
      <w:r w:rsidR="00A33E43" w:rsidRPr="00A33E43">
        <w:rPr>
          <w:rFonts w:ascii="NewBaskerville" w:hAnsi="NewBaskerville"/>
          <w:color w:val="000000"/>
          <w:lang w:eastAsia="en-US"/>
        </w:rPr>
        <w:t xml:space="preserve"> </w:t>
      </w:r>
      <w:r w:rsidR="004323C0">
        <w:rPr>
          <w:rFonts w:ascii="NewBaskerville" w:hAnsi="NewBaskerville"/>
          <w:color w:val="000000"/>
          <w:lang w:eastAsia="en-US"/>
        </w:rPr>
        <w:t>4</w:t>
      </w:r>
      <w:r w:rsidR="00A33E43" w:rsidRPr="00A33E43">
        <w:rPr>
          <w:rFonts w:ascii="NewBaskerville" w:hAnsi="NewBaskerville"/>
          <w:color w:val="000000"/>
          <w:lang w:eastAsia="en-US"/>
        </w:rPr>
        <w:t xml:space="preserve"> de esta memoria. </w:t>
      </w:r>
      <w:r w:rsidR="002C3CB4">
        <w:rPr>
          <w:rFonts w:ascii="NewBaskerville" w:hAnsi="NewBaskerville"/>
          <w:color w:val="000000"/>
          <w:lang w:eastAsia="en-US"/>
        </w:rPr>
        <w:t>Se</w:t>
      </w:r>
      <w:r w:rsidR="00A33E43" w:rsidRPr="00A33E43">
        <w:rPr>
          <w:rFonts w:ascii="NewBaskerville" w:hAnsi="NewBaskerville"/>
          <w:color w:val="000000"/>
          <w:lang w:eastAsia="en-US"/>
        </w:rPr>
        <w:t xml:space="preserve"> ha</w:t>
      </w:r>
      <w:r w:rsidR="002C3CB4">
        <w:rPr>
          <w:rFonts w:ascii="NewBaskerville" w:hAnsi="NewBaskerville"/>
          <w:color w:val="000000"/>
          <w:lang w:eastAsia="en-US"/>
        </w:rPr>
        <w:t>n</w:t>
      </w:r>
      <w:r w:rsidR="00A33E43" w:rsidRPr="00A33E43">
        <w:rPr>
          <w:rFonts w:ascii="NewBaskerville" w:hAnsi="NewBaskerville"/>
          <w:color w:val="000000"/>
          <w:lang w:eastAsia="en-US"/>
        </w:rPr>
        <w:t xml:space="preserve"> realizado juicios y estimaciones en relación con la probabilidad de ocurrencia de dichos riesgos, así como la cuantía de los mismos, y</w:t>
      </w:r>
      <w:r>
        <w:rPr>
          <w:rFonts w:ascii="NewBaskerville" w:hAnsi="NewBaskerville"/>
          <w:color w:val="000000"/>
          <w:lang w:eastAsia="en-US"/>
        </w:rPr>
        <w:t xml:space="preserve"> se</w:t>
      </w:r>
      <w:r w:rsidR="00A33E43" w:rsidRPr="00A33E43">
        <w:rPr>
          <w:rFonts w:ascii="NewBaskerville" w:hAnsi="NewBaskerville"/>
          <w:color w:val="000000"/>
          <w:lang w:eastAsia="en-US"/>
        </w:rPr>
        <w:t xml:space="preserve"> ha registrado una provisión cuando el riesgo ha sido considerado como probable, estimando el coste que le originaría dicha obligación. </w:t>
      </w:r>
    </w:p>
    <w:p w:rsidR="002C3CB4" w:rsidRDefault="002C3CB4" w:rsidP="002C3CB4">
      <w:pPr>
        <w:ind w:firstLine="568"/>
        <w:jc w:val="both"/>
        <w:rPr>
          <w:rFonts w:ascii="NewBaskerville" w:hAnsi="NewBaskerville"/>
          <w:color w:val="000000"/>
          <w:lang w:eastAsia="en-US"/>
        </w:rPr>
      </w:pPr>
    </w:p>
    <w:p w:rsidR="002C3CB4" w:rsidRDefault="002C3CB4" w:rsidP="002C3CB4">
      <w:pPr>
        <w:pStyle w:val="Prrafodelista"/>
        <w:numPr>
          <w:ilvl w:val="0"/>
          <w:numId w:val="43"/>
        </w:numPr>
        <w:jc w:val="both"/>
        <w:rPr>
          <w:rFonts w:ascii="NewBaskerville" w:hAnsi="NewBaskerville"/>
          <w:color w:val="000000"/>
          <w:lang w:eastAsia="en-US"/>
        </w:rPr>
      </w:pPr>
      <w:r>
        <w:rPr>
          <w:rFonts w:ascii="NewBaskerville" w:hAnsi="NewBaskerville"/>
          <w:color w:val="000000"/>
          <w:lang w:eastAsia="en-US"/>
        </w:rPr>
        <w:lastRenderedPageBreak/>
        <w:t>Deterioro de v</w:t>
      </w:r>
      <w:r w:rsidR="00F3645B">
        <w:rPr>
          <w:rFonts w:ascii="NewBaskerville" w:hAnsi="NewBaskerville"/>
          <w:color w:val="000000"/>
          <w:lang w:eastAsia="en-US"/>
        </w:rPr>
        <w:t>alor de operaciones comerciales</w:t>
      </w:r>
      <w:r w:rsidR="00714F3A">
        <w:rPr>
          <w:rFonts w:ascii="NewBaskerville" w:hAnsi="NewBaskerville"/>
          <w:color w:val="000000"/>
          <w:lang w:eastAsia="en-US"/>
        </w:rPr>
        <w:t>,</w:t>
      </w:r>
      <w:r w:rsidR="00F55771">
        <w:rPr>
          <w:rFonts w:ascii="NewBaskerville" w:hAnsi="NewBaskerville"/>
          <w:color w:val="000000"/>
          <w:lang w:eastAsia="en-US"/>
        </w:rPr>
        <w:t xml:space="preserve"> deudores</w:t>
      </w:r>
      <w:r w:rsidR="00714F3A">
        <w:rPr>
          <w:rFonts w:ascii="NewBaskerville" w:hAnsi="NewBaskerville"/>
          <w:color w:val="000000"/>
          <w:lang w:eastAsia="en-US"/>
        </w:rPr>
        <w:t xml:space="preserve"> y créditos a terceros.</w:t>
      </w:r>
    </w:p>
    <w:p w:rsidR="002C3CB4" w:rsidRDefault="00603A0A" w:rsidP="00E96B8F">
      <w:pPr>
        <w:spacing w:before="100"/>
        <w:ind w:firstLine="567"/>
        <w:jc w:val="both"/>
        <w:rPr>
          <w:rFonts w:ascii="NewBaskerville" w:hAnsi="NewBaskerville"/>
          <w:color w:val="000000"/>
          <w:lang w:eastAsia="en-US"/>
        </w:rPr>
      </w:pPr>
      <w:r w:rsidRPr="00603A0A">
        <w:rPr>
          <w:rFonts w:ascii="NewBaskerville" w:hAnsi="NewBaskerville"/>
          <w:color w:val="000000"/>
          <w:lang w:eastAsia="en-US"/>
        </w:rPr>
        <w:t xml:space="preserve">Se someten a análisis </w:t>
      </w:r>
      <w:r>
        <w:rPr>
          <w:rFonts w:ascii="NewBaskerville" w:hAnsi="NewBaskerville"/>
          <w:color w:val="000000"/>
          <w:lang w:eastAsia="en-US"/>
        </w:rPr>
        <w:t>las evidencias objetivas de uno o más eventos ocurrid</w:t>
      </w:r>
      <w:r w:rsidR="006F03BA">
        <w:rPr>
          <w:rFonts w:ascii="NewBaskerville" w:hAnsi="NewBaskerville"/>
          <w:color w:val="000000"/>
          <w:lang w:eastAsia="en-US"/>
        </w:rPr>
        <w:t>os que pueden ocasionar una reducción o retraso de los flujos estimados futuros, que pueden venir motivados por la insolvencia del deudor.</w:t>
      </w:r>
    </w:p>
    <w:p w:rsidR="00A131D1" w:rsidRDefault="00A131D1" w:rsidP="00A131D1">
      <w:pPr>
        <w:ind w:left="568"/>
        <w:jc w:val="both"/>
        <w:rPr>
          <w:rFonts w:ascii="NewBaskerville" w:hAnsi="NewBaskerville"/>
          <w:color w:val="000000"/>
          <w:lang w:eastAsia="en-US"/>
        </w:rPr>
      </w:pPr>
    </w:p>
    <w:p w:rsidR="00A131D1" w:rsidRDefault="00A131D1" w:rsidP="00A131D1">
      <w:pPr>
        <w:pStyle w:val="Prrafodelista"/>
        <w:numPr>
          <w:ilvl w:val="0"/>
          <w:numId w:val="43"/>
        </w:numPr>
        <w:jc w:val="both"/>
        <w:rPr>
          <w:rFonts w:ascii="NewBaskerville" w:hAnsi="NewBaskerville"/>
          <w:color w:val="000000"/>
          <w:lang w:eastAsia="en-US"/>
        </w:rPr>
      </w:pPr>
      <w:r>
        <w:rPr>
          <w:rFonts w:ascii="NewBaskerville" w:hAnsi="NewBaskerville"/>
          <w:color w:val="000000"/>
          <w:lang w:eastAsia="en-US"/>
        </w:rPr>
        <w:t>Vida</w:t>
      </w:r>
      <w:r w:rsidR="00F3645B">
        <w:rPr>
          <w:rFonts w:ascii="NewBaskerville" w:hAnsi="NewBaskerville"/>
          <w:color w:val="000000"/>
          <w:lang w:eastAsia="en-US"/>
        </w:rPr>
        <w:t xml:space="preserve"> útil de activos no financieros</w:t>
      </w:r>
    </w:p>
    <w:p w:rsidR="00A131D1" w:rsidRDefault="00F3645B" w:rsidP="00E96B8F">
      <w:pPr>
        <w:spacing w:before="100"/>
        <w:ind w:firstLine="568"/>
        <w:jc w:val="both"/>
        <w:rPr>
          <w:rFonts w:ascii="NewBaskerville" w:hAnsi="NewBaskerville"/>
          <w:color w:val="000000"/>
          <w:lang w:eastAsia="en-US"/>
        </w:rPr>
      </w:pPr>
      <w:r>
        <w:rPr>
          <w:rFonts w:ascii="NewBaskerville" w:hAnsi="NewBaskerville"/>
          <w:color w:val="000000"/>
          <w:lang w:eastAsia="en-US"/>
        </w:rPr>
        <w:t>Se examina la depreciación que normalmente sufren por su funcionamiento, uso y disfrute, sin perjuicio de considerar también la obsolescencia técnica que pudiera afectarlos.</w:t>
      </w:r>
    </w:p>
    <w:p w:rsidR="00F3645B" w:rsidRDefault="00F3645B" w:rsidP="00F3645B">
      <w:pPr>
        <w:ind w:left="568"/>
        <w:jc w:val="both"/>
        <w:rPr>
          <w:rFonts w:ascii="NewBaskerville" w:hAnsi="NewBaskerville"/>
          <w:color w:val="000000"/>
          <w:lang w:eastAsia="en-US"/>
        </w:rPr>
      </w:pPr>
    </w:p>
    <w:p w:rsidR="00F3645B" w:rsidRPr="00F3645B" w:rsidRDefault="00F3645B" w:rsidP="00F3645B">
      <w:pPr>
        <w:pStyle w:val="Prrafodelista"/>
        <w:numPr>
          <w:ilvl w:val="0"/>
          <w:numId w:val="43"/>
        </w:numPr>
        <w:jc w:val="both"/>
        <w:rPr>
          <w:rFonts w:ascii="NewBaskerville" w:hAnsi="NewBaskerville"/>
          <w:color w:val="000000"/>
          <w:lang w:eastAsia="en-US"/>
        </w:rPr>
      </w:pPr>
      <w:r>
        <w:rPr>
          <w:rFonts w:ascii="NewBaskerville" w:hAnsi="NewBaskerville"/>
          <w:color w:val="000000"/>
          <w:lang w:eastAsia="en-US"/>
        </w:rPr>
        <w:t>Activos por impuesto sobre beneficios diferido.</w:t>
      </w:r>
    </w:p>
    <w:p w:rsidR="00F3645B" w:rsidRDefault="00F3645B" w:rsidP="00E96B8F">
      <w:pPr>
        <w:spacing w:before="100"/>
        <w:ind w:firstLine="568"/>
        <w:jc w:val="both"/>
        <w:rPr>
          <w:rFonts w:ascii="NewBaskerville" w:hAnsi="NewBaskerville"/>
          <w:color w:val="000000"/>
          <w:lang w:eastAsia="en-US"/>
        </w:rPr>
      </w:pPr>
      <w:r>
        <w:rPr>
          <w:rFonts w:ascii="NewBaskerville" w:hAnsi="NewBaskerville"/>
          <w:color w:val="000000"/>
          <w:lang w:eastAsia="en-US"/>
        </w:rPr>
        <w:t xml:space="preserve">Se </w:t>
      </w:r>
      <w:r w:rsidR="003F24D6">
        <w:rPr>
          <w:rFonts w:ascii="NewBaskerville" w:hAnsi="NewBaskerville"/>
          <w:color w:val="000000"/>
          <w:lang w:eastAsia="en-US"/>
        </w:rPr>
        <w:t>evalúa</w:t>
      </w:r>
      <w:r>
        <w:rPr>
          <w:rFonts w:ascii="NewBaskerville" w:hAnsi="NewBaskerville"/>
          <w:color w:val="000000"/>
          <w:lang w:eastAsia="en-US"/>
        </w:rPr>
        <w:t xml:space="preserve"> la probabilidad que </w:t>
      </w:r>
      <w:r w:rsidR="00E36D30">
        <w:rPr>
          <w:rFonts w:ascii="NewBaskerville" w:hAnsi="NewBaskerville"/>
          <w:color w:val="000000"/>
          <w:lang w:eastAsia="en-US"/>
        </w:rPr>
        <w:t>la Entidad</w:t>
      </w:r>
      <w:r>
        <w:rPr>
          <w:rFonts w:ascii="NewBaskerville" w:hAnsi="NewBaskerville"/>
          <w:color w:val="000000"/>
          <w:lang w:eastAsia="en-US"/>
        </w:rPr>
        <w:t xml:space="preserve"> disponga de ganancias futuras que permitan la aplicación de estos activos.</w:t>
      </w:r>
    </w:p>
    <w:p w:rsidR="00E96B8F" w:rsidRDefault="00E96B8F" w:rsidP="00E96B8F">
      <w:pPr>
        <w:jc w:val="both"/>
        <w:rPr>
          <w:rFonts w:ascii="NewBaskerville" w:hAnsi="NewBaskerville"/>
          <w:color w:val="000000"/>
          <w:lang w:eastAsia="en-US"/>
        </w:rPr>
      </w:pPr>
    </w:p>
    <w:p w:rsidR="00E96B8F" w:rsidRDefault="00E96B8F" w:rsidP="00E96B8F">
      <w:pPr>
        <w:ind w:firstLine="567"/>
        <w:jc w:val="both"/>
        <w:rPr>
          <w:rFonts w:ascii="NewBaskerville" w:hAnsi="NewBaskerville"/>
          <w:color w:val="000000"/>
          <w:lang w:eastAsia="en-US"/>
        </w:rPr>
      </w:pPr>
      <w:r>
        <w:rPr>
          <w:rFonts w:ascii="NewBaskerville" w:hAnsi="NewBaskerville"/>
          <w:color w:val="000000"/>
          <w:lang w:eastAsia="en-US"/>
        </w:rPr>
        <w:t>Los cambios de estimaciones contables se aplicarán de forma prospectiva.</w:t>
      </w:r>
    </w:p>
    <w:p w:rsidR="006010B3" w:rsidRDefault="006010B3" w:rsidP="006010B3">
      <w:pPr>
        <w:ind w:firstLine="568"/>
        <w:jc w:val="both"/>
        <w:rPr>
          <w:sz w:val="24"/>
        </w:rPr>
      </w:pPr>
    </w:p>
    <w:p w:rsidR="00E96B8F" w:rsidRPr="00172314" w:rsidRDefault="00172314" w:rsidP="00E96B8F">
      <w:pPr>
        <w:pStyle w:val="Prrafodelista"/>
        <w:numPr>
          <w:ilvl w:val="0"/>
          <w:numId w:val="44"/>
        </w:numPr>
        <w:jc w:val="both"/>
        <w:rPr>
          <w:sz w:val="24"/>
          <w:u w:val="single"/>
        </w:rPr>
      </w:pPr>
      <w:r w:rsidRPr="00172314">
        <w:rPr>
          <w:rFonts w:ascii="NewBaskerville" w:hAnsi="NewBaskerville"/>
          <w:u w:val="single"/>
        </w:rPr>
        <w:t>Comparación de la información</w:t>
      </w:r>
    </w:p>
    <w:p w:rsidR="002C4355" w:rsidRPr="0018037A" w:rsidRDefault="00575642" w:rsidP="00E96B8F">
      <w:pPr>
        <w:spacing w:before="100"/>
        <w:ind w:firstLine="568"/>
        <w:jc w:val="both"/>
        <w:rPr>
          <w:rFonts w:ascii="NewBaskerville" w:hAnsi="NewBaskerville"/>
          <w:b/>
        </w:rPr>
      </w:pPr>
      <w:r w:rsidRPr="00E96B8F">
        <w:rPr>
          <w:rFonts w:ascii="NewBaskerville" w:hAnsi="NewBaskerville"/>
        </w:rPr>
        <w:t>Se</w:t>
      </w:r>
      <w:r w:rsidR="002C4355" w:rsidRPr="00E96B8F">
        <w:rPr>
          <w:rFonts w:ascii="NewBaskerville" w:hAnsi="NewBaskerville"/>
        </w:rPr>
        <w:t xml:space="preserve"> presenta</w:t>
      </w:r>
      <w:r w:rsidRPr="00E96B8F">
        <w:rPr>
          <w:rFonts w:ascii="NewBaskerville" w:hAnsi="NewBaskerville"/>
        </w:rPr>
        <w:t>n</w:t>
      </w:r>
      <w:r w:rsidR="002C4355" w:rsidRPr="00E96B8F">
        <w:rPr>
          <w:rFonts w:ascii="NewBaskerville" w:hAnsi="NewBaskerville"/>
        </w:rPr>
        <w:t xml:space="preserve"> cifras comparativas con el ejercicio 20</w:t>
      </w:r>
      <w:r w:rsidR="00B364F4" w:rsidRPr="00E96B8F">
        <w:rPr>
          <w:rFonts w:ascii="NewBaskerville" w:hAnsi="NewBaskerville"/>
        </w:rPr>
        <w:t>2</w:t>
      </w:r>
      <w:r w:rsidR="0018037A">
        <w:rPr>
          <w:rFonts w:ascii="NewBaskerville" w:hAnsi="NewBaskerville"/>
        </w:rPr>
        <w:t>2</w:t>
      </w:r>
      <w:r w:rsidR="002C4355" w:rsidRPr="00E96B8F">
        <w:rPr>
          <w:rFonts w:ascii="NewBaskerville" w:hAnsi="NewBaskerville"/>
        </w:rPr>
        <w:t>.</w:t>
      </w:r>
    </w:p>
    <w:p w:rsidR="007124E5" w:rsidRDefault="007124E5" w:rsidP="00E96B8F">
      <w:pPr>
        <w:spacing w:before="100"/>
        <w:ind w:firstLine="568"/>
        <w:jc w:val="both"/>
        <w:rPr>
          <w:rFonts w:ascii="NewBaskerville" w:hAnsi="NewBaskerville"/>
        </w:rPr>
      </w:pPr>
      <w:r>
        <w:rPr>
          <w:rFonts w:ascii="NewBaskerville" w:hAnsi="NewBaskerville"/>
        </w:rPr>
        <w:t>A raíz de</w:t>
      </w:r>
      <w:r w:rsidR="00994DDB">
        <w:rPr>
          <w:rFonts w:ascii="NewBaskerville" w:hAnsi="NewBaskerville"/>
        </w:rPr>
        <w:t xml:space="preserve"> </w:t>
      </w:r>
      <w:r>
        <w:rPr>
          <w:rFonts w:ascii="NewBaskerville" w:hAnsi="NewBaskerville"/>
        </w:rPr>
        <w:t>l</w:t>
      </w:r>
      <w:r w:rsidR="00994DDB">
        <w:rPr>
          <w:rFonts w:ascii="NewBaskerville" w:hAnsi="NewBaskerville"/>
        </w:rPr>
        <w:t>a corrección de errores contables</w:t>
      </w:r>
      <w:r>
        <w:rPr>
          <w:rFonts w:ascii="NewBaskerville" w:hAnsi="NewBaskerville"/>
        </w:rPr>
        <w:t xml:space="preserve"> detallado</w:t>
      </w:r>
      <w:r w:rsidR="00994DDB">
        <w:rPr>
          <w:rFonts w:ascii="NewBaskerville" w:hAnsi="NewBaskerville"/>
        </w:rPr>
        <w:t>s</w:t>
      </w:r>
      <w:r>
        <w:rPr>
          <w:rFonts w:ascii="NewBaskerville" w:hAnsi="NewBaskerville"/>
        </w:rPr>
        <w:t xml:space="preserve"> en los apartados siguientes, se han adaptado los importes en Bala</w:t>
      </w:r>
      <w:r w:rsidR="00994DDB">
        <w:rPr>
          <w:rFonts w:ascii="NewBaskerville" w:hAnsi="NewBaskerville"/>
        </w:rPr>
        <w:t>nce</w:t>
      </w:r>
      <w:r w:rsidR="008A39CD">
        <w:rPr>
          <w:rFonts w:ascii="NewBaskerville" w:hAnsi="NewBaskerville"/>
        </w:rPr>
        <w:t xml:space="preserve">, Cuenta de Pérdidas y Ganancias, Estado de Flujos de Efectivo </w:t>
      </w:r>
      <w:r w:rsidR="00994DDB">
        <w:rPr>
          <w:rFonts w:ascii="NewBaskerville" w:hAnsi="NewBaskerville"/>
        </w:rPr>
        <w:t xml:space="preserve"> del ejercicio anterior (2022</w:t>
      </w:r>
      <w:r>
        <w:rPr>
          <w:rFonts w:ascii="NewBaskerville" w:hAnsi="NewBaskerville"/>
        </w:rPr>
        <w:t>) para facilitar su comparación. Dicha adaptación se describe en el cuadro siguiente:</w:t>
      </w: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tbl>
      <w:tblPr>
        <w:tblW w:w="7732" w:type="dxa"/>
        <w:tblInd w:w="70" w:type="dxa"/>
        <w:tblCellMar>
          <w:left w:w="70" w:type="dxa"/>
          <w:right w:w="70" w:type="dxa"/>
        </w:tblCellMar>
        <w:tblLook w:val="04A0" w:firstRow="1" w:lastRow="0" w:firstColumn="1" w:lastColumn="0" w:noHBand="0" w:noVBand="1"/>
      </w:tblPr>
      <w:tblGrid>
        <w:gridCol w:w="4048"/>
        <w:gridCol w:w="2008"/>
        <w:gridCol w:w="1676"/>
      </w:tblGrid>
      <w:tr w:rsidR="008A39CD" w:rsidRPr="008A39CD" w:rsidTr="008A39CD">
        <w:trPr>
          <w:trHeight w:val="300"/>
        </w:trPr>
        <w:tc>
          <w:tcPr>
            <w:tcW w:w="6056" w:type="dxa"/>
            <w:gridSpan w:val="2"/>
            <w:tcBorders>
              <w:top w:val="nil"/>
              <w:left w:val="nil"/>
              <w:bottom w:val="nil"/>
              <w:right w:val="nil"/>
            </w:tcBorders>
            <w:shd w:val="clear" w:color="000000" w:fill="FFFFFF"/>
            <w:noWrap/>
            <w:vAlign w:val="bottom"/>
            <w:hideMark/>
          </w:tcPr>
          <w:p w:rsidR="008A39CD" w:rsidRPr="008A39CD" w:rsidRDefault="008A39CD" w:rsidP="008A39CD">
            <w:pPr>
              <w:rPr>
                <w:rFonts w:ascii="Lucida Bright" w:hAnsi="Lucida Bright" w:cs="Calibri"/>
                <w:b/>
                <w:bCs/>
                <w:sz w:val="18"/>
                <w:szCs w:val="18"/>
                <w:lang w:val="es-ES"/>
              </w:rPr>
            </w:pPr>
            <w:r w:rsidRPr="008A39CD">
              <w:rPr>
                <w:rFonts w:ascii="Lucida Bright" w:hAnsi="Lucida Bright" w:cs="Calibri"/>
                <w:b/>
                <w:bCs/>
                <w:sz w:val="18"/>
                <w:szCs w:val="18"/>
                <w:lang w:val="es-ES"/>
              </w:rPr>
              <w:t>Balance al cierre del ejercicio 2023 (cifras comparativas 2022)</w:t>
            </w:r>
          </w:p>
        </w:tc>
        <w:tc>
          <w:tcPr>
            <w:tcW w:w="1676" w:type="dxa"/>
            <w:tcBorders>
              <w:top w:val="nil"/>
              <w:left w:val="nil"/>
              <w:bottom w:val="nil"/>
              <w:right w:val="nil"/>
            </w:tcBorders>
            <w:shd w:val="clear" w:color="000000" w:fill="FFFFFF"/>
            <w:noWrap/>
            <w:vAlign w:val="center"/>
            <w:hideMark/>
          </w:tcPr>
          <w:p w:rsidR="008A39CD" w:rsidRPr="008A39CD" w:rsidRDefault="008A39CD" w:rsidP="008A39CD">
            <w:pPr>
              <w:rPr>
                <w:rFonts w:ascii="Lucida Bright" w:hAnsi="Lucida Bright" w:cs="Calibri"/>
                <w:sz w:val="14"/>
                <w:szCs w:val="14"/>
                <w:lang w:val="es-ES"/>
              </w:rPr>
            </w:pPr>
            <w:r w:rsidRPr="008A39CD">
              <w:rPr>
                <w:rFonts w:ascii="Lucida Bright" w:hAnsi="Lucida Bright" w:cs="Calibri"/>
                <w:sz w:val="14"/>
                <w:szCs w:val="14"/>
                <w:lang w:val="es-ES"/>
              </w:rPr>
              <w:t>(en euros)</w:t>
            </w:r>
          </w:p>
        </w:tc>
      </w:tr>
      <w:tr w:rsidR="008A39CD" w:rsidRPr="008A39CD" w:rsidTr="008A39CD">
        <w:trPr>
          <w:trHeight w:val="675"/>
        </w:trPr>
        <w:tc>
          <w:tcPr>
            <w:tcW w:w="404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8A39CD" w:rsidRPr="008A39CD" w:rsidRDefault="008A39CD" w:rsidP="008A39CD">
            <w:pPr>
              <w:jc w:val="center"/>
              <w:rPr>
                <w:rFonts w:ascii="Lucida Bright" w:hAnsi="Lucida Bright" w:cs="Calibri"/>
                <w:b/>
                <w:bCs/>
                <w:sz w:val="18"/>
                <w:szCs w:val="18"/>
                <w:lang w:val="es-ES"/>
              </w:rPr>
            </w:pPr>
            <w:r w:rsidRPr="008A39CD">
              <w:rPr>
                <w:rFonts w:ascii="Lucida Bright" w:hAnsi="Lucida Bright" w:cs="Calibri"/>
                <w:b/>
                <w:bCs/>
                <w:sz w:val="18"/>
                <w:szCs w:val="18"/>
                <w:lang w:val="es-ES"/>
              </w:rPr>
              <w:t>PATRIMONIO NETO Y PASIVO</w:t>
            </w:r>
          </w:p>
        </w:tc>
        <w:tc>
          <w:tcPr>
            <w:tcW w:w="2008" w:type="dxa"/>
            <w:tcBorders>
              <w:top w:val="single" w:sz="4" w:space="0" w:color="auto"/>
              <w:left w:val="nil"/>
              <w:bottom w:val="single" w:sz="4" w:space="0" w:color="auto"/>
              <w:right w:val="single" w:sz="4" w:space="0" w:color="auto"/>
            </w:tcBorders>
            <w:shd w:val="clear" w:color="000000" w:fill="CCFFCC"/>
            <w:vAlign w:val="center"/>
            <w:hideMark/>
          </w:tcPr>
          <w:p w:rsidR="008A39CD" w:rsidRPr="008A39CD" w:rsidRDefault="008A39CD" w:rsidP="008A39CD">
            <w:pPr>
              <w:jc w:val="center"/>
              <w:rPr>
                <w:rFonts w:ascii="Lucida Bright" w:hAnsi="Lucida Bright" w:cs="Calibri"/>
                <w:b/>
                <w:bCs/>
                <w:sz w:val="16"/>
                <w:szCs w:val="16"/>
                <w:lang w:val="es-ES"/>
              </w:rPr>
            </w:pPr>
            <w:r w:rsidRPr="008A39CD">
              <w:rPr>
                <w:rFonts w:ascii="Lucida Bright" w:hAnsi="Lucida Bright" w:cs="Calibri"/>
                <w:b/>
                <w:bCs/>
                <w:sz w:val="16"/>
                <w:szCs w:val="16"/>
                <w:lang w:val="es-ES"/>
              </w:rPr>
              <w:t>2022 (Balance formulado en 2023)</w:t>
            </w:r>
          </w:p>
        </w:tc>
        <w:tc>
          <w:tcPr>
            <w:tcW w:w="1676" w:type="dxa"/>
            <w:tcBorders>
              <w:top w:val="single" w:sz="4" w:space="0" w:color="auto"/>
              <w:left w:val="nil"/>
              <w:bottom w:val="single" w:sz="4" w:space="0" w:color="auto"/>
              <w:right w:val="single" w:sz="4" w:space="0" w:color="auto"/>
            </w:tcBorders>
            <w:shd w:val="clear" w:color="000000" w:fill="CCFFCC"/>
            <w:vAlign w:val="center"/>
            <w:hideMark/>
          </w:tcPr>
          <w:p w:rsidR="008A39CD" w:rsidRPr="008A39CD" w:rsidRDefault="008A39CD" w:rsidP="008A39CD">
            <w:pPr>
              <w:jc w:val="center"/>
              <w:rPr>
                <w:rFonts w:ascii="Lucida Bright" w:hAnsi="Lucida Bright" w:cs="Calibri"/>
                <w:b/>
                <w:bCs/>
                <w:sz w:val="16"/>
                <w:szCs w:val="16"/>
                <w:lang w:val="es-ES"/>
              </w:rPr>
            </w:pPr>
            <w:r w:rsidRPr="008A39CD">
              <w:rPr>
                <w:rFonts w:ascii="Lucida Bright" w:hAnsi="Lucida Bright" w:cs="Calibri"/>
                <w:b/>
                <w:bCs/>
                <w:sz w:val="16"/>
                <w:szCs w:val="16"/>
                <w:lang w:val="es-ES"/>
              </w:rPr>
              <w:t>2022 (Balance formulado en 2022)</w:t>
            </w:r>
          </w:p>
        </w:tc>
      </w:tr>
      <w:tr w:rsidR="008A39CD" w:rsidRPr="008A39CD" w:rsidTr="008A39CD">
        <w:trPr>
          <w:trHeight w:val="300"/>
        </w:trPr>
        <w:tc>
          <w:tcPr>
            <w:tcW w:w="4048" w:type="dxa"/>
            <w:tcBorders>
              <w:top w:val="nil"/>
              <w:left w:val="single" w:sz="4" w:space="0" w:color="auto"/>
              <w:bottom w:val="nil"/>
              <w:right w:val="single" w:sz="4" w:space="0" w:color="auto"/>
            </w:tcBorders>
            <w:shd w:val="clear" w:color="000000" w:fill="CCFFCC"/>
            <w:noWrap/>
            <w:vAlign w:val="center"/>
            <w:hideMark/>
          </w:tcPr>
          <w:p w:rsidR="008A39CD" w:rsidRPr="008A39CD" w:rsidRDefault="008A39CD" w:rsidP="008A39CD">
            <w:pPr>
              <w:ind w:firstLineChars="100" w:firstLine="141"/>
              <w:rPr>
                <w:rFonts w:ascii="Lucida Bright" w:hAnsi="Lucida Bright" w:cs="Calibri"/>
                <w:b/>
                <w:bCs/>
                <w:sz w:val="14"/>
                <w:szCs w:val="14"/>
                <w:lang w:val="es-ES"/>
              </w:rPr>
            </w:pPr>
            <w:r w:rsidRPr="008A39CD">
              <w:rPr>
                <w:rFonts w:ascii="Lucida Bright" w:hAnsi="Lucida Bright" w:cs="Calibri"/>
                <w:b/>
                <w:bCs/>
                <w:sz w:val="14"/>
                <w:szCs w:val="14"/>
                <w:lang w:val="es-ES"/>
              </w:rPr>
              <w:t>A) PATRIONIO NETO</w:t>
            </w:r>
          </w:p>
        </w:tc>
        <w:tc>
          <w:tcPr>
            <w:tcW w:w="2008" w:type="dxa"/>
            <w:tcBorders>
              <w:top w:val="nil"/>
              <w:left w:val="nil"/>
              <w:bottom w:val="nil"/>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696.030.606,45 </w:t>
            </w:r>
          </w:p>
        </w:tc>
        <w:tc>
          <w:tcPr>
            <w:tcW w:w="1676" w:type="dxa"/>
            <w:tcBorders>
              <w:top w:val="nil"/>
              <w:left w:val="nil"/>
              <w:bottom w:val="nil"/>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696.111.834,47 </w:t>
            </w:r>
          </w:p>
        </w:tc>
      </w:tr>
      <w:tr w:rsidR="008A39CD" w:rsidRPr="008A39CD" w:rsidTr="008A39CD">
        <w:trPr>
          <w:trHeight w:val="30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39CD" w:rsidRPr="008A39CD" w:rsidRDefault="008A39CD" w:rsidP="008A39CD">
            <w:pPr>
              <w:ind w:firstLineChars="100" w:firstLine="141"/>
              <w:rPr>
                <w:rFonts w:ascii="Lucida Bright" w:hAnsi="Lucida Bright" w:cs="Calibri"/>
                <w:b/>
                <w:bCs/>
                <w:sz w:val="14"/>
                <w:szCs w:val="14"/>
                <w:lang w:val="es-ES"/>
              </w:rPr>
            </w:pPr>
            <w:r w:rsidRPr="008A39CD">
              <w:rPr>
                <w:rFonts w:ascii="Lucida Bright" w:hAnsi="Lucida Bright" w:cs="Calibri"/>
                <w:b/>
                <w:bCs/>
                <w:sz w:val="14"/>
                <w:szCs w:val="14"/>
                <w:lang w:val="es-ES"/>
              </w:rPr>
              <w:t>A-1) Fondos propios</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674.371.106,34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674.452.334,36 </w:t>
            </w:r>
          </w:p>
        </w:tc>
      </w:tr>
      <w:tr w:rsidR="008A39CD" w:rsidRPr="008A39CD" w:rsidTr="008A39CD">
        <w:trPr>
          <w:trHeight w:val="300"/>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rsidR="008A39CD" w:rsidRPr="008A39CD" w:rsidRDefault="008A39CD" w:rsidP="008A39CD">
            <w:pPr>
              <w:ind w:firstLineChars="100" w:firstLine="141"/>
              <w:rPr>
                <w:rFonts w:ascii="Lucida Bright" w:hAnsi="Lucida Bright" w:cs="Calibri"/>
                <w:b/>
                <w:bCs/>
                <w:sz w:val="14"/>
                <w:szCs w:val="14"/>
                <w:lang w:val="es-ES"/>
              </w:rPr>
            </w:pPr>
            <w:r w:rsidRPr="008A39CD">
              <w:rPr>
                <w:rFonts w:ascii="Lucida Bright" w:hAnsi="Lucida Bright" w:cs="Calibri"/>
                <w:b/>
                <w:bCs/>
                <w:sz w:val="14"/>
                <w:szCs w:val="14"/>
                <w:lang w:val="es-ES"/>
              </w:rPr>
              <w:t>II. Resultados acumulados</w:t>
            </w:r>
          </w:p>
        </w:tc>
        <w:tc>
          <w:tcPr>
            <w:tcW w:w="2008" w:type="dxa"/>
            <w:tcBorders>
              <w:top w:val="nil"/>
              <w:left w:val="nil"/>
              <w:bottom w:val="single" w:sz="4" w:space="0" w:color="auto"/>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429.046.806,79 </w:t>
            </w:r>
          </w:p>
        </w:tc>
        <w:tc>
          <w:tcPr>
            <w:tcW w:w="1676" w:type="dxa"/>
            <w:tcBorders>
              <w:top w:val="nil"/>
              <w:left w:val="nil"/>
              <w:bottom w:val="single" w:sz="4" w:space="0" w:color="auto"/>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429.131.846,88 </w:t>
            </w:r>
          </w:p>
        </w:tc>
      </w:tr>
      <w:tr w:rsidR="008A39CD" w:rsidRPr="008A39CD" w:rsidTr="008A39CD">
        <w:trPr>
          <w:trHeight w:val="300"/>
        </w:trPr>
        <w:tc>
          <w:tcPr>
            <w:tcW w:w="4048" w:type="dxa"/>
            <w:tcBorders>
              <w:top w:val="nil"/>
              <w:left w:val="single" w:sz="4" w:space="0" w:color="auto"/>
              <w:bottom w:val="single" w:sz="4" w:space="0" w:color="auto"/>
              <w:right w:val="single" w:sz="4" w:space="0" w:color="auto"/>
            </w:tcBorders>
            <w:shd w:val="clear" w:color="auto" w:fill="auto"/>
            <w:noWrap/>
            <w:vAlign w:val="center"/>
            <w:hideMark/>
          </w:tcPr>
          <w:p w:rsidR="008A39CD" w:rsidRPr="008A39CD" w:rsidRDefault="008A39CD" w:rsidP="008A39CD">
            <w:pPr>
              <w:ind w:firstLineChars="100" w:firstLine="141"/>
              <w:rPr>
                <w:rFonts w:ascii="Lucida Bright" w:hAnsi="Lucida Bright" w:cs="Calibri"/>
                <w:b/>
                <w:bCs/>
                <w:sz w:val="14"/>
                <w:szCs w:val="14"/>
                <w:lang w:val="es-ES"/>
              </w:rPr>
            </w:pPr>
            <w:r w:rsidRPr="008A39CD">
              <w:rPr>
                <w:rFonts w:ascii="Lucida Bright" w:hAnsi="Lucida Bright" w:cs="Calibri"/>
                <w:b/>
                <w:bCs/>
                <w:sz w:val="14"/>
                <w:szCs w:val="14"/>
                <w:lang w:val="es-ES"/>
              </w:rPr>
              <w:t>III. Resultado del ejercicio</w:t>
            </w:r>
          </w:p>
        </w:tc>
        <w:tc>
          <w:tcPr>
            <w:tcW w:w="2008" w:type="dxa"/>
            <w:tcBorders>
              <w:top w:val="nil"/>
              <w:left w:val="nil"/>
              <w:bottom w:val="single" w:sz="4" w:space="0" w:color="auto"/>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32.941.106,16 </w:t>
            </w:r>
          </w:p>
        </w:tc>
        <w:tc>
          <w:tcPr>
            <w:tcW w:w="1676" w:type="dxa"/>
            <w:tcBorders>
              <w:top w:val="nil"/>
              <w:left w:val="nil"/>
              <w:bottom w:val="single" w:sz="4" w:space="0" w:color="auto"/>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32.937.294,09 </w:t>
            </w:r>
          </w:p>
        </w:tc>
      </w:tr>
      <w:tr w:rsidR="008A39CD" w:rsidRPr="008A39CD" w:rsidTr="008A39CD">
        <w:trPr>
          <w:trHeight w:val="300"/>
        </w:trPr>
        <w:tc>
          <w:tcPr>
            <w:tcW w:w="4048" w:type="dxa"/>
            <w:tcBorders>
              <w:top w:val="nil"/>
              <w:left w:val="single" w:sz="4" w:space="0" w:color="auto"/>
              <w:bottom w:val="single" w:sz="4" w:space="0" w:color="auto"/>
              <w:right w:val="nil"/>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w:t>
            </w:r>
          </w:p>
        </w:tc>
        <w:tc>
          <w:tcPr>
            <w:tcW w:w="2008" w:type="dxa"/>
            <w:tcBorders>
              <w:top w:val="nil"/>
              <w:left w:val="nil"/>
              <w:bottom w:val="single" w:sz="4" w:space="0" w:color="auto"/>
              <w:right w:val="nil"/>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w:t>
            </w:r>
          </w:p>
        </w:tc>
        <w:tc>
          <w:tcPr>
            <w:tcW w:w="1676" w:type="dxa"/>
            <w:tcBorders>
              <w:top w:val="nil"/>
              <w:left w:val="nil"/>
              <w:bottom w:val="single" w:sz="4" w:space="0" w:color="auto"/>
              <w:right w:val="single" w:sz="4" w:space="0" w:color="auto"/>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w:t>
            </w:r>
          </w:p>
        </w:tc>
      </w:tr>
      <w:tr w:rsidR="008A39CD" w:rsidRPr="008A39CD" w:rsidTr="008A39CD">
        <w:trPr>
          <w:trHeight w:val="300"/>
        </w:trPr>
        <w:tc>
          <w:tcPr>
            <w:tcW w:w="4048" w:type="dxa"/>
            <w:tcBorders>
              <w:top w:val="nil"/>
              <w:left w:val="single" w:sz="4" w:space="0" w:color="auto"/>
              <w:bottom w:val="single" w:sz="4" w:space="0" w:color="auto"/>
              <w:right w:val="single" w:sz="4" w:space="0" w:color="auto"/>
            </w:tcBorders>
            <w:shd w:val="clear" w:color="000000" w:fill="CCFFCC"/>
            <w:noWrap/>
            <w:vAlign w:val="center"/>
            <w:hideMark/>
          </w:tcPr>
          <w:p w:rsidR="008A39CD" w:rsidRPr="008A39CD" w:rsidRDefault="008A39CD" w:rsidP="008A39CD">
            <w:pPr>
              <w:ind w:firstLineChars="100" w:firstLine="141"/>
              <w:rPr>
                <w:rFonts w:ascii="Lucida Bright" w:hAnsi="Lucida Bright" w:cs="Calibri"/>
                <w:b/>
                <w:bCs/>
                <w:sz w:val="14"/>
                <w:szCs w:val="14"/>
                <w:lang w:val="es-ES"/>
              </w:rPr>
            </w:pPr>
            <w:r w:rsidRPr="008A39CD">
              <w:rPr>
                <w:rFonts w:ascii="Lucida Bright" w:hAnsi="Lucida Bright" w:cs="Calibri"/>
                <w:b/>
                <w:bCs/>
                <w:sz w:val="14"/>
                <w:szCs w:val="14"/>
                <w:lang w:val="es-ES"/>
              </w:rPr>
              <w:t xml:space="preserve"> C) PASIVO CORRIENTE</w:t>
            </w:r>
          </w:p>
        </w:tc>
        <w:tc>
          <w:tcPr>
            <w:tcW w:w="2008" w:type="dxa"/>
            <w:tcBorders>
              <w:top w:val="nil"/>
              <w:left w:val="nil"/>
              <w:bottom w:val="single" w:sz="4" w:space="0" w:color="auto"/>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13.110.888,16 </w:t>
            </w:r>
          </w:p>
        </w:tc>
        <w:tc>
          <w:tcPr>
            <w:tcW w:w="1676" w:type="dxa"/>
            <w:tcBorders>
              <w:top w:val="nil"/>
              <w:left w:val="nil"/>
              <w:bottom w:val="single" w:sz="4" w:space="0" w:color="auto"/>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13.029.660,14 </w:t>
            </w:r>
          </w:p>
        </w:tc>
      </w:tr>
      <w:tr w:rsidR="008A39CD" w:rsidRPr="008A39CD" w:rsidTr="008A39CD">
        <w:trPr>
          <w:trHeight w:val="300"/>
        </w:trPr>
        <w:tc>
          <w:tcPr>
            <w:tcW w:w="4048" w:type="dxa"/>
            <w:tcBorders>
              <w:top w:val="nil"/>
              <w:left w:val="single" w:sz="4" w:space="0" w:color="auto"/>
              <w:bottom w:val="nil"/>
              <w:right w:val="nil"/>
            </w:tcBorders>
            <w:shd w:val="clear" w:color="auto" w:fill="auto"/>
            <w:noWrap/>
            <w:vAlign w:val="center"/>
            <w:hideMark/>
          </w:tcPr>
          <w:p w:rsidR="008A39CD" w:rsidRPr="008A39CD" w:rsidRDefault="008A39CD" w:rsidP="008A39CD">
            <w:pPr>
              <w:ind w:firstLineChars="100" w:firstLine="141"/>
              <w:rPr>
                <w:rFonts w:ascii="Lucida Bright" w:hAnsi="Lucida Bright" w:cs="Calibri"/>
                <w:b/>
                <w:bCs/>
                <w:sz w:val="14"/>
                <w:szCs w:val="14"/>
                <w:lang w:val="es-ES"/>
              </w:rPr>
            </w:pPr>
            <w:r w:rsidRPr="008A39CD">
              <w:rPr>
                <w:rFonts w:ascii="Lucida Bright" w:hAnsi="Lucida Bright" w:cs="Calibri"/>
                <w:b/>
                <w:bCs/>
                <w:sz w:val="14"/>
                <w:szCs w:val="14"/>
                <w:lang w:val="es-ES"/>
              </w:rPr>
              <w:t>III. Deudas a corto plazo</w:t>
            </w:r>
          </w:p>
        </w:tc>
        <w:tc>
          <w:tcPr>
            <w:tcW w:w="2008"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4.148.879,80 </w:t>
            </w:r>
          </w:p>
        </w:tc>
        <w:tc>
          <w:tcPr>
            <w:tcW w:w="1676"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4.067.651,78 </w:t>
            </w:r>
          </w:p>
        </w:tc>
      </w:tr>
      <w:tr w:rsidR="008A39CD" w:rsidRPr="008A39CD" w:rsidTr="008A39CD">
        <w:trPr>
          <w:trHeight w:val="300"/>
        </w:trPr>
        <w:tc>
          <w:tcPr>
            <w:tcW w:w="4048" w:type="dxa"/>
            <w:tcBorders>
              <w:top w:val="nil"/>
              <w:left w:val="single" w:sz="4" w:space="0" w:color="auto"/>
              <w:bottom w:val="single" w:sz="4" w:space="0" w:color="auto"/>
              <w:right w:val="nil"/>
            </w:tcBorders>
            <w:shd w:val="clear" w:color="auto" w:fill="auto"/>
            <w:noWrap/>
            <w:vAlign w:val="bottom"/>
            <w:hideMark/>
          </w:tcPr>
          <w:p w:rsidR="008A39CD" w:rsidRPr="008A39CD" w:rsidRDefault="008A39CD" w:rsidP="008A39CD">
            <w:pPr>
              <w:ind w:firstLineChars="200" w:firstLine="280"/>
              <w:rPr>
                <w:rFonts w:ascii="Lucida Bright" w:hAnsi="Lucida Bright" w:cs="Calibri"/>
                <w:color w:val="000000"/>
                <w:sz w:val="14"/>
                <w:szCs w:val="14"/>
                <w:lang w:val="es-ES"/>
              </w:rPr>
            </w:pPr>
            <w:r w:rsidRPr="008A39CD">
              <w:rPr>
                <w:rFonts w:ascii="Lucida Bright" w:hAnsi="Lucida Bright" w:cs="Calibri"/>
                <w:color w:val="000000"/>
                <w:sz w:val="14"/>
                <w:szCs w:val="14"/>
                <w:lang w:val="es-ES"/>
              </w:rPr>
              <w:t>3. Otros pasivos financieros</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612.003,29 </w:t>
            </w:r>
          </w:p>
        </w:tc>
        <w:tc>
          <w:tcPr>
            <w:tcW w:w="1676" w:type="dxa"/>
            <w:tcBorders>
              <w:top w:val="nil"/>
              <w:left w:val="nil"/>
              <w:bottom w:val="single" w:sz="4" w:space="0" w:color="auto"/>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530.775,27 </w:t>
            </w:r>
          </w:p>
        </w:tc>
      </w:tr>
    </w:tbl>
    <w:p w:rsidR="007124E5" w:rsidRDefault="007124E5"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p w:rsidR="008A39CD" w:rsidRDefault="008A39CD" w:rsidP="00E96B8F">
      <w:pPr>
        <w:spacing w:before="100"/>
        <w:ind w:firstLine="568"/>
        <w:jc w:val="both"/>
        <w:rPr>
          <w:rFonts w:ascii="NewBaskerville" w:hAnsi="NewBaskerville"/>
        </w:rPr>
      </w:pPr>
    </w:p>
    <w:tbl>
      <w:tblPr>
        <w:tblW w:w="7700" w:type="dxa"/>
        <w:tblInd w:w="70" w:type="dxa"/>
        <w:tblCellMar>
          <w:left w:w="70" w:type="dxa"/>
          <w:right w:w="70" w:type="dxa"/>
        </w:tblCellMar>
        <w:tblLook w:val="04A0" w:firstRow="1" w:lastRow="0" w:firstColumn="1" w:lastColumn="0" w:noHBand="0" w:noVBand="1"/>
      </w:tblPr>
      <w:tblGrid>
        <w:gridCol w:w="4380"/>
        <w:gridCol w:w="1660"/>
        <w:gridCol w:w="1660"/>
      </w:tblGrid>
      <w:tr w:rsidR="008A39CD" w:rsidRPr="008A39CD" w:rsidTr="008A39CD">
        <w:trPr>
          <w:trHeight w:val="300"/>
        </w:trPr>
        <w:tc>
          <w:tcPr>
            <w:tcW w:w="7700" w:type="dxa"/>
            <w:gridSpan w:val="3"/>
            <w:vMerge w:val="restart"/>
            <w:tcBorders>
              <w:top w:val="nil"/>
              <w:left w:val="nil"/>
              <w:bottom w:val="single" w:sz="4" w:space="0" w:color="000000"/>
              <w:right w:val="nil"/>
            </w:tcBorders>
            <w:shd w:val="clear" w:color="000000" w:fill="FFFFFF"/>
            <w:hideMark/>
          </w:tcPr>
          <w:p w:rsidR="008A39CD" w:rsidRPr="008A39CD" w:rsidRDefault="008A39CD" w:rsidP="008A39CD">
            <w:pPr>
              <w:rPr>
                <w:rFonts w:ascii="Lucida Bright" w:hAnsi="Lucida Bright" w:cs="Calibri"/>
                <w:b/>
                <w:bCs/>
                <w:lang w:val="es-ES"/>
              </w:rPr>
            </w:pPr>
            <w:r w:rsidRPr="008A39CD">
              <w:rPr>
                <w:rFonts w:ascii="Lucida Bright" w:hAnsi="Lucida Bright" w:cs="Calibri"/>
                <w:b/>
                <w:bCs/>
                <w:lang w:val="es-ES"/>
              </w:rPr>
              <w:lastRenderedPageBreak/>
              <w:t xml:space="preserve">Cuenta de Pérdidas y Ganancias correspondiente al ejercicio terminado el 31-12-23 (cifras comparativas 2022) </w:t>
            </w:r>
            <w:r w:rsidRPr="008A39CD">
              <w:rPr>
                <w:rFonts w:ascii="Lucida Bright" w:hAnsi="Lucida Bright" w:cs="Calibri"/>
                <w:sz w:val="14"/>
                <w:szCs w:val="14"/>
                <w:lang w:val="es-ES"/>
              </w:rPr>
              <w:t>(en euros)</w:t>
            </w:r>
          </w:p>
        </w:tc>
      </w:tr>
      <w:tr w:rsidR="008A39CD" w:rsidRPr="008A39CD" w:rsidTr="008A39CD">
        <w:trPr>
          <w:trHeight w:val="300"/>
        </w:trPr>
        <w:tc>
          <w:tcPr>
            <w:tcW w:w="7700" w:type="dxa"/>
            <w:gridSpan w:val="3"/>
            <w:vMerge/>
            <w:tcBorders>
              <w:top w:val="nil"/>
              <w:left w:val="nil"/>
              <w:bottom w:val="single" w:sz="4" w:space="0" w:color="000000"/>
              <w:right w:val="nil"/>
            </w:tcBorders>
            <w:vAlign w:val="center"/>
            <w:hideMark/>
          </w:tcPr>
          <w:p w:rsidR="008A39CD" w:rsidRPr="008A39CD" w:rsidRDefault="008A39CD" w:rsidP="008A39CD">
            <w:pPr>
              <w:rPr>
                <w:rFonts w:ascii="Lucida Bright" w:hAnsi="Lucida Bright" w:cs="Calibri"/>
                <w:b/>
                <w:bCs/>
                <w:lang w:val="es-ES"/>
              </w:rPr>
            </w:pPr>
          </w:p>
        </w:tc>
      </w:tr>
      <w:tr w:rsidR="008A39CD" w:rsidRPr="008A39CD" w:rsidTr="008A39CD">
        <w:trPr>
          <w:trHeight w:val="300"/>
        </w:trPr>
        <w:tc>
          <w:tcPr>
            <w:tcW w:w="4380" w:type="dxa"/>
            <w:vMerge w:val="restart"/>
            <w:tcBorders>
              <w:top w:val="nil"/>
              <w:left w:val="single" w:sz="4" w:space="0" w:color="auto"/>
              <w:bottom w:val="single" w:sz="4" w:space="0" w:color="000000"/>
              <w:right w:val="single" w:sz="4" w:space="0" w:color="auto"/>
            </w:tcBorders>
            <w:shd w:val="clear" w:color="000000" w:fill="CCFFCC"/>
            <w:noWrap/>
            <w:vAlign w:val="center"/>
            <w:hideMark/>
          </w:tcPr>
          <w:p w:rsidR="008A39CD" w:rsidRPr="008A39CD" w:rsidRDefault="008A39CD" w:rsidP="008A39CD">
            <w:pPr>
              <w:jc w:val="center"/>
              <w:rPr>
                <w:rFonts w:ascii="Lucida Bright" w:hAnsi="Lucida Bright" w:cs="Calibri"/>
                <w:b/>
                <w:bCs/>
                <w:sz w:val="18"/>
                <w:szCs w:val="18"/>
                <w:lang w:val="es-ES"/>
              </w:rPr>
            </w:pPr>
            <w:r w:rsidRPr="008A39CD">
              <w:rPr>
                <w:rFonts w:ascii="Lucida Bright" w:hAnsi="Lucida Bright" w:cs="Calibri"/>
                <w:b/>
                <w:bCs/>
                <w:sz w:val="18"/>
                <w:szCs w:val="18"/>
                <w:lang w:val="es-ES"/>
              </w:rPr>
              <w:t xml:space="preserve">CUENTA DE PÉRDIDAS Y GANANCIAS  </w:t>
            </w:r>
          </w:p>
        </w:tc>
        <w:tc>
          <w:tcPr>
            <w:tcW w:w="3320"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8A39CD" w:rsidRPr="008A39CD" w:rsidRDefault="008A39CD" w:rsidP="008A39CD">
            <w:pPr>
              <w:jc w:val="center"/>
              <w:rPr>
                <w:rFonts w:ascii="Lucida Bright" w:hAnsi="Lucida Bright" w:cs="Calibri"/>
                <w:b/>
                <w:bCs/>
                <w:sz w:val="18"/>
                <w:szCs w:val="18"/>
                <w:lang w:val="es-ES"/>
              </w:rPr>
            </w:pPr>
            <w:r w:rsidRPr="008A39CD">
              <w:rPr>
                <w:rFonts w:ascii="Lucida Bright" w:hAnsi="Lucida Bright" w:cs="Calibri"/>
                <w:b/>
                <w:bCs/>
                <w:sz w:val="18"/>
                <w:szCs w:val="18"/>
                <w:lang w:val="es-ES"/>
              </w:rPr>
              <w:t>(Debe) Haber</w:t>
            </w:r>
          </w:p>
        </w:tc>
      </w:tr>
      <w:tr w:rsidR="008A39CD" w:rsidRPr="008A39CD" w:rsidTr="008A39CD">
        <w:trPr>
          <w:trHeight w:val="675"/>
        </w:trPr>
        <w:tc>
          <w:tcPr>
            <w:tcW w:w="4380" w:type="dxa"/>
            <w:vMerge/>
            <w:tcBorders>
              <w:top w:val="nil"/>
              <w:left w:val="single" w:sz="4" w:space="0" w:color="auto"/>
              <w:bottom w:val="single" w:sz="4" w:space="0" w:color="000000"/>
              <w:right w:val="single" w:sz="4" w:space="0" w:color="auto"/>
            </w:tcBorders>
            <w:vAlign w:val="center"/>
            <w:hideMark/>
          </w:tcPr>
          <w:p w:rsidR="008A39CD" w:rsidRPr="008A39CD" w:rsidRDefault="008A39CD" w:rsidP="008A39CD">
            <w:pPr>
              <w:rPr>
                <w:rFonts w:ascii="Lucida Bright" w:hAnsi="Lucida Bright" w:cs="Calibri"/>
                <w:b/>
                <w:bCs/>
                <w:sz w:val="18"/>
                <w:szCs w:val="18"/>
                <w:lang w:val="es-ES"/>
              </w:rPr>
            </w:pPr>
          </w:p>
        </w:tc>
        <w:tc>
          <w:tcPr>
            <w:tcW w:w="1660" w:type="dxa"/>
            <w:tcBorders>
              <w:top w:val="nil"/>
              <w:left w:val="nil"/>
              <w:bottom w:val="single" w:sz="4" w:space="0" w:color="auto"/>
              <w:right w:val="single" w:sz="4" w:space="0" w:color="auto"/>
            </w:tcBorders>
            <w:shd w:val="clear" w:color="000000" w:fill="CCFFCC"/>
            <w:vAlign w:val="center"/>
            <w:hideMark/>
          </w:tcPr>
          <w:p w:rsidR="008A39CD" w:rsidRPr="008A39CD" w:rsidRDefault="008A39CD" w:rsidP="008A39CD">
            <w:pPr>
              <w:jc w:val="center"/>
              <w:rPr>
                <w:rFonts w:ascii="Lucida Bright" w:hAnsi="Lucida Bright" w:cs="Calibri"/>
                <w:b/>
                <w:bCs/>
                <w:sz w:val="16"/>
                <w:szCs w:val="16"/>
                <w:lang w:val="es-ES"/>
              </w:rPr>
            </w:pPr>
            <w:r w:rsidRPr="008A39CD">
              <w:rPr>
                <w:rFonts w:ascii="Lucida Bright" w:hAnsi="Lucida Bright" w:cs="Calibri"/>
                <w:b/>
                <w:bCs/>
                <w:sz w:val="16"/>
                <w:szCs w:val="16"/>
                <w:lang w:val="es-ES"/>
              </w:rPr>
              <w:t>2022 (Cuenta de P y G formulada en 2023)</w:t>
            </w:r>
          </w:p>
        </w:tc>
        <w:tc>
          <w:tcPr>
            <w:tcW w:w="1660" w:type="dxa"/>
            <w:tcBorders>
              <w:top w:val="nil"/>
              <w:left w:val="nil"/>
              <w:bottom w:val="single" w:sz="4" w:space="0" w:color="auto"/>
              <w:right w:val="single" w:sz="4" w:space="0" w:color="auto"/>
            </w:tcBorders>
            <w:shd w:val="clear" w:color="000000" w:fill="CCFFCC"/>
            <w:vAlign w:val="center"/>
            <w:hideMark/>
          </w:tcPr>
          <w:p w:rsidR="008A39CD" w:rsidRPr="008A39CD" w:rsidRDefault="008A39CD" w:rsidP="008A39CD">
            <w:pPr>
              <w:jc w:val="center"/>
              <w:rPr>
                <w:rFonts w:ascii="Lucida Bright" w:hAnsi="Lucida Bright" w:cs="Calibri"/>
                <w:b/>
                <w:bCs/>
                <w:sz w:val="16"/>
                <w:szCs w:val="16"/>
                <w:lang w:val="es-ES"/>
              </w:rPr>
            </w:pPr>
            <w:r w:rsidRPr="008A39CD">
              <w:rPr>
                <w:rFonts w:ascii="Lucida Bright" w:hAnsi="Lucida Bright" w:cs="Calibri"/>
                <w:b/>
                <w:bCs/>
                <w:sz w:val="16"/>
                <w:szCs w:val="16"/>
                <w:lang w:val="es-ES"/>
              </w:rPr>
              <w:t>2022 (Cuenta de P y G formulada en 2022)</w:t>
            </w:r>
          </w:p>
        </w:tc>
      </w:tr>
      <w:tr w:rsidR="008A39CD" w:rsidRPr="008A39CD" w:rsidTr="008A39CD">
        <w:trPr>
          <w:trHeight w:val="300"/>
        </w:trPr>
        <w:tc>
          <w:tcPr>
            <w:tcW w:w="438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ind w:firstLineChars="100" w:firstLine="141"/>
              <w:rPr>
                <w:rFonts w:ascii="Lucida Bright" w:hAnsi="Lucida Bright" w:cs="Calibri"/>
                <w:b/>
                <w:bCs/>
                <w:sz w:val="14"/>
                <w:szCs w:val="14"/>
                <w:lang w:val="es-ES"/>
              </w:rPr>
            </w:pPr>
            <w:r w:rsidRPr="008A39CD">
              <w:rPr>
                <w:rFonts w:ascii="Lucida Bright" w:hAnsi="Lucida Bright" w:cs="Calibri"/>
                <w:b/>
                <w:bCs/>
                <w:sz w:val="14"/>
                <w:szCs w:val="14"/>
                <w:lang w:val="es-ES"/>
              </w:rPr>
              <w:t>5. Otros ingresos de explotación</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12.691.511,44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12.687.699,37  </w:t>
            </w:r>
          </w:p>
        </w:tc>
      </w:tr>
      <w:tr w:rsidR="008A39CD" w:rsidRPr="008A39CD" w:rsidTr="008A39CD">
        <w:trPr>
          <w:trHeight w:val="300"/>
        </w:trPr>
        <w:tc>
          <w:tcPr>
            <w:tcW w:w="4380" w:type="dxa"/>
            <w:tcBorders>
              <w:top w:val="nil"/>
              <w:left w:val="single" w:sz="4" w:space="0" w:color="auto"/>
              <w:bottom w:val="nil"/>
              <w:right w:val="single" w:sz="4" w:space="0" w:color="auto"/>
            </w:tcBorders>
            <w:shd w:val="clear" w:color="auto" w:fill="auto"/>
            <w:noWrap/>
            <w:vAlign w:val="bottom"/>
            <w:hideMark/>
          </w:tcPr>
          <w:p w:rsidR="008A39CD" w:rsidRPr="008A39CD" w:rsidRDefault="008A39CD" w:rsidP="008A39CD">
            <w:pPr>
              <w:ind w:firstLineChars="200" w:firstLine="280"/>
              <w:rPr>
                <w:rFonts w:ascii="Lucida Bright" w:hAnsi="Lucida Bright" w:cs="Calibri"/>
                <w:sz w:val="14"/>
                <w:szCs w:val="14"/>
                <w:lang w:val="es-ES"/>
              </w:rPr>
            </w:pPr>
            <w:r w:rsidRPr="008A39CD">
              <w:rPr>
                <w:rFonts w:ascii="Lucida Bright" w:hAnsi="Lucida Bright" w:cs="Calibri"/>
                <w:sz w:val="14"/>
                <w:szCs w:val="14"/>
                <w:lang w:val="es-ES"/>
              </w:rPr>
              <w:t>a) Ingresos accesorios y otros de gestión corriente</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9.384.503,51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9.380.691,44  </w:t>
            </w:r>
          </w:p>
        </w:tc>
      </w:tr>
      <w:tr w:rsidR="008A39CD" w:rsidRPr="008A39CD" w:rsidTr="008A39CD">
        <w:trPr>
          <w:trHeight w:val="240"/>
        </w:trPr>
        <w:tc>
          <w:tcPr>
            <w:tcW w:w="438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center"/>
              <w:rPr>
                <w:rFonts w:ascii="Lucida Bright" w:hAnsi="Lucida Bright" w:cs="Calibri"/>
                <w:b/>
                <w:bCs/>
                <w:sz w:val="18"/>
                <w:szCs w:val="18"/>
                <w:lang w:val="es-ES"/>
              </w:rPr>
            </w:pPr>
            <w:r w:rsidRPr="008A39CD">
              <w:rPr>
                <w:rFonts w:ascii="Lucida Bright" w:hAnsi="Lucida Bright" w:cs="Calibri"/>
                <w:b/>
                <w:bCs/>
                <w:sz w:val="18"/>
                <w:szCs w:val="18"/>
                <w:lang w:val="es-ES"/>
              </w:rPr>
              <w:t> </w:t>
            </w:r>
          </w:p>
        </w:tc>
        <w:tc>
          <w:tcPr>
            <w:tcW w:w="1660" w:type="dxa"/>
            <w:tcBorders>
              <w:top w:val="nil"/>
              <w:left w:val="nil"/>
              <w:bottom w:val="nil"/>
              <w:right w:val="single" w:sz="4" w:space="0" w:color="auto"/>
            </w:tcBorders>
            <w:shd w:val="clear" w:color="auto" w:fill="auto"/>
            <w:vAlign w:val="center"/>
            <w:hideMark/>
          </w:tcPr>
          <w:p w:rsidR="008A39CD" w:rsidRPr="008A39CD" w:rsidRDefault="008A39CD" w:rsidP="008A39CD">
            <w:pPr>
              <w:jc w:val="center"/>
              <w:rPr>
                <w:rFonts w:ascii="Lucida Bright" w:hAnsi="Lucida Bright" w:cs="Calibri"/>
                <w:b/>
                <w:bCs/>
                <w:sz w:val="16"/>
                <w:szCs w:val="16"/>
                <w:lang w:val="es-ES"/>
              </w:rPr>
            </w:pPr>
            <w:r w:rsidRPr="008A39CD">
              <w:rPr>
                <w:rFonts w:ascii="Lucida Bright" w:hAnsi="Lucida Bright" w:cs="Calibri"/>
                <w:b/>
                <w:bCs/>
                <w:sz w:val="16"/>
                <w:szCs w:val="16"/>
                <w:lang w:val="es-ES"/>
              </w:rPr>
              <w:t> </w:t>
            </w:r>
          </w:p>
        </w:tc>
        <w:tc>
          <w:tcPr>
            <w:tcW w:w="1660" w:type="dxa"/>
            <w:tcBorders>
              <w:top w:val="nil"/>
              <w:left w:val="nil"/>
              <w:bottom w:val="nil"/>
              <w:right w:val="single" w:sz="4" w:space="0" w:color="auto"/>
            </w:tcBorders>
            <w:shd w:val="clear" w:color="auto" w:fill="auto"/>
            <w:vAlign w:val="center"/>
            <w:hideMark/>
          </w:tcPr>
          <w:p w:rsidR="008A39CD" w:rsidRPr="008A39CD" w:rsidRDefault="008A39CD" w:rsidP="008A39CD">
            <w:pPr>
              <w:jc w:val="center"/>
              <w:rPr>
                <w:rFonts w:ascii="Lucida Bright" w:hAnsi="Lucida Bright" w:cs="Calibri"/>
                <w:b/>
                <w:bCs/>
                <w:sz w:val="16"/>
                <w:szCs w:val="16"/>
                <w:lang w:val="es-ES"/>
              </w:rPr>
            </w:pPr>
            <w:r w:rsidRPr="008A39CD">
              <w:rPr>
                <w:rFonts w:ascii="Lucida Bright" w:hAnsi="Lucida Bright" w:cs="Calibri"/>
                <w:b/>
                <w:bCs/>
                <w:sz w:val="16"/>
                <w:szCs w:val="16"/>
                <w:lang w:val="es-ES"/>
              </w:rPr>
              <w:t> </w:t>
            </w:r>
          </w:p>
        </w:tc>
      </w:tr>
      <w:tr w:rsidR="008A39CD" w:rsidRPr="008A39CD" w:rsidTr="008A39CD">
        <w:trPr>
          <w:trHeight w:val="360"/>
        </w:trPr>
        <w:tc>
          <w:tcPr>
            <w:tcW w:w="4380" w:type="dxa"/>
            <w:tcBorders>
              <w:top w:val="nil"/>
              <w:left w:val="single" w:sz="4" w:space="0" w:color="auto"/>
              <w:bottom w:val="nil"/>
              <w:right w:val="single" w:sz="4" w:space="0" w:color="auto"/>
            </w:tcBorders>
            <w:shd w:val="clear" w:color="000000" w:fill="CCFFCC"/>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xml:space="preserve">  A.1. RESULTADO DE EXPLOTACIÓN (1+3+5+6+7+8+9+10+11+12)</w:t>
            </w:r>
          </w:p>
        </w:tc>
        <w:tc>
          <w:tcPr>
            <w:tcW w:w="1660" w:type="dxa"/>
            <w:tcBorders>
              <w:top w:val="nil"/>
              <w:left w:val="nil"/>
              <w:bottom w:val="nil"/>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32.663.502,97  </w:t>
            </w:r>
          </w:p>
        </w:tc>
        <w:tc>
          <w:tcPr>
            <w:tcW w:w="1660" w:type="dxa"/>
            <w:tcBorders>
              <w:top w:val="nil"/>
              <w:left w:val="nil"/>
              <w:bottom w:val="nil"/>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32.659.690,90  </w:t>
            </w:r>
          </w:p>
        </w:tc>
      </w:tr>
      <w:tr w:rsidR="008A39CD" w:rsidRPr="008A39CD" w:rsidTr="008A39CD">
        <w:trPr>
          <w:trHeight w:val="300"/>
        </w:trPr>
        <w:tc>
          <w:tcPr>
            <w:tcW w:w="438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w:t>
            </w:r>
          </w:p>
        </w:tc>
      </w:tr>
      <w:tr w:rsidR="008A39CD" w:rsidRPr="008A39CD" w:rsidTr="008A39CD">
        <w:trPr>
          <w:trHeight w:val="300"/>
        </w:trPr>
        <w:tc>
          <w:tcPr>
            <w:tcW w:w="4380" w:type="dxa"/>
            <w:tcBorders>
              <w:top w:val="nil"/>
              <w:left w:val="single" w:sz="4" w:space="0" w:color="auto"/>
              <w:bottom w:val="nil"/>
              <w:right w:val="single" w:sz="4" w:space="0" w:color="auto"/>
            </w:tcBorders>
            <w:shd w:val="clear" w:color="000000" w:fill="CCFFCC"/>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xml:space="preserve">  A.3. RESULTADO ANTES DE IMPUESTOS (A.1+A.2)</w:t>
            </w:r>
          </w:p>
        </w:tc>
        <w:tc>
          <w:tcPr>
            <w:tcW w:w="1660" w:type="dxa"/>
            <w:tcBorders>
              <w:top w:val="nil"/>
              <w:left w:val="nil"/>
              <w:bottom w:val="nil"/>
              <w:right w:val="single" w:sz="4" w:space="0" w:color="auto"/>
            </w:tcBorders>
            <w:shd w:val="clear" w:color="000000" w:fill="CCFFCC"/>
            <w:noWrap/>
            <w:vAlign w:val="bottom"/>
            <w:hideMark/>
          </w:tcPr>
          <w:p w:rsidR="008A39CD" w:rsidRPr="008A39CD" w:rsidRDefault="008A39CD" w:rsidP="008A39CD">
            <w:pPr>
              <w:jc w:val="right"/>
              <w:rPr>
                <w:rFonts w:ascii="Lucida Bright" w:hAnsi="Lucida Bright" w:cs="Calibri"/>
                <w:b/>
                <w:bCs/>
                <w:color w:val="000000"/>
                <w:sz w:val="14"/>
                <w:szCs w:val="14"/>
                <w:lang w:val="es-ES"/>
              </w:rPr>
            </w:pPr>
            <w:r w:rsidRPr="008A39CD">
              <w:rPr>
                <w:rFonts w:ascii="Lucida Bright" w:hAnsi="Lucida Bright" w:cs="Calibri"/>
                <w:b/>
                <w:bCs/>
                <w:color w:val="000000"/>
                <w:sz w:val="14"/>
                <w:szCs w:val="14"/>
                <w:lang w:val="es-ES"/>
              </w:rPr>
              <w:t xml:space="preserve">32.807.595,40  </w:t>
            </w:r>
          </w:p>
        </w:tc>
        <w:tc>
          <w:tcPr>
            <w:tcW w:w="1660" w:type="dxa"/>
            <w:tcBorders>
              <w:top w:val="nil"/>
              <w:left w:val="nil"/>
              <w:bottom w:val="nil"/>
              <w:right w:val="single" w:sz="4" w:space="0" w:color="auto"/>
            </w:tcBorders>
            <w:shd w:val="clear" w:color="000000" w:fill="CCFFCC"/>
            <w:noWrap/>
            <w:vAlign w:val="bottom"/>
            <w:hideMark/>
          </w:tcPr>
          <w:p w:rsidR="008A39CD" w:rsidRPr="008A39CD" w:rsidRDefault="008A39CD" w:rsidP="008A39CD">
            <w:pPr>
              <w:jc w:val="right"/>
              <w:rPr>
                <w:rFonts w:ascii="Lucida Bright" w:hAnsi="Lucida Bright" w:cs="Calibri"/>
                <w:b/>
                <w:bCs/>
                <w:color w:val="000000"/>
                <w:sz w:val="14"/>
                <w:szCs w:val="14"/>
                <w:lang w:val="es-ES"/>
              </w:rPr>
            </w:pPr>
            <w:r w:rsidRPr="008A39CD">
              <w:rPr>
                <w:rFonts w:ascii="Lucida Bright" w:hAnsi="Lucida Bright" w:cs="Calibri"/>
                <w:b/>
                <w:bCs/>
                <w:color w:val="000000"/>
                <w:sz w:val="14"/>
                <w:szCs w:val="14"/>
                <w:lang w:val="es-ES"/>
              </w:rPr>
              <w:t xml:space="preserve">32.803.783,33  </w:t>
            </w:r>
          </w:p>
        </w:tc>
      </w:tr>
      <w:tr w:rsidR="008A39CD" w:rsidRPr="008A39CD" w:rsidTr="008A39CD">
        <w:trPr>
          <w:trHeight w:val="300"/>
        </w:trPr>
        <w:tc>
          <w:tcPr>
            <w:tcW w:w="438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w:t>
            </w:r>
          </w:p>
        </w:tc>
      </w:tr>
      <w:tr w:rsidR="008A39CD" w:rsidRPr="008A39CD" w:rsidTr="008A39CD">
        <w:trPr>
          <w:trHeight w:val="300"/>
        </w:trPr>
        <w:tc>
          <w:tcPr>
            <w:tcW w:w="4380" w:type="dxa"/>
            <w:tcBorders>
              <w:top w:val="nil"/>
              <w:left w:val="single" w:sz="4" w:space="0" w:color="auto"/>
              <w:bottom w:val="single" w:sz="4" w:space="0" w:color="auto"/>
              <w:right w:val="single" w:sz="4" w:space="0" w:color="auto"/>
            </w:tcBorders>
            <w:shd w:val="clear" w:color="000000" w:fill="CCFFCC"/>
            <w:noWrap/>
            <w:vAlign w:val="bottom"/>
            <w:hideMark/>
          </w:tcPr>
          <w:p w:rsidR="008A39CD" w:rsidRPr="008A39CD" w:rsidRDefault="008A39CD" w:rsidP="008A39CD">
            <w:pPr>
              <w:rPr>
                <w:rFonts w:ascii="Lucida Bright" w:hAnsi="Lucida Bright" w:cs="Calibri"/>
                <w:b/>
                <w:bCs/>
                <w:color w:val="000000"/>
                <w:sz w:val="14"/>
                <w:szCs w:val="14"/>
                <w:lang w:val="es-ES"/>
              </w:rPr>
            </w:pPr>
            <w:r w:rsidRPr="008A39CD">
              <w:rPr>
                <w:rFonts w:ascii="Lucida Bright" w:hAnsi="Lucida Bright" w:cs="Calibri"/>
                <w:b/>
                <w:bCs/>
                <w:color w:val="000000"/>
                <w:sz w:val="14"/>
                <w:szCs w:val="14"/>
                <w:lang w:val="es-ES"/>
              </w:rPr>
              <w:t xml:space="preserve">  A.4. RESULTADO DEL EJERCICIO (A.3+17)</w:t>
            </w:r>
          </w:p>
        </w:tc>
        <w:tc>
          <w:tcPr>
            <w:tcW w:w="1660" w:type="dxa"/>
            <w:tcBorders>
              <w:top w:val="nil"/>
              <w:left w:val="nil"/>
              <w:bottom w:val="single" w:sz="4" w:space="0" w:color="auto"/>
              <w:right w:val="single" w:sz="4" w:space="0" w:color="auto"/>
            </w:tcBorders>
            <w:shd w:val="clear" w:color="000000" w:fill="CCFFCC"/>
            <w:noWrap/>
            <w:vAlign w:val="bottom"/>
            <w:hideMark/>
          </w:tcPr>
          <w:p w:rsidR="008A39CD" w:rsidRPr="008A39CD" w:rsidRDefault="008A39CD" w:rsidP="008A39CD">
            <w:pPr>
              <w:jc w:val="right"/>
              <w:rPr>
                <w:rFonts w:ascii="Lucida Bright" w:hAnsi="Lucida Bright" w:cs="Calibri"/>
                <w:b/>
                <w:bCs/>
                <w:color w:val="000000"/>
                <w:sz w:val="14"/>
                <w:szCs w:val="14"/>
                <w:lang w:val="es-ES"/>
              </w:rPr>
            </w:pPr>
            <w:r w:rsidRPr="008A39CD">
              <w:rPr>
                <w:rFonts w:ascii="Lucida Bright" w:hAnsi="Lucida Bright" w:cs="Calibri"/>
                <w:b/>
                <w:bCs/>
                <w:color w:val="000000"/>
                <w:sz w:val="14"/>
                <w:szCs w:val="14"/>
                <w:lang w:val="es-ES"/>
              </w:rPr>
              <w:t xml:space="preserve">32.941.106,16  </w:t>
            </w:r>
          </w:p>
        </w:tc>
        <w:tc>
          <w:tcPr>
            <w:tcW w:w="1660" w:type="dxa"/>
            <w:tcBorders>
              <w:top w:val="nil"/>
              <w:left w:val="nil"/>
              <w:bottom w:val="single" w:sz="4" w:space="0" w:color="auto"/>
              <w:right w:val="single" w:sz="4" w:space="0" w:color="auto"/>
            </w:tcBorders>
            <w:shd w:val="clear" w:color="000000" w:fill="CCFFCC"/>
            <w:noWrap/>
            <w:vAlign w:val="bottom"/>
            <w:hideMark/>
          </w:tcPr>
          <w:p w:rsidR="008A39CD" w:rsidRPr="008A39CD" w:rsidRDefault="008A39CD" w:rsidP="008A39CD">
            <w:pPr>
              <w:jc w:val="right"/>
              <w:rPr>
                <w:rFonts w:ascii="Lucida Bright" w:hAnsi="Lucida Bright" w:cs="Calibri"/>
                <w:b/>
                <w:bCs/>
                <w:color w:val="000000"/>
                <w:sz w:val="14"/>
                <w:szCs w:val="14"/>
                <w:lang w:val="es-ES"/>
              </w:rPr>
            </w:pPr>
            <w:r w:rsidRPr="008A39CD">
              <w:rPr>
                <w:rFonts w:ascii="Lucida Bright" w:hAnsi="Lucida Bright" w:cs="Calibri"/>
                <w:b/>
                <w:bCs/>
                <w:color w:val="000000"/>
                <w:sz w:val="14"/>
                <w:szCs w:val="14"/>
                <w:lang w:val="es-ES"/>
              </w:rPr>
              <w:t xml:space="preserve">32.937.294,09  </w:t>
            </w:r>
          </w:p>
        </w:tc>
      </w:tr>
    </w:tbl>
    <w:p w:rsidR="008A39CD" w:rsidRDefault="008A39CD" w:rsidP="00E96B8F">
      <w:pPr>
        <w:spacing w:before="100"/>
        <w:ind w:firstLine="568"/>
        <w:jc w:val="both"/>
        <w:rPr>
          <w:rFonts w:ascii="NewBaskerville" w:hAnsi="NewBaskerville"/>
        </w:rPr>
      </w:pPr>
    </w:p>
    <w:tbl>
      <w:tblPr>
        <w:tblW w:w="7700" w:type="dxa"/>
        <w:tblInd w:w="70" w:type="dxa"/>
        <w:tblCellMar>
          <w:left w:w="70" w:type="dxa"/>
          <w:right w:w="70" w:type="dxa"/>
        </w:tblCellMar>
        <w:tblLook w:val="04A0" w:firstRow="1" w:lastRow="0" w:firstColumn="1" w:lastColumn="0" w:noHBand="0" w:noVBand="1"/>
      </w:tblPr>
      <w:tblGrid>
        <w:gridCol w:w="4380"/>
        <w:gridCol w:w="1660"/>
        <w:gridCol w:w="1660"/>
      </w:tblGrid>
      <w:tr w:rsidR="008A39CD" w:rsidRPr="008A39CD" w:rsidTr="008A39CD">
        <w:trPr>
          <w:trHeight w:val="345"/>
        </w:trPr>
        <w:tc>
          <w:tcPr>
            <w:tcW w:w="7700" w:type="dxa"/>
            <w:gridSpan w:val="3"/>
            <w:vMerge w:val="restart"/>
            <w:tcBorders>
              <w:top w:val="nil"/>
              <w:left w:val="nil"/>
              <w:bottom w:val="single" w:sz="4" w:space="0" w:color="000000"/>
              <w:right w:val="nil"/>
            </w:tcBorders>
            <w:shd w:val="clear" w:color="000000" w:fill="FFFFFF"/>
            <w:vAlign w:val="center"/>
            <w:hideMark/>
          </w:tcPr>
          <w:p w:rsidR="008A39CD" w:rsidRPr="008A39CD" w:rsidRDefault="008A39CD" w:rsidP="008A39CD">
            <w:pPr>
              <w:rPr>
                <w:rFonts w:ascii="Lucida Bright" w:hAnsi="Lucida Bright" w:cs="Calibri"/>
                <w:b/>
                <w:bCs/>
                <w:lang w:val="es-ES"/>
              </w:rPr>
            </w:pPr>
            <w:r w:rsidRPr="008A39CD">
              <w:rPr>
                <w:rFonts w:ascii="Lucida Bright" w:hAnsi="Lucida Bright" w:cs="Calibri"/>
                <w:b/>
                <w:bCs/>
                <w:lang w:val="es-ES"/>
              </w:rPr>
              <w:t xml:space="preserve">Estado de flujos de efectivo correspondiente al ejercicio terminado el       31-12-23 (cifras comparativas 2022) </w:t>
            </w:r>
            <w:r w:rsidRPr="008A39CD">
              <w:rPr>
                <w:rFonts w:ascii="Lucida Bright" w:hAnsi="Lucida Bright" w:cs="Calibri"/>
                <w:sz w:val="14"/>
                <w:szCs w:val="14"/>
                <w:lang w:val="es-ES"/>
              </w:rPr>
              <w:t>(en euros)</w:t>
            </w:r>
          </w:p>
        </w:tc>
      </w:tr>
      <w:tr w:rsidR="008A39CD" w:rsidRPr="008A39CD" w:rsidTr="008A39CD">
        <w:trPr>
          <w:trHeight w:val="300"/>
        </w:trPr>
        <w:tc>
          <w:tcPr>
            <w:tcW w:w="7700" w:type="dxa"/>
            <w:gridSpan w:val="3"/>
            <w:vMerge/>
            <w:tcBorders>
              <w:top w:val="nil"/>
              <w:left w:val="nil"/>
              <w:bottom w:val="single" w:sz="4" w:space="0" w:color="000000"/>
              <w:right w:val="nil"/>
            </w:tcBorders>
            <w:vAlign w:val="center"/>
            <w:hideMark/>
          </w:tcPr>
          <w:p w:rsidR="008A39CD" w:rsidRPr="008A39CD" w:rsidRDefault="008A39CD" w:rsidP="008A39CD">
            <w:pPr>
              <w:rPr>
                <w:rFonts w:ascii="Lucida Bright" w:hAnsi="Lucida Bright" w:cs="Calibri"/>
                <w:b/>
                <w:bCs/>
                <w:lang w:val="es-ES"/>
              </w:rPr>
            </w:pPr>
          </w:p>
        </w:tc>
      </w:tr>
      <w:tr w:rsidR="008A39CD" w:rsidRPr="008A39CD" w:rsidTr="008A39CD">
        <w:trPr>
          <w:trHeight w:val="630"/>
        </w:trPr>
        <w:tc>
          <w:tcPr>
            <w:tcW w:w="4380" w:type="dxa"/>
            <w:tcBorders>
              <w:top w:val="nil"/>
              <w:left w:val="single" w:sz="4" w:space="0" w:color="auto"/>
              <w:bottom w:val="single" w:sz="4" w:space="0" w:color="auto"/>
              <w:right w:val="nil"/>
            </w:tcBorders>
            <w:shd w:val="clear" w:color="000000" w:fill="CCFFCC"/>
            <w:noWrap/>
            <w:vAlign w:val="center"/>
            <w:hideMark/>
          </w:tcPr>
          <w:p w:rsidR="008A39CD" w:rsidRPr="008A39CD" w:rsidRDefault="008A39CD" w:rsidP="008A39CD">
            <w:pPr>
              <w:jc w:val="center"/>
              <w:rPr>
                <w:rFonts w:ascii="Lucida Bright" w:hAnsi="Lucida Bright" w:cs="Calibri"/>
                <w:b/>
                <w:bCs/>
                <w:sz w:val="14"/>
                <w:szCs w:val="14"/>
                <w:lang w:val="es-ES"/>
              </w:rPr>
            </w:pPr>
            <w:r w:rsidRPr="008A39CD">
              <w:rPr>
                <w:rFonts w:ascii="Lucida Bright" w:hAnsi="Lucida Bright" w:cs="Calibri"/>
                <w:b/>
                <w:bCs/>
                <w:sz w:val="14"/>
                <w:szCs w:val="14"/>
                <w:lang w:val="es-ES"/>
              </w:rPr>
              <w:t>CONCEPTO</w:t>
            </w:r>
          </w:p>
        </w:tc>
        <w:tc>
          <w:tcPr>
            <w:tcW w:w="1660" w:type="dxa"/>
            <w:tcBorders>
              <w:top w:val="nil"/>
              <w:left w:val="single" w:sz="4" w:space="0" w:color="auto"/>
              <w:bottom w:val="single" w:sz="4" w:space="0" w:color="auto"/>
              <w:right w:val="single" w:sz="4" w:space="0" w:color="auto"/>
            </w:tcBorders>
            <w:shd w:val="clear" w:color="000000" w:fill="CCFFCC"/>
            <w:vAlign w:val="center"/>
            <w:hideMark/>
          </w:tcPr>
          <w:p w:rsidR="008A39CD" w:rsidRPr="008A39CD" w:rsidRDefault="001F5CB7" w:rsidP="008A39CD">
            <w:pPr>
              <w:jc w:val="center"/>
              <w:rPr>
                <w:rFonts w:ascii="Lucida Bright" w:hAnsi="Lucida Bright" w:cs="Calibri"/>
                <w:b/>
                <w:bCs/>
                <w:sz w:val="16"/>
                <w:szCs w:val="16"/>
                <w:lang w:val="es-ES"/>
              </w:rPr>
            </w:pPr>
            <w:r>
              <w:rPr>
                <w:rFonts w:ascii="Lucida Bright" w:hAnsi="Lucida Bright" w:cs="Calibri"/>
                <w:b/>
                <w:bCs/>
                <w:sz w:val="16"/>
                <w:szCs w:val="16"/>
                <w:lang w:val="es-ES"/>
              </w:rPr>
              <w:t>2022 (EFE form</w:t>
            </w:r>
            <w:r w:rsidR="008A39CD" w:rsidRPr="008A39CD">
              <w:rPr>
                <w:rFonts w:ascii="Lucida Bright" w:hAnsi="Lucida Bright" w:cs="Calibri"/>
                <w:b/>
                <w:bCs/>
                <w:sz w:val="16"/>
                <w:szCs w:val="16"/>
                <w:lang w:val="es-ES"/>
              </w:rPr>
              <w:t>ulado en 2023)</w:t>
            </w:r>
          </w:p>
        </w:tc>
        <w:tc>
          <w:tcPr>
            <w:tcW w:w="1660" w:type="dxa"/>
            <w:tcBorders>
              <w:top w:val="nil"/>
              <w:left w:val="nil"/>
              <w:bottom w:val="single" w:sz="4" w:space="0" w:color="auto"/>
              <w:right w:val="single" w:sz="4" w:space="0" w:color="auto"/>
            </w:tcBorders>
            <w:shd w:val="clear" w:color="000000" w:fill="CCFFCC"/>
            <w:vAlign w:val="center"/>
            <w:hideMark/>
          </w:tcPr>
          <w:p w:rsidR="008A39CD" w:rsidRPr="008A39CD" w:rsidRDefault="008A39CD" w:rsidP="001F5CB7">
            <w:pPr>
              <w:jc w:val="center"/>
              <w:rPr>
                <w:rFonts w:ascii="Lucida Bright" w:hAnsi="Lucida Bright" w:cs="Calibri"/>
                <w:b/>
                <w:bCs/>
                <w:sz w:val="16"/>
                <w:szCs w:val="16"/>
                <w:lang w:val="es-ES"/>
              </w:rPr>
            </w:pPr>
            <w:r w:rsidRPr="008A39CD">
              <w:rPr>
                <w:rFonts w:ascii="Lucida Bright" w:hAnsi="Lucida Bright" w:cs="Calibri"/>
                <w:b/>
                <w:bCs/>
                <w:sz w:val="16"/>
                <w:szCs w:val="16"/>
                <w:lang w:val="es-ES"/>
              </w:rPr>
              <w:t>2022 (EFE formulado en 2022)</w:t>
            </w:r>
          </w:p>
        </w:tc>
      </w:tr>
      <w:tr w:rsidR="008A39CD" w:rsidRPr="008A39CD" w:rsidTr="008A39CD">
        <w:trPr>
          <w:trHeight w:val="360"/>
        </w:trPr>
        <w:tc>
          <w:tcPr>
            <w:tcW w:w="4380" w:type="dxa"/>
            <w:tcBorders>
              <w:top w:val="nil"/>
              <w:left w:val="single" w:sz="4" w:space="0" w:color="auto"/>
              <w:bottom w:val="nil"/>
              <w:right w:val="nil"/>
            </w:tcBorders>
            <w:shd w:val="clear" w:color="000000" w:fill="CCFFCC"/>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xml:space="preserve"> A) FLUJOS DE EFECTIVO DE LAS ACTIVIDADES DE EXPLOTACIÓN (+/-1+/-2+/-3+/-4)</w:t>
            </w:r>
          </w:p>
        </w:tc>
        <w:tc>
          <w:tcPr>
            <w:tcW w:w="1660" w:type="dxa"/>
            <w:tcBorders>
              <w:top w:val="nil"/>
              <w:left w:val="single" w:sz="4" w:space="0" w:color="auto"/>
              <w:bottom w:val="nil"/>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62.145.925,01  </w:t>
            </w:r>
          </w:p>
        </w:tc>
        <w:tc>
          <w:tcPr>
            <w:tcW w:w="1660" w:type="dxa"/>
            <w:tcBorders>
              <w:top w:val="nil"/>
              <w:left w:val="nil"/>
              <w:bottom w:val="nil"/>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62.145.925,01  </w:t>
            </w:r>
          </w:p>
        </w:tc>
      </w:tr>
      <w:tr w:rsidR="008A39CD" w:rsidRPr="008A39CD" w:rsidTr="008A39CD">
        <w:trPr>
          <w:trHeight w:val="300"/>
        </w:trPr>
        <w:tc>
          <w:tcPr>
            <w:tcW w:w="4380" w:type="dxa"/>
            <w:tcBorders>
              <w:top w:val="nil"/>
              <w:left w:val="single" w:sz="4" w:space="0" w:color="auto"/>
              <w:bottom w:val="nil"/>
              <w:right w:val="nil"/>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xml:space="preserve">      1. Resultado del ejercicio antes de impuestos</w:t>
            </w:r>
          </w:p>
        </w:tc>
        <w:tc>
          <w:tcPr>
            <w:tcW w:w="166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32.807.595,40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32.803.783,33  </w:t>
            </w:r>
          </w:p>
        </w:tc>
      </w:tr>
      <w:tr w:rsidR="008A39CD" w:rsidRPr="008A39CD" w:rsidTr="008A39CD">
        <w:trPr>
          <w:trHeight w:val="300"/>
        </w:trPr>
        <w:tc>
          <w:tcPr>
            <w:tcW w:w="4380" w:type="dxa"/>
            <w:tcBorders>
              <w:top w:val="nil"/>
              <w:left w:val="single" w:sz="4" w:space="0" w:color="auto"/>
              <w:bottom w:val="nil"/>
              <w:right w:val="nil"/>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xml:space="preserve">      2. Ajustes del resultado</w:t>
            </w:r>
          </w:p>
        </w:tc>
        <w:tc>
          <w:tcPr>
            <w:tcW w:w="166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24.841.538,67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24.870.331,55  </w:t>
            </w:r>
          </w:p>
        </w:tc>
      </w:tr>
      <w:tr w:rsidR="008A39CD" w:rsidRPr="008A39CD" w:rsidTr="008A39CD">
        <w:trPr>
          <w:trHeight w:val="300"/>
        </w:trPr>
        <w:tc>
          <w:tcPr>
            <w:tcW w:w="4380" w:type="dxa"/>
            <w:tcBorders>
              <w:top w:val="nil"/>
              <w:left w:val="single" w:sz="4" w:space="0" w:color="auto"/>
              <w:bottom w:val="nil"/>
              <w:right w:val="nil"/>
            </w:tcBorders>
            <w:shd w:val="clear" w:color="auto" w:fill="auto"/>
            <w:noWrap/>
            <w:vAlign w:val="center"/>
            <w:hideMark/>
          </w:tcPr>
          <w:p w:rsidR="008A39CD" w:rsidRPr="008A39CD" w:rsidRDefault="008A39CD" w:rsidP="008A39CD">
            <w:pPr>
              <w:rPr>
                <w:rFonts w:ascii="Lucida Bright" w:hAnsi="Lucida Bright" w:cs="Calibri"/>
                <w:sz w:val="14"/>
                <w:szCs w:val="14"/>
                <w:lang w:val="es-ES"/>
              </w:rPr>
            </w:pPr>
            <w:r w:rsidRPr="008A39CD">
              <w:rPr>
                <w:rFonts w:ascii="Lucida Bright" w:hAnsi="Lucida Bright" w:cs="Calibri"/>
                <w:sz w:val="14"/>
                <w:szCs w:val="14"/>
                <w:lang w:val="es-ES"/>
              </w:rPr>
              <w:t xml:space="preserve">         l) Otros ingresos y gastos (+/-)</w:t>
            </w:r>
          </w:p>
        </w:tc>
        <w:tc>
          <w:tcPr>
            <w:tcW w:w="166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(28.792,88)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  </w:t>
            </w:r>
          </w:p>
        </w:tc>
      </w:tr>
      <w:tr w:rsidR="008A39CD" w:rsidRPr="008A39CD" w:rsidTr="008A39CD">
        <w:trPr>
          <w:trHeight w:val="300"/>
        </w:trPr>
        <w:tc>
          <w:tcPr>
            <w:tcW w:w="4380" w:type="dxa"/>
            <w:tcBorders>
              <w:top w:val="nil"/>
              <w:left w:val="single" w:sz="4" w:space="0" w:color="auto"/>
              <w:bottom w:val="nil"/>
              <w:right w:val="nil"/>
            </w:tcBorders>
            <w:shd w:val="clear" w:color="auto" w:fill="auto"/>
            <w:noWrap/>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xml:space="preserve">      3. Cambios en el capital corriente</w:t>
            </w:r>
          </w:p>
        </w:tc>
        <w:tc>
          <w:tcPr>
            <w:tcW w:w="166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7.439.648,40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7.443.460,47  </w:t>
            </w:r>
          </w:p>
        </w:tc>
      </w:tr>
      <w:tr w:rsidR="008A39CD" w:rsidRPr="008A39CD" w:rsidTr="008A39CD">
        <w:trPr>
          <w:trHeight w:val="300"/>
        </w:trPr>
        <w:tc>
          <w:tcPr>
            <w:tcW w:w="4380" w:type="dxa"/>
            <w:tcBorders>
              <w:top w:val="nil"/>
              <w:left w:val="single" w:sz="4" w:space="0" w:color="auto"/>
              <w:bottom w:val="nil"/>
              <w:right w:val="nil"/>
            </w:tcBorders>
            <w:shd w:val="clear" w:color="auto" w:fill="auto"/>
            <w:noWrap/>
            <w:vAlign w:val="center"/>
            <w:hideMark/>
          </w:tcPr>
          <w:p w:rsidR="008A39CD" w:rsidRPr="008A39CD" w:rsidRDefault="008A39CD" w:rsidP="008A39CD">
            <w:pPr>
              <w:rPr>
                <w:rFonts w:ascii="Lucida Bright" w:hAnsi="Lucida Bright" w:cs="Calibri"/>
                <w:sz w:val="14"/>
                <w:szCs w:val="14"/>
                <w:lang w:val="es-ES"/>
              </w:rPr>
            </w:pPr>
            <w:r w:rsidRPr="008A39CD">
              <w:rPr>
                <w:rFonts w:ascii="Lucida Bright" w:hAnsi="Lucida Bright" w:cs="Calibri"/>
                <w:sz w:val="14"/>
                <w:szCs w:val="14"/>
                <w:lang w:val="es-ES"/>
              </w:rPr>
              <w:t xml:space="preserve">         e) Otros pasivos corrientes (+/-)</w:t>
            </w:r>
          </w:p>
        </w:tc>
        <w:tc>
          <w:tcPr>
            <w:tcW w:w="166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1.983.304,83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1.987.116,90  </w:t>
            </w:r>
          </w:p>
        </w:tc>
      </w:tr>
      <w:tr w:rsidR="008A39CD" w:rsidRPr="008A39CD" w:rsidTr="008A39CD">
        <w:trPr>
          <w:trHeight w:val="360"/>
        </w:trPr>
        <w:tc>
          <w:tcPr>
            <w:tcW w:w="4380" w:type="dxa"/>
            <w:tcBorders>
              <w:top w:val="nil"/>
              <w:left w:val="single" w:sz="4" w:space="0" w:color="auto"/>
              <w:bottom w:val="nil"/>
              <w:right w:val="nil"/>
            </w:tcBorders>
            <w:shd w:val="clear" w:color="auto" w:fill="auto"/>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xml:space="preserve">      4. Otros flujos de efectivo de las actividades de explotación</w:t>
            </w:r>
          </w:p>
        </w:tc>
        <w:tc>
          <w:tcPr>
            <w:tcW w:w="166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(2.942.857,46)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(2.971.650,34)  </w:t>
            </w:r>
          </w:p>
        </w:tc>
      </w:tr>
      <w:tr w:rsidR="008A39CD" w:rsidRPr="008A39CD" w:rsidTr="008A39CD">
        <w:trPr>
          <w:trHeight w:val="300"/>
        </w:trPr>
        <w:tc>
          <w:tcPr>
            <w:tcW w:w="4380" w:type="dxa"/>
            <w:tcBorders>
              <w:top w:val="nil"/>
              <w:left w:val="single" w:sz="4" w:space="0" w:color="auto"/>
              <w:bottom w:val="nil"/>
              <w:right w:val="nil"/>
            </w:tcBorders>
            <w:shd w:val="clear" w:color="auto" w:fill="auto"/>
            <w:noWrap/>
            <w:vAlign w:val="center"/>
            <w:hideMark/>
          </w:tcPr>
          <w:p w:rsidR="008A39CD" w:rsidRPr="008A39CD" w:rsidRDefault="008A39CD" w:rsidP="008A39CD">
            <w:pPr>
              <w:rPr>
                <w:rFonts w:ascii="Lucida Bright" w:hAnsi="Lucida Bright" w:cs="Calibri"/>
                <w:sz w:val="14"/>
                <w:szCs w:val="14"/>
                <w:lang w:val="es-ES"/>
              </w:rPr>
            </w:pPr>
            <w:r w:rsidRPr="008A39CD">
              <w:rPr>
                <w:rFonts w:ascii="Lucida Bright" w:hAnsi="Lucida Bright" w:cs="Calibri"/>
                <w:sz w:val="14"/>
                <w:szCs w:val="14"/>
                <w:lang w:val="es-ES"/>
              </w:rPr>
              <w:t xml:space="preserve">         c) Cobros de intereses (+)</w:t>
            </w:r>
          </w:p>
        </w:tc>
        <w:tc>
          <w:tcPr>
            <w:tcW w:w="166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75.259,76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202.170,53  </w:t>
            </w:r>
          </w:p>
        </w:tc>
      </w:tr>
      <w:tr w:rsidR="008A39CD" w:rsidRPr="008A39CD" w:rsidTr="008A39CD">
        <w:trPr>
          <w:trHeight w:val="360"/>
        </w:trPr>
        <w:tc>
          <w:tcPr>
            <w:tcW w:w="4380" w:type="dxa"/>
            <w:tcBorders>
              <w:top w:val="nil"/>
              <w:left w:val="single" w:sz="4" w:space="0" w:color="auto"/>
              <w:bottom w:val="nil"/>
              <w:right w:val="nil"/>
            </w:tcBorders>
            <w:shd w:val="clear" w:color="auto" w:fill="auto"/>
            <w:vAlign w:val="center"/>
            <w:hideMark/>
          </w:tcPr>
          <w:p w:rsidR="008A39CD" w:rsidRPr="008A39CD" w:rsidRDefault="008A39CD" w:rsidP="008A39CD">
            <w:pPr>
              <w:rPr>
                <w:rFonts w:ascii="Lucida Bright" w:hAnsi="Lucida Bright" w:cs="Calibri"/>
                <w:sz w:val="14"/>
                <w:szCs w:val="14"/>
                <w:lang w:val="es-ES"/>
              </w:rPr>
            </w:pPr>
            <w:r w:rsidRPr="008A39CD">
              <w:rPr>
                <w:rFonts w:ascii="Lucida Bright" w:hAnsi="Lucida Bright" w:cs="Calibri"/>
                <w:sz w:val="14"/>
                <w:szCs w:val="14"/>
                <w:lang w:val="es-ES"/>
              </w:rPr>
              <w:t xml:space="preserve">         e) Cobros de OPPE para el pago de principales e intereses de demora por litigios </w:t>
            </w:r>
            <w:proofErr w:type="spellStart"/>
            <w:r w:rsidRPr="008A39CD">
              <w:rPr>
                <w:rFonts w:ascii="Lucida Bright" w:hAnsi="Lucida Bright" w:cs="Calibri"/>
                <w:sz w:val="14"/>
                <w:szCs w:val="14"/>
                <w:lang w:val="es-ES"/>
              </w:rPr>
              <w:t>tarif</w:t>
            </w:r>
            <w:proofErr w:type="spellEnd"/>
            <w:r w:rsidRPr="008A39CD">
              <w:rPr>
                <w:rFonts w:ascii="Lucida Bright" w:hAnsi="Lucida Bright" w:cs="Calibri"/>
                <w:sz w:val="14"/>
                <w:szCs w:val="14"/>
                <w:lang w:val="es-ES"/>
              </w:rPr>
              <w:t>. (+)</w:t>
            </w:r>
          </w:p>
        </w:tc>
        <w:tc>
          <w:tcPr>
            <w:tcW w:w="1660" w:type="dxa"/>
            <w:tcBorders>
              <w:top w:val="nil"/>
              <w:left w:val="single" w:sz="4" w:space="0" w:color="auto"/>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155.703,65  </w:t>
            </w:r>
          </w:p>
        </w:tc>
        <w:tc>
          <w:tcPr>
            <w:tcW w:w="1660" w:type="dxa"/>
            <w:tcBorders>
              <w:top w:val="nil"/>
              <w:left w:val="nil"/>
              <w:bottom w:val="nil"/>
              <w:right w:val="single" w:sz="4" w:space="0" w:color="auto"/>
            </w:tcBorders>
            <w:shd w:val="clear" w:color="auto" w:fill="auto"/>
            <w:noWrap/>
            <w:vAlign w:val="center"/>
            <w:hideMark/>
          </w:tcPr>
          <w:p w:rsidR="008A39CD" w:rsidRPr="008A39CD" w:rsidRDefault="008A39CD" w:rsidP="008A39CD">
            <w:pPr>
              <w:jc w:val="right"/>
              <w:rPr>
                <w:rFonts w:ascii="Lucida Bright" w:hAnsi="Lucida Bright" w:cs="Calibri"/>
                <w:sz w:val="14"/>
                <w:szCs w:val="14"/>
                <w:lang w:val="es-ES"/>
              </w:rPr>
            </w:pPr>
            <w:r w:rsidRPr="008A39CD">
              <w:rPr>
                <w:rFonts w:ascii="Lucida Bright" w:hAnsi="Lucida Bright" w:cs="Calibri"/>
                <w:sz w:val="14"/>
                <w:szCs w:val="14"/>
                <w:lang w:val="es-ES"/>
              </w:rPr>
              <w:t xml:space="preserve">-  </w:t>
            </w:r>
          </w:p>
        </w:tc>
      </w:tr>
      <w:tr w:rsidR="008A39CD" w:rsidRPr="008A39CD" w:rsidTr="008A39CD">
        <w:trPr>
          <w:trHeight w:val="300"/>
        </w:trPr>
        <w:tc>
          <w:tcPr>
            <w:tcW w:w="4380" w:type="dxa"/>
            <w:tcBorders>
              <w:top w:val="nil"/>
              <w:left w:val="single" w:sz="4" w:space="0" w:color="auto"/>
              <w:bottom w:val="nil"/>
              <w:right w:val="nil"/>
            </w:tcBorders>
            <w:shd w:val="clear" w:color="auto" w:fill="auto"/>
            <w:noWrap/>
            <w:vAlign w:val="bottom"/>
            <w:hideMark/>
          </w:tcPr>
          <w:p w:rsidR="008A39CD" w:rsidRPr="008A39CD" w:rsidRDefault="008A39CD" w:rsidP="008A39CD">
            <w:pPr>
              <w:rPr>
                <w:rFonts w:ascii="Calibri" w:hAnsi="Calibri" w:cs="Calibri"/>
                <w:color w:val="000000"/>
                <w:sz w:val="22"/>
                <w:szCs w:val="22"/>
                <w:lang w:val="es-ES"/>
              </w:rPr>
            </w:pPr>
            <w:r w:rsidRPr="008A39CD">
              <w:rPr>
                <w:rFonts w:ascii="Calibri" w:hAnsi="Calibri" w:cs="Calibri"/>
                <w:color w:val="000000"/>
                <w:sz w:val="22"/>
                <w:szCs w:val="22"/>
                <w:lang w:val="es-ES"/>
              </w:rPr>
              <w:t> </w:t>
            </w:r>
          </w:p>
        </w:tc>
        <w:tc>
          <w:tcPr>
            <w:tcW w:w="1660" w:type="dxa"/>
            <w:tcBorders>
              <w:top w:val="nil"/>
              <w:left w:val="single" w:sz="4" w:space="0" w:color="auto"/>
              <w:bottom w:val="nil"/>
              <w:right w:val="single" w:sz="4" w:space="0" w:color="auto"/>
            </w:tcBorders>
            <w:shd w:val="clear" w:color="auto" w:fill="auto"/>
            <w:noWrap/>
            <w:vAlign w:val="bottom"/>
            <w:hideMark/>
          </w:tcPr>
          <w:p w:rsidR="008A39CD" w:rsidRPr="008A39CD" w:rsidRDefault="008A39CD" w:rsidP="008A39CD">
            <w:pPr>
              <w:rPr>
                <w:rFonts w:ascii="Calibri" w:hAnsi="Calibri" w:cs="Calibri"/>
                <w:color w:val="000000"/>
                <w:sz w:val="22"/>
                <w:szCs w:val="22"/>
                <w:lang w:val="es-ES"/>
              </w:rPr>
            </w:pPr>
            <w:r w:rsidRPr="008A39CD">
              <w:rPr>
                <w:rFonts w:ascii="Calibri" w:hAnsi="Calibri" w:cs="Calibri"/>
                <w:color w:val="000000"/>
                <w:sz w:val="22"/>
                <w:szCs w:val="22"/>
                <w:lang w:val="es-ES"/>
              </w:rPr>
              <w:t> </w:t>
            </w:r>
          </w:p>
        </w:tc>
        <w:tc>
          <w:tcPr>
            <w:tcW w:w="1660" w:type="dxa"/>
            <w:tcBorders>
              <w:top w:val="nil"/>
              <w:left w:val="nil"/>
              <w:bottom w:val="nil"/>
              <w:right w:val="single" w:sz="4" w:space="0" w:color="auto"/>
            </w:tcBorders>
            <w:shd w:val="clear" w:color="auto" w:fill="auto"/>
            <w:noWrap/>
            <w:vAlign w:val="bottom"/>
            <w:hideMark/>
          </w:tcPr>
          <w:p w:rsidR="008A39CD" w:rsidRPr="008A39CD" w:rsidRDefault="008A39CD" w:rsidP="008A39CD">
            <w:pPr>
              <w:rPr>
                <w:rFonts w:ascii="Calibri" w:hAnsi="Calibri" w:cs="Calibri"/>
                <w:color w:val="000000"/>
                <w:sz w:val="22"/>
                <w:szCs w:val="22"/>
                <w:lang w:val="es-ES"/>
              </w:rPr>
            </w:pPr>
            <w:r w:rsidRPr="008A39CD">
              <w:rPr>
                <w:rFonts w:ascii="Calibri" w:hAnsi="Calibri" w:cs="Calibri"/>
                <w:color w:val="000000"/>
                <w:sz w:val="22"/>
                <w:szCs w:val="22"/>
                <w:lang w:val="es-ES"/>
              </w:rPr>
              <w:t> </w:t>
            </w:r>
          </w:p>
        </w:tc>
      </w:tr>
      <w:tr w:rsidR="008A39CD" w:rsidRPr="008A39CD" w:rsidTr="008A39CD">
        <w:trPr>
          <w:trHeight w:val="360"/>
        </w:trPr>
        <w:tc>
          <w:tcPr>
            <w:tcW w:w="4380" w:type="dxa"/>
            <w:tcBorders>
              <w:top w:val="nil"/>
              <w:left w:val="single" w:sz="4" w:space="0" w:color="auto"/>
              <w:bottom w:val="single" w:sz="4" w:space="0" w:color="auto"/>
              <w:right w:val="nil"/>
            </w:tcBorders>
            <w:shd w:val="clear" w:color="000000" w:fill="CCFFCC"/>
            <w:vAlign w:val="center"/>
            <w:hideMark/>
          </w:tcPr>
          <w:p w:rsidR="008A39CD" w:rsidRPr="008A39CD" w:rsidRDefault="008A39CD" w:rsidP="008A39CD">
            <w:pPr>
              <w:rPr>
                <w:rFonts w:ascii="Lucida Bright" w:hAnsi="Lucida Bright" w:cs="Calibri"/>
                <w:b/>
                <w:bCs/>
                <w:sz w:val="14"/>
                <w:szCs w:val="14"/>
                <w:lang w:val="es-ES"/>
              </w:rPr>
            </w:pPr>
            <w:r w:rsidRPr="008A39CD">
              <w:rPr>
                <w:rFonts w:ascii="Lucida Bright" w:hAnsi="Lucida Bright" w:cs="Calibri"/>
                <w:b/>
                <w:bCs/>
                <w:sz w:val="14"/>
                <w:szCs w:val="14"/>
                <w:lang w:val="es-ES"/>
              </w:rPr>
              <w:t xml:space="preserve"> E) AUMENTO/DISMINUCIÓN NETA DEL EFECTIVO O EQUIVALENTES (+/-A+/-B+/-C)</w:t>
            </w:r>
          </w:p>
        </w:tc>
        <w:tc>
          <w:tcPr>
            <w:tcW w:w="1660" w:type="dxa"/>
            <w:tcBorders>
              <w:top w:val="nil"/>
              <w:left w:val="single" w:sz="4" w:space="0" w:color="auto"/>
              <w:bottom w:val="single" w:sz="4" w:space="0" w:color="auto"/>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(36.254.416,01)  </w:t>
            </w:r>
          </w:p>
        </w:tc>
        <w:tc>
          <w:tcPr>
            <w:tcW w:w="1660" w:type="dxa"/>
            <w:tcBorders>
              <w:top w:val="nil"/>
              <w:left w:val="nil"/>
              <w:bottom w:val="single" w:sz="4" w:space="0" w:color="auto"/>
              <w:right w:val="single" w:sz="4" w:space="0" w:color="auto"/>
            </w:tcBorders>
            <w:shd w:val="clear" w:color="000000" w:fill="CCFFCC"/>
            <w:noWrap/>
            <w:vAlign w:val="center"/>
            <w:hideMark/>
          </w:tcPr>
          <w:p w:rsidR="008A39CD" w:rsidRPr="008A39CD" w:rsidRDefault="008A39CD" w:rsidP="008A39CD">
            <w:pPr>
              <w:jc w:val="right"/>
              <w:rPr>
                <w:rFonts w:ascii="Lucida Bright" w:hAnsi="Lucida Bright" w:cs="Calibri"/>
                <w:b/>
                <w:bCs/>
                <w:sz w:val="14"/>
                <w:szCs w:val="14"/>
                <w:lang w:val="es-ES"/>
              </w:rPr>
            </w:pPr>
            <w:r w:rsidRPr="008A39CD">
              <w:rPr>
                <w:rFonts w:ascii="Lucida Bright" w:hAnsi="Lucida Bright" w:cs="Calibri"/>
                <w:b/>
                <w:bCs/>
                <w:sz w:val="14"/>
                <w:szCs w:val="14"/>
                <w:lang w:val="es-ES"/>
              </w:rPr>
              <w:t xml:space="preserve">(36.254.416,01)  </w:t>
            </w:r>
          </w:p>
        </w:tc>
      </w:tr>
    </w:tbl>
    <w:p w:rsidR="008A39CD" w:rsidRDefault="008A39CD" w:rsidP="00E96B8F">
      <w:pPr>
        <w:spacing w:before="100"/>
        <w:ind w:firstLine="568"/>
        <w:jc w:val="both"/>
        <w:rPr>
          <w:rFonts w:ascii="NewBaskerville" w:hAnsi="NewBaskerville"/>
        </w:rPr>
      </w:pPr>
    </w:p>
    <w:p w:rsidR="008A39CD" w:rsidRPr="00E96B8F" w:rsidRDefault="008A39CD" w:rsidP="00E96B8F">
      <w:pPr>
        <w:spacing w:before="100"/>
        <w:ind w:firstLine="568"/>
        <w:jc w:val="both"/>
        <w:rPr>
          <w:rFonts w:ascii="NewBaskerville" w:hAnsi="NewBaskerville"/>
        </w:rPr>
      </w:pPr>
    </w:p>
    <w:p w:rsidR="00817F17" w:rsidRDefault="00C1230A" w:rsidP="00C1230A">
      <w:pPr>
        <w:pStyle w:val="Prrafodelista"/>
        <w:numPr>
          <w:ilvl w:val="0"/>
          <w:numId w:val="44"/>
        </w:numPr>
        <w:jc w:val="both"/>
        <w:rPr>
          <w:rFonts w:ascii="NewBaskerville" w:hAnsi="NewBaskerville"/>
          <w:u w:val="single"/>
        </w:rPr>
      </w:pPr>
      <w:r w:rsidRPr="009E6BD5">
        <w:rPr>
          <w:rFonts w:ascii="NewBaskerville" w:hAnsi="NewBaskerville"/>
          <w:u w:val="single"/>
        </w:rPr>
        <w:t>Agrupación de partidas y elementos recogidos en varias partidas</w:t>
      </w:r>
    </w:p>
    <w:p w:rsidR="00F55771" w:rsidRDefault="00F333F2" w:rsidP="0022171E">
      <w:pPr>
        <w:pStyle w:val="Prrafodelista"/>
        <w:spacing w:before="100" w:after="100"/>
        <w:ind w:left="0" w:firstLine="644"/>
        <w:jc w:val="both"/>
        <w:rPr>
          <w:rFonts w:ascii="NewBaskerville" w:hAnsi="NewBaskerville"/>
        </w:rPr>
      </w:pPr>
      <w:r>
        <w:rPr>
          <w:rFonts w:ascii="NewBaskerville" w:hAnsi="NewBaskerville"/>
        </w:rPr>
        <w:t>En el ejercicio 2023</w:t>
      </w:r>
      <w:r w:rsidR="007C0D21">
        <w:rPr>
          <w:rFonts w:ascii="NewBaskerville" w:hAnsi="NewBaskerville"/>
        </w:rPr>
        <w:t xml:space="preserve"> existe agrupado en la partida de activo </w:t>
      </w:r>
      <w:r w:rsidR="007C0D21" w:rsidRPr="007C0D21">
        <w:rPr>
          <w:rFonts w:ascii="NewBaskerville" w:hAnsi="NewBaskerville"/>
          <w:b/>
          <w:i/>
        </w:rPr>
        <w:t>B).III.</w:t>
      </w:r>
      <w:r w:rsidR="007C0D21" w:rsidRPr="007C0D21">
        <w:rPr>
          <w:rFonts w:ascii="NewBaskerville" w:hAnsi="NewBaskerville"/>
          <w:i/>
        </w:rPr>
        <w:t>1. Clientes por ventas y prestaciones de servicios</w:t>
      </w:r>
      <w:r w:rsidR="007C0D21">
        <w:rPr>
          <w:rFonts w:ascii="NewBaskerville" w:hAnsi="NewBaskerville"/>
        </w:rPr>
        <w:t xml:space="preserve"> el deterioro de valor</w:t>
      </w:r>
      <w:r w:rsidR="00F55771">
        <w:rPr>
          <w:rFonts w:ascii="NewBaskerville" w:hAnsi="NewBaskerville"/>
        </w:rPr>
        <w:t xml:space="preserve"> de clientes por operaciones comerciales y deudores varios, correspondiéndose:</w:t>
      </w:r>
    </w:p>
    <w:tbl>
      <w:tblPr>
        <w:tblW w:w="6780" w:type="dxa"/>
        <w:tblInd w:w="65" w:type="dxa"/>
        <w:tblCellMar>
          <w:left w:w="70" w:type="dxa"/>
          <w:right w:w="70" w:type="dxa"/>
        </w:tblCellMar>
        <w:tblLook w:val="04A0" w:firstRow="1" w:lastRow="0" w:firstColumn="1" w:lastColumn="0" w:noHBand="0" w:noVBand="1"/>
      </w:tblPr>
      <w:tblGrid>
        <w:gridCol w:w="5675"/>
        <w:gridCol w:w="1107"/>
      </w:tblGrid>
      <w:tr w:rsidR="001F5CB7" w:rsidRPr="001F5CB7" w:rsidTr="001F5CB7">
        <w:trPr>
          <w:trHeight w:val="300"/>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CB7" w:rsidRPr="001F5CB7" w:rsidRDefault="001F5CB7" w:rsidP="001F5CB7">
            <w:pPr>
              <w:rPr>
                <w:rFonts w:ascii="Lucida Bright" w:hAnsi="Lucida Bright" w:cs="Calibri"/>
                <w:sz w:val="14"/>
                <w:szCs w:val="14"/>
                <w:lang w:val="es-ES"/>
              </w:rPr>
            </w:pPr>
            <w:r w:rsidRPr="001F5CB7">
              <w:rPr>
                <w:rFonts w:ascii="Lucida Bright" w:hAnsi="Lucida Bright" w:cs="Calibri"/>
                <w:sz w:val="14"/>
                <w:szCs w:val="14"/>
                <w:lang w:val="es-ES"/>
              </w:rPr>
              <w:t xml:space="preserve">       Deterioro de valor de créditos por operaciones comerciales con clientes</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1F5CB7" w:rsidRPr="001F5CB7" w:rsidRDefault="001F5CB7" w:rsidP="001F5CB7">
            <w:pPr>
              <w:jc w:val="right"/>
              <w:rPr>
                <w:rFonts w:ascii="Lucida Bright" w:hAnsi="Lucida Bright" w:cs="Calibri"/>
                <w:sz w:val="14"/>
                <w:szCs w:val="14"/>
                <w:lang w:val="es-ES"/>
              </w:rPr>
            </w:pPr>
            <w:r w:rsidRPr="001F5CB7">
              <w:rPr>
                <w:rFonts w:ascii="Lucida Bright" w:hAnsi="Lucida Bright" w:cs="Calibri"/>
                <w:sz w:val="14"/>
                <w:szCs w:val="14"/>
                <w:lang w:val="es-ES"/>
              </w:rPr>
              <w:t xml:space="preserve">(889.642,49) </w:t>
            </w:r>
          </w:p>
        </w:tc>
      </w:tr>
      <w:tr w:rsidR="001F5CB7" w:rsidRPr="001F5CB7" w:rsidTr="001F5CB7">
        <w:trPr>
          <w:trHeight w:val="300"/>
        </w:trPr>
        <w:tc>
          <w:tcPr>
            <w:tcW w:w="5675" w:type="dxa"/>
            <w:tcBorders>
              <w:top w:val="nil"/>
              <w:left w:val="single" w:sz="4" w:space="0" w:color="auto"/>
              <w:bottom w:val="single" w:sz="4" w:space="0" w:color="auto"/>
              <w:right w:val="single" w:sz="4" w:space="0" w:color="auto"/>
            </w:tcBorders>
            <w:shd w:val="clear" w:color="auto" w:fill="auto"/>
            <w:noWrap/>
            <w:vAlign w:val="center"/>
            <w:hideMark/>
          </w:tcPr>
          <w:p w:rsidR="001F5CB7" w:rsidRPr="001F5CB7" w:rsidRDefault="001F5CB7" w:rsidP="001F5CB7">
            <w:pPr>
              <w:rPr>
                <w:rFonts w:ascii="Lucida Bright" w:hAnsi="Lucida Bright" w:cs="Calibri"/>
                <w:sz w:val="14"/>
                <w:szCs w:val="14"/>
                <w:lang w:val="es-ES"/>
              </w:rPr>
            </w:pPr>
            <w:r w:rsidRPr="001F5CB7">
              <w:rPr>
                <w:rFonts w:ascii="Lucida Bright" w:hAnsi="Lucida Bright" w:cs="Calibri"/>
                <w:sz w:val="14"/>
                <w:szCs w:val="14"/>
                <w:lang w:val="es-ES"/>
              </w:rPr>
              <w:t xml:space="preserve">       Deterioro de valor de créditos por operaciones con deudores varios</w:t>
            </w:r>
          </w:p>
        </w:tc>
        <w:tc>
          <w:tcPr>
            <w:tcW w:w="1105" w:type="dxa"/>
            <w:tcBorders>
              <w:top w:val="nil"/>
              <w:left w:val="nil"/>
              <w:bottom w:val="single" w:sz="4" w:space="0" w:color="auto"/>
              <w:right w:val="single" w:sz="4" w:space="0" w:color="auto"/>
            </w:tcBorders>
            <w:shd w:val="clear" w:color="auto" w:fill="auto"/>
            <w:noWrap/>
            <w:vAlign w:val="center"/>
            <w:hideMark/>
          </w:tcPr>
          <w:p w:rsidR="001F5CB7" w:rsidRPr="001F5CB7" w:rsidRDefault="001F5CB7" w:rsidP="001F5CB7">
            <w:pPr>
              <w:jc w:val="right"/>
              <w:rPr>
                <w:rFonts w:ascii="Lucida Bright" w:hAnsi="Lucida Bright" w:cs="Calibri"/>
                <w:sz w:val="14"/>
                <w:szCs w:val="14"/>
                <w:lang w:val="es-ES"/>
              </w:rPr>
            </w:pPr>
            <w:r w:rsidRPr="001F5CB7">
              <w:rPr>
                <w:rFonts w:ascii="Lucida Bright" w:hAnsi="Lucida Bright" w:cs="Calibri"/>
                <w:sz w:val="14"/>
                <w:szCs w:val="14"/>
                <w:lang w:val="es-ES"/>
              </w:rPr>
              <w:t xml:space="preserve">(112.664,54) </w:t>
            </w:r>
          </w:p>
        </w:tc>
      </w:tr>
      <w:tr w:rsidR="001F5CB7" w:rsidRPr="001F5CB7" w:rsidTr="001F5CB7">
        <w:trPr>
          <w:trHeight w:val="360"/>
        </w:trPr>
        <w:tc>
          <w:tcPr>
            <w:tcW w:w="5675" w:type="dxa"/>
            <w:tcBorders>
              <w:top w:val="nil"/>
              <w:left w:val="single" w:sz="4" w:space="0" w:color="auto"/>
              <w:bottom w:val="single" w:sz="4" w:space="0" w:color="auto"/>
              <w:right w:val="single" w:sz="4" w:space="0" w:color="auto"/>
            </w:tcBorders>
            <w:shd w:val="clear" w:color="auto" w:fill="auto"/>
            <w:vAlign w:val="center"/>
            <w:hideMark/>
          </w:tcPr>
          <w:p w:rsidR="001F5CB7" w:rsidRPr="001F5CB7" w:rsidRDefault="001F5CB7" w:rsidP="001F5CB7">
            <w:pPr>
              <w:rPr>
                <w:rFonts w:ascii="Lucida Bright" w:hAnsi="Lucida Bright" w:cs="Calibri"/>
                <w:sz w:val="14"/>
                <w:szCs w:val="14"/>
                <w:lang w:val="es-ES"/>
              </w:rPr>
            </w:pPr>
            <w:r w:rsidRPr="001F5CB7">
              <w:rPr>
                <w:rFonts w:ascii="Lucida Bright" w:hAnsi="Lucida Bright" w:cs="Calibri"/>
                <w:sz w:val="14"/>
                <w:szCs w:val="14"/>
                <w:lang w:val="es-ES"/>
              </w:rPr>
              <w:t xml:space="preserve">       Deterioro de valor total de créditos recogidos en la partida </w:t>
            </w:r>
            <w:r w:rsidRPr="001F5CB7">
              <w:rPr>
                <w:rFonts w:ascii="Lucida Bright" w:hAnsi="Lucida Bright" w:cs="Calibri"/>
                <w:b/>
                <w:bCs/>
                <w:i/>
                <w:iCs/>
                <w:sz w:val="14"/>
                <w:szCs w:val="14"/>
                <w:lang w:val="es-ES"/>
              </w:rPr>
              <w:t>B).III.</w:t>
            </w:r>
            <w:r w:rsidRPr="001F5CB7">
              <w:rPr>
                <w:rFonts w:ascii="Lucida Bright" w:hAnsi="Lucida Bright" w:cs="Calibri"/>
                <w:i/>
                <w:iCs/>
                <w:sz w:val="14"/>
                <w:szCs w:val="14"/>
                <w:lang w:val="es-ES"/>
              </w:rPr>
              <w:t xml:space="preserve">1. Clientes por ventas y prestaciones de servicios </w:t>
            </w:r>
          </w:p>
        </w:tc>
        <w:tc>
          <w:tcPr>
            <w:tcW w:w="1105" w:type="dxa"/>
            <w:tcBorders>
              <w:top w:val="nil"/>
              <w:left w:val="nil"/>
              <w:bottom w:val="single" w:sz="4" w:space="0" w:color="auto"/>
              <w:right w:val="single" w:sz="4" w:space="0" w:color="auto"/>
            </w:tcBorders>
            <w:shd w:val="clear" w:color="auto" w:fill="auto"/>
            <w:noWrap/>
            <w:vAlign w:val="center"/>
            <w:hideMark/>
          </w:tcPr>
          <w:p w:rsidR="001F5CB7" w:rsidRPr="001F5CB7" w:rsidRDefault="001F5CB7" w:rsidP="001F5CB7">
            <w:pPr>
              <w:jc w:val="right"/>
              <w:rPr>
                <w:rFonts w:ascii="Lucida Bright" w:hAnsi="Lucida Bright" w:cs="Calibri"/>
                <w:sz w:val="14"/>
                <w:szCs w:val="14"/>
                <w:lang w:val="es-ES"/>
              </w:rPr>
            </w:pPr>
            <w:r w:rsidRPr="001F5CB7">
              <w:rPr>
                <w:rFonts w:ascii="Lucida Bright" w:hAnsi="Lucida Bright" w:cs="Calibri"/>
                <w:sz w:val="14"/>
                <w:szCs w:val="14"/>
                <w:lang w:val="es-ES"/>
              </w:rPr>
              <w:t xml:space="preserve">(1.002.307,03) </w:t>
            </w:r>
          </w:p>
        </w:tc>
      </w:tr>
    </w:tbl>
    <w:p w:rsidR="008966DA" w:rsidRDefault="008966DA" w:rsidP="0022171E">
      <w:pPr>
        <w:spacing w:before="100"/>
        <w:jc w:val="both"/>
        <w:rPr>
          <w:rFonts w:ascii="NewBaskerville" w:hAnsi="NewBaskerville"/>
        </w:rPr>
      </w:pPr>
    </w:p>
    <w:p w:rsidR="008607EA" w:rsidRPr="0022171E" w:rsidRDefault="008607EA" w:rsidP="0022171E">
      <w:pPr>
        <w:spacing w:before="100"/>
        <w:jc w:val="both"/>
        <w:rPr>
          <w:rFonts w:ascii="NewBaskerville" w:hAnsi="NewBaskerville"/>
        </w:rPr>
      </w:pPr>
    </w:p>
    <w:p w:rsidR="009E6BD5" w:rsidRDefault="0022171E" w:rsidP="0022171E">
      <w:pPr>
        <w:pStyle w:val="Prrafodelista"/>
        <w:numPr>
          <w:ilvl w:val="0"/>
          <w:numId w:val="44"/>
        </w:numPr>
        <w:jc w:val="both"/>
        <w:rPr>
          <w:rFonts w:ascii="NewBaskerville" w:hAnsi="NewBaskerville"/>
          <w:u w:val="single"/>
        </w:rPr>
      </w:pPr>
      <w:r w:rsidRPr="0022171E">
        <w:rPr>
          <w:rFonts w:ascii="NewBaskerville" w:hAnsi="NewBaskerville"/>
          <w:u w:val="single"/>
        </w:rPr>
        <w:t xml:space="preserve"> Cambios en criterios contables</w:t>
      </w:r>
    </w:p>
    <w:p w:rsidR="00F333F2" w:rsidRDefault="00F333F2" w:rsidP="00F333F2">
      <w:pPr>
        <w:pStyle w:val="Prrafodelista"/>
        <w:spacing w:before="100" w:after="100"/>
        <w:ind w:left="646"/>
        <w:jc w:val="both"/>
        <w:rPr>
          <w:rFonts w:ascii="NewBaskerville" w:hAnsi="NewBaskerville"/>
        </w:rPr>
      </w:pPr>
      <w:r>
        <w:rPr>
          <w:rFonts w:ascii="NewBaskerville" w:hAnsi="NewBaskerville"/>
        </w:rPr>
        <w:t xml:space="preserve">Durante el </w:t>
      </w:r>
      <w:r w:rsidR="00DD448C">
        <w:rPr>
          <w:rFonts w:ascii="NewBaskerville" w:hAnsi="NewBaskerville"/>
        </w:rPr>
        <w:t>ejercicio</w:t>
      </w:r>
      <w:r>
        <w:rPr>
          <w:rFonts w:ascii="NewBaskerville" w:hAnsi="NewBaskerville"/>
        </w:rPr>
        <w:t xml:space="preserve"> 2023 no se han producido cambios en criterios contables.</w:t>
      </w:r>
    </w:p>
    <w:p w:rsidR="006018C7" w:rsidRDefault="006018C7" w:rsidP="00F333F2">
      <w:pPr>
        <w:pStyle w:val="Prrafodelista"/>
        <w:spacing w:before="100" w:after="100"/>
        <w:ind w:left="646"/>
        <w:jc w:val="both"/>
        <w:rPr>
          <w:rFonts w:ascii="NewBaskerville" w:hAnsi="NewBaskerville"/>
        </w:rPr>
      </w:pPr>
    </w:p>
    <w:p w:rsidR="00F333F2" w:rsidRPr="00F333F2" w:rsidRDefault="00F333F2" w:rsidP="00F333F2">
      <w:pPr>
        <w:pStyle w:val="Prrafodelista"/>
        <w:ind w:left="644"/>
        <w:jc w:val="both"/>
        <w:rPr>
          <w:rFonts w:ascii="NewBaskerville" w:hAnsi="NewBaskerville"/>
        </w:rPr>
      </w:pPr>
    </w:p>
    <w:p w:rsidR="00F333F2" w:rsidRDefault="00F333F2" w:rsidP="0022171E">
      <w:pPr>
        <w:pStyle w:val="Prrafodelista"/>
        <w:numPr>
          <w:ilvl w:val="0"/>
          <w:numId w:val="44"/>
        </w:numPr>
        <w:jc w:val="both"/>
        <w:rPr>
          <w:rFonts w:ascii="NewBaskerville" w:hAnsi="NewBaskerville"/>
          <w:u w:val="single"/>
        </w:rPr>
      </w:pPr>
      <w:r>
        <w:rPr>
          <w:rFonts w:ascii="NewBaskerville" w:hAnsi="NewBaskerville"/>
          <w:u w:val="single"/>
        </w:rPr>
        <w:t>Corrección de errores</w:t>
      </w:r>
    </w:p>
    <w:p w:rsidR="00EF207B" w:rsidRDefault="00714F3A" w:rsidP="00F333F2">
      <w:pPr>
        <w:pStyle w:val="Prrafodelista"/>
        <w:spacing w:before="100" w:after="100"/>
        <w:ind w:left="646"/>
        <w:jc w:val="both"/>
        <w:rPr>
          <w:rFonts w:ascii="NewBaskerville" w:hAnsi="NewBaskerville"/>
        </w:rPr>
      </w:pPr>
      <w:r>
        <w:rPr>
          <w:rFonts w:ascii="NewBaskerville" w:hAnsi="NewBaskerville"/>
        </w:rPr>
        <w:t>En el ejercicio 2023 se han aplicado</w:t>
      </w:r>
      <w:r w:rsidR="00266E60">
        <w:rPr>
          <w:rFonts w:ascii="NewBaskerville" w:hAnsi="NewBaskerville"/>
        </w:rPr>
        <w:t xml:space="preserve"> </w:t>
      </w:r>
      <w:r w:rsidR="00490AF4">
        <w:rPr>
          <w:rFonts w:ascii="NewBaskerville" w:hAnsi="NewBaskerville"/>
        </w:rPr>
        <w:t>determinadas partidas que englobaban el</w:t>
      </w:r>
      <w:r w:rsidR="00266E60">
        <w:rPr>
          <w:rFonts w:ascii="NewBaskerville" w:hAnsi="NewBaskerville"/>
        </w:rPr>
        <w:t xml:space="preserve"> saldo de la cuenta contable “Partidas pendientes de aplicación”, una vez aclarada su causa y realidad económica. Del total de partidas aplicadas, cumplían </w:t>
      </w:r>
      <w:r w:rsidR="00490AF4">
        <w:rPr>
          <w:rFonts w:ascii="NewBaskerville" w:hAnsi="NewBaskerville"/>
        </w:rPr>
        <w:t>el criterio</w:t>
      </w:r>
      <w:r w:rsidR="00266E60">
        <w:rPr>
          <w:rFonts w:ascii="NewBaskerville" w:hAnsi="NewBaskerville"/>
        </w:rPr>
        <w:t xml:space="preserve"> de reconocimiento de </w:t>
      </w:r>
      <w:r w:rsidR="00EF207B">
        <w:rPr>
          <w:rFonts w:ascii="NewBaskerville" w:hAnsi="NewBaskerville"/>
        </w:rPr>
        <w:t xml:space="preserve">ingresos y </w:t>
      </w:r>
      <w:r w:rsidR="00266E60">
        <w:rPr>
          <w:rFonts w:ascii="NewBaskerville" w:hAnsi="NewBaskerville"/>
        </w:rPr>
        <w:t>gasto</w:t>
      </w:r>
      <w:r w:rsidR="00EF207B">
        <w:rPr>
          <w:rFonts w:ascii="NewBaskerville" w:hAnsi="NewBaskerville"/>
        </w:rPr>
        <w:t>s</w:t>
      </w:r>
      <w:r w:rsidR="00266E60">
        <w:rPr>
          <w:rFonts w:ascii="NewBaskerville" w:hAnsi="NewBaskerville"/>
        </w:rPr>
        <w:t xml:space="preserve"> la</w:t>
      </w:r>
      <w:r w:rsidR="00EF207B">
        <w:rPr>
          <w:rFonts w:ascii="NewBaskerville" w:hAnsi="NewBaskerville"/>
        </w:rPr>
        <w:t>s</w:t>
      </w:r>
      <w:r w:rsidR="00266E60">
        <w:rPr>
          <w:rFonts w:ascii="NewBaskerville" w:hAnsi="NewBaskerville"/>
        </w:rPr>
        <w:t xml:space="preserve"> cantidad</w:t>
      </w:r>
      <w:r w:rsidR="00EF207B">
        <w:rPr>
          <w:rFonts w:ascii="NewBaskerville" w:hAnsi="NewBaskerville"/>
        </w:rPr>
        <w:t>es respectivas</w:t>
      </w:r>
      <w:r w:rsidR="00266E60">
        <w:rPr>
          <w:rFonts w:ascii="NewBaskerville" w:hAnsi="NewBaskerville"/>
        </w:rPr>
        <w:t xml:space="preserve"> de </w:t>
      </w:r>
      <w:r w:rsidR="00EF207B">
        <w:rPr>
          <w:rFonts w:ascii="NewBaskerville" w:hAnsi="NewBaskerville"/>
        </w:rPr>
        <w:t>33.9</w:t>
      </w:r>
      <w:r w:rsidR="0030255B">
        <w:rPr>
          <w:rFonts w:ascii="NewBaskerville" w:hAnsi="NewBaskerville"/>
        </w:rPr>
        <w:t>18</w:t>
      </w:r>
      <w:r w:rsidR="00EF207B">
        <w:rPr>
          <w:rFonts w:ascii="NewBaskerville" w:hAnsi="NewBaskerville"/>
        </w:rPr>
        <w:t>,</w:t>
      </w:r>
      <w:r w:rsidR="0030255B">
        <w:rPr>
          <w:rFonts w:ascii="NewBaskerville" w:hAnsi="NewBaskerville"/>
        </w:rPr>
        <w:t>61</w:t>
      </w:r>
      <w:r w:rsidR="00EF207B">
        <w:rPr>
          <w:rFonts w:ascii="NewBaskerville" w:hAnsi="NewBaskerville"/>
        </w:rPr>
        <w:t xml:space="preserve"> y 115.14</w:t>
      </w:r>
      <w:r w:rsidR="0030255B">
        <w:rPr>
          <w:rFonts w:ascii="NewBaskerville" w:hAnsi="NewBaskerville"/>
        </w:rPr>
        <w:t>6</w:t>
      </w:r>
      <w:r w:rsidR="00EF207B">
        <w:rPr>
          <w:rFonts w:ascii="NewBaskerville" w:hAnsi="NewBaskerville"/>
        </w:rPr>
        <w:t>,</w:t>
      </w:r>
      <w:r w:rsidR="0030255B">
        <w:rPr>
          <w:rFonts w:ascii="NewBaskerville" w:hAnsi="NewBaskerville"/>
        </w:rPr>
        <w:t>63</w:t>
      </w:r>
      <w:r w:rsidR="00EF207B">
        <w:rPr>
          <w:rFonts w:ascii="NewBaskerville" w:hAnsi="NewBaskerville"/>
        </w:rPr>
        <w:t xml:space="preserve"> euros</w:t>
      </w:r>
      <w:r w:rsidR="00266E60">
        <w:rPr>
          <w:rFonts w:ascii="NewBaskerville" w:hAnsi="NewBaskerville"/>
        </w:rPr>
        <w:t xml:space="preserve"> cuyo devengo se produjo en lo</w:t>
      </w:r>
      <w:r w:rsidR="00490AF4">
        <w:rPr>
          <w:rFonts w:ascii="NewBaskerville" w:hAnsi="NewBaskerville"/>
        </w:rPr>
        <w:t>s ejercicios 2022 y anterior</w:t>
      </w:r>
      <w:r w:rsidR="00EF207B">
        <w:rPr>
          <w:rFonts w:ascii="NewBaskerville" w:hAnsi="NewBaskerville"/>
        </w:rPr>
        <w:t>es, arrojando un sal</w:t>
      </w:r>
      <w:r w:rsidR="00A72F41">
        <w:rPr>
          <w:rFonts w:ascii="NewBaskerville" w:hAnsi="NewBaskerville"/>
        </w:rPr>
        <w:t>do negativo de 81.228,02 euros.</w:t>
      </w:r>
      <w:r w:rsidR="009420FB">
        <w:rPr>
          <w:rFonts w:ascii="NewBaskerville" w:hAnsi="NewBaskerville"/>
        </w:rPr>
        <w:t xml:space="preserve"> </w:t>
      </w:r>
      <w:r w:rsidR="00A72F41">
        <w:rPr>
          <w:rFonts w:ascii="NewBaskerville" w:hAnsi="NewBaskerville"/>
        </w:rPr>
        <w:t>N</w:t>
      </w:r>
      <w:r w:rsidR="009420FB">
        <w:rPr>
          <w:rFonts w:ascii="NewBaskerville" w:hAnsi="NewBaskerville"/>
        </w:rPr>
        <w:t>o ha</w:t>
      </w:r>
      <w:r w:rsidR="00606760">
        <w:rPr>
          <w:rFonts w:ascii="NewBaskerville" w:hAnsi="NewBaskerville"/>
        </w:rPr>
        <w:t>biéndose utilizado, o no habiéndose</w:t>
      </w:r>
      <w:r w:rsidR="009420FB">
        <w:rPr>
          <w:rFonts w:ascii="NewBaskerville" w:hAnsi="NewBaskerville"/>
        </w:rPr>
        <w:t xml:space="preserve"> hecho adecuadamente, información fiable que estaba disponible en la Entidad cuando se formularon </w:t>
      </w:r>
      <w:r w:rsidR="00EC054B">
        <w:rPr>
          <w:rFonts w:ascii="NewBaskerville" w:hAnsi="NewBaskerville"/>
        </w:rPr>
        <w:t xml:space="preserve">las </w:t>
      </w:r>
      <w:r w:rsidR="009420FB">
        <w:rPr>
          <w:rFonts w:ascii="NewBaskerville" w:hAnsi="NewBaskerville"/>
        </w:rPr>
        <w:t>cuentas de</w:t>
      </w:r>
      <w:r w:rsidR="00A72F41">
        <w:rPr>
          <w:rFonts w:ascii="NewBaskerville" w:hAnsi="NewBaskerville"/>
        </w:rPr>
        <w:t xml:space="preserve"> dichos</w:t>
      </w:r>
      <w:r w:rsidR="009420FB">
        <w:rPr>
          <w:rFonts w:ascii="NewBaskerville" w:hAnsi="NewBaskerville"/>
        </w:rPr>
        <w:t xml:space="preserve"> ejercicios anteriores.</w:t>
      </w:r>
    </w:p>
    <w:p w:rsidR="00911311" w:rsidRPr="00911311" w:rsidRDefault="00911311" w:rsidP="00F333F2">
      <w:pPr>
        <w:pStyle w:val="Prrafodelista"/>
        <w:spacing w:before="100" w:after="100"/>
        <w:ind w:left="646"/>
        <w:jc w:val="both"/>
        <w:rPr>
          <w:rFonts w:ascii="NewBaskerville" w:hAnsi="NewBaskerville"/>
        </w:rPr>
      </w:pPr>
      <w:r>
        <w:rPr>
          <w:rFonts w:ascii="NewBaskerville" w:hAnsi="NewBaskerville"/>
        </w:rPr>
        <w:t xml:space="preserve">En aplicación a la norma de valoración 22ª </w:t>
      </w:r>
      <w:r>
        <w:rPr>
          <w:rFonts w:ascii="NewBaskerville" w:hAnsi="NewBaskerville"/>
          <w:u w:val="single"/>
        </w:rPr>
        <w:t>Cambios de criterios contables, errores y estimaciones contables</w:t>
      </w:r>
      <w:r>
        <w:rPr>
          <w:rFonts w:ascii="NewBaskerville" w:hAnsi="NewBaskerville"/>
        </w:rPr>
        <w:t>, de la segunda parte de</w:t>
      </w:r>
      <w:r w:rsidR="009420FB">
        <w:rPr>
          <w:rFonts w:ascii="NewBaskerville" w:hAnsi="NewBaskerville"/>
        </w:rPr>
        <w:t>l Plan General de Contabilidad, la subsanación de estos errores relativos a ejerci</w:t>
      </w:r>
      <w:r w:rsidR="00606760">
        <w:rPr>
          <w:rFonts w:ascii="NewBaskerville" w:hAnsi="NewBaskerville"/>
        </w:rPr>
        <w:t>ci</w:t>
      </w:r>
      <w:r w:rsidR="009420FB">
        <w:rPr>
          <w:rFonts w:ascii="NewBaskerville" w:hAnsi="NewBaskerville"/>
        </w:rPr>
        <w:t>os anteriores</w:t>
      </w:r>
      <w:r w:rsidR="00A72F41">
        <w:rPr>
          <w:rFonts w:ascii="NewBaskerville" w:hAnsi="NewBaskerville"/>
        </w:rPr>
        <w:t xml:space="preserve"> se ha </w:t>
      </w:r>
      <w:r w:rsidR="00EC054B">
        <w:rPr>
          <w:rFonts w:ascii="NewBaskerville" w:hAnsi="NewBaskerville"/>
        </w:rPr>
        <w:t>efectuado</w:t>
      </w:r>
      <w:r w:rsidR="00A72F41">
        <w:rPr>
          <w:rFonts w:ascii="NewBaskerville" w:hAnsi="NewBaskerville"/>
        </w:rPr>
        <w:t xml:space="preserve"> de forma retroactiva y su efecto se ha calculad</w:t>
      </w:r>
      <w:r w:rsidR="00EC054B">
        <w:rPr>
          <w:rFonts w:ascii="NewBaskerville" w:hAnsi="NewBaskerville"/>
        </w:rPr>
        <w:t>o</w:t>
      </w:r>
      <w:r w:rsidR="00A72F41">
        <w:rPr>
          <w:rFonts w:ascii="NewBaskerville" w:hAnsi="NewBaskerville"/>
        </w:rPr>
        <w:t xml:space="preserve"> desde el más antiguo para el que se dispone información.</w:t>
      </w:r>
      <w:r w:rsidR="009420FB">
        <w:rPr>
          <w:rFonts w:ascii="NewBaskerville" w:hAnsi="NewBaskerville"/>
        </w:rPr>
        <w:t xml:space="preserve"> </w:t>
      </w:r>
      <w:r w:rsidR="00A72F41">
        <w:rPr>
          <w:rFonts w:ascii="NewBaskerville" w:hAnsi="NewBaskerville"/>
        </w:rPr>
        <w:t>Y h</w:t>
      </w:r>
      <w:r w:rsidR="009420FB">
        <w:rPr>
          <w:rFonts w:ascii="NewBaskerville" w:hAnsi="NewBaskerville"/>
        </w:rPr>
        <w:t>a motivado, en el ejercicio 2023, el ajuste por el efecto acumulado de las variaciones del activo y pasivo</w:t>
      </w:r>
      <w:r w:rsidR="00A72F41">
        <w:rPr>
          <w:rFonts w:ascii="NewBaskerville" w:hAnsi="NewBaskerville"/>
        </w:rPr>
        <w:t>, el cual se ha imputado directamente en el patrimonio neto, en concreto, en una partida de reservas por beneficios acumulados.</w:t>
      </w:r>
    </w:p>
    <w:p w:rsidR="00A72F41" w:rsidRDefault="00A72F41" w:rsidP="00F333F2">
      <w:pPr>
        <w:pStyle w:val="Prrafodelista"/>
        <w:spacing w:before="100" w:after="100"/>
        <w:ind w:left="646"/>
        <w:jc w:val="both"/>
        <w:rPr>
          <w:rFonts w:ascii="NewBaskerville" w:hAnsi="NewBaskerville"/>
        </w:rPr>
      </w:pPr>
      <w:r>
        <w:rPr>
          <w:rFonts w:ascii="NewBaskerville" w:hAnsi="NewBaskerville"/>
        </w:rPr>
        <w:t>Asimismo se han modificado las cifras afectadas en la información comparativa en el sentido del apartado d) de esta nota.</w:t>
      </w:r>
    </w:p>
    <w:p w:rsidR="0030255B" w:rsidRDefault="005B1077" w:rsidP="00F333F2">
      <w:pPr>
        <w:pStyle w:val="Prrafodelista"/>
        <w:spacing w:before="100" w:after="100"/>
        <w:ind w:left="646"/>
        <w:jc w:val="both"/>
        <w:rPr>
          <w:rFonts w:ascii="NewBaskerville" w:hAnsi="NewBaskerville"/>
        </w:rPr>
      </w:pPr>
      <w:r>
        <w:rPr>
          <w:rFonts w:ascii="NewBaskerville" w:hAnsi="NewBaskerville"/>
        </w:rPr>
        <w:t xml:space="preserve">g.1.) </w:t>
      </w:r>
      <w:r w:rsidR="009E448A">
        <w:rPr>
          <w:rFonts w:ascii="NewBaskerville" w:hAnsi="NewBaskerville"/>
        </w:rPr>
        <w:t>Naturaleza de los errores y ejercicios en que se produjeron:</w:t>
      </w:r>
    </w:p>
    <w:tbl>
      <w:tblPr>
        <w:tblW w:w="5000" w:type="pct"/>
        <w:tblCellMar>
          <w:left w:w="70" w:type="dxa"/>
          <w:right w:w="70" w:type="dxa"/>
        </w:tblCellMar>
        <w:tblLook w:val="04A0" w:firstRow="1" w:lastRow="0" w:firstColumn="1" w:lastColumn="0" w:noHBand="0" w:noVBand="1"/>
      </w:tblPr>
      <w:tblGrid>
        <w:gridCol w:w="4039"/>
        <w:gridCol w:w="1509"/>
        <w:gridCol w:w="3096"/>
      </w:tblGrid>
      <w:tr w:rsidR="005C2F51" w:rsidRPr="005C2F51" w:rsidTr="005C2F51">
        <w:trPr>
          <w:trHeight w:val="510"/>
        </w:trPr>
        <w:tc>
          <w:tcPr>
            <w:tcW w:w="2336"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5C2F51" w:rsidRPr="005C2F51" w:rsidRDefault="005C2F51" w:rsidP="005C2F51">
            <w:pPr>
              <w:jc w:val="center"/>
              <w:rPr>
                <w:rFonts w:ascii="Lucida Bright" w:hAnsi="Lucida Bright" w:cs="Calibri"/>
                <w:b/>
                <w:bCs/>
                <w:sz w:val="14"/>
                <w:szCs w:val="14"/>
                <w:lang w:val="es-ES"/>
              </w:rPr>
            </w:pPr>
            <w:r w:rsidRPr="005C2F51">
              <w:rPr>
                <w:rFonts w:ascii="Lucida Bright" w:hAnsi="Lucida Bright" w:cs="Calibri"/>
                <w:b/>
                <w:bCs/>
                <w:sz w:val="14"/>
                <w:szCs w:val="14"/>
                <w:lang w:val="es-ES"/>
              </w:rPr>
              <w:t>Naturaleza del error</w:t>
            </w:r>
          </w:p>
        </w:tc>
        <w:tc>
          <w:tcPr>
            <w:tcW w:w="873" w:type="pct"/>
            <w:tcBorders>
              <w:top w:val="single" w:sz="4" w:space="0" w:color="auto"/>
              <w:left w:val="nil"/>
              <w:bottom w:val="single" w:sz="4" w:space="0" w:color="auto"/>
              <w:right w:val="single" w:sz="4" w:space="0" w:color="auto"/>
            </w:tcBorders>
            <w:shd w:val="clear" w:color="000000" w:fill="CCFFCC"/>
            <w:vAlign w:val="center"/>
            <w:hideMark/>
          </w:tcPr>
          <w:p w:rsidR="005C2F51" w:rsidRPr="005C2F51" w:rsidRDefault="005C2F51" w:rsidP="005C2F51">
            <w:pPr>
              <w:jc w:val="center"/>
              <w:rPr>
                <w:rFonts w:ascii="Lucida Bright" w:hAnsi="Lucida Bright" w:cs="Calibri"/>
                <w:b/>
                <w:bCs/>
                <w:sz w:val="14"/>
                <w:szCs w:val="14"/>
                <w:lang w:val="es-ES"/>
              </w:rPr>
            </w:pPr>
            <w:r w:rsidRPr="005C2F51">
              <w:rPr>
                <w:rFonts w:ascii="Lucida Bright" w:hAnsi="Lucida Bright" w:cs="Calibri"/>
                <w:b/>
                <w:bCs/>
                <w:sz w:val="14"/>
                <w:szCs w:val="14"/>
                <w:lang w:val="es-ES"/>
              </w:rPr>
              <w:t>Ejercicio en que se produjo</w:t>
            </w:r>
          </w:p>
        </w:tc>
        <w:tc>
          <w:tcPr>
            <w:tcW w:w="1791" w:type="pct"/>
            <w:tcBorders>
              <w:top w:val="single" w:sz="4" w:space="0" w:color="auto"/>
              <w:left w:val="nil"/>
              <w:bottom w:val="single" w:sz="4" w:space="0" w:color="auto"/>
              <w:right w:val="single" w:sz="4" w:space="0" w:color="auto"/>
            </w:tcBorders>
            <w:shd w:val="clear" w:color="000000" w:fill="CCFFCC"/>
            <w:vAlign w:val="center"/>
            <w:hideMark/>
          </w:tcPr>
          <w:p w:rsidR="005C2F51" w:rsidRPr="005C2F51" w:rsidRDefault="005C2F51" w:rsidP="005C2F51">
            <w:pPr>
              <w:jc w:val="center"/>
              <w:rPr>
                <w:rFonts w:ascii="Lucida Bright" w:hAnsi="Lucida Bright" w:cs="Calibri"/>
                <w:b/>
                <w:bCs/>
                <w:sz w:val="14"/>
                <w:szCs w:val="14"/>
                <w:lang w:val="es-ES"/>
              </w:rPr>
            </w:pPr>
            <w:r w:rsidRPr="005C2F51">
              <w:rPr>
                <w:rFonts w:ascii="Lucida Bright" w:hAnsi="Lucida Bright" w:cs="Calibri"/>
                <w:b/>
                <w:bCs/>
                <w:sz w:val="14"/>
                <w:szCs w:val="14"/>
                <w:lang w:val="es-ES"/>
              </w:rPr>
              <w:t>Importe (+/-) Ingreso/gasto</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Otros ingresos de explotación</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2006</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sz w:val="14"/>
                <w:szCs w:val="14"/>
                <w:lang w:val="es-ES"/>
              </w:rPr>
            </w:pPr>
            <w:r w:rsidRPr="005C2F51">
              <w:rPr>
                <w:rFonts w:ascii="Lucida Bright" w:hAnsi="Lucida Bright" w:cs="Calibri"/>
                <w:sz w:val="14"/>
                <w:szCs w:val="14"/>
                <w:lang w:val="es-ES"/>
              </w:rPr>
              <w:t xml:space="preserve">486,67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Otras pérdidas en gestión corriente</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2007</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(2.766,37)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Otros ingresos de explotación</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2007</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sz w:val="14"/>
                <w:szCs w:val="14"/>
                <w:lang w:val="es-ES"/>
              </w:rPr>
            </w:pPr>
            <w:r w:rsidRPr="005C2F51">
              <w:rPr>
                <w:rFonts w:ascii="Lucida Bright" w:hAnsi="Lucida Bright" w:cs="Calibri"/>
                <w:sz w:val="14"/>
                <w:szCs w:val="14"/>
                <w:lang w:val="es-ES"/>
              </w:rPr>
              <w:t xml:space="preserve">2.232,68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Otras pérdidas en gestión corriente</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2008</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(495,73)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Otros ingresos de explotación</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2008</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2.247,01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Otras pérdidas en gestión corriente</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2009</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(144,23)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Otros ingresos de explotación</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2009</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58,09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Otros ingresos de explotación</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2010</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99,17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Otras pérdidas en gestión corriente</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2011</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(224,90)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Otros ingresos de explotación</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2011</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0,17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Otras pérdidas en gestión corriente</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2012</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(164,37)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Otros ingresos de explotación</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2012</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47,78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Otros ingresos de explotación</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2013</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75,73 </w:t>
            </w:r>
          </w:p>
        </w:tc>
      </w:tr>
      <w:tr w:rsidR="005C2F51" w:rsidRPr="005C2F51" w:rsidTr="005C2F51">
        <w:trPr>
          <w:trHeight w:val="300"/>
        </w:trPr>
        <w:tc>
          <w:tcPr>
            <w:tcW w:w="2336" w:type="pct"/>
            <w:tcBorders>
              <w:top w:val="nil"/>
              <w:left w:val="single" w:sz="4" w:space="0" w:color="auto"/>
              <w:bottom w:val="nil"/>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Otras pérdidas en gestión corriente</w:t>
            </w:r>
          </w:p>
        </w:tc>
        <w:tc>
          <w:tcPr>
            <w:tcW w:w="873"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2014</w:t>
            </w:r>
          </w:p>
        </w:tc>
        <w:tc>
          <w:tcPr>
            <w:tcW w:w="1791" w:type="pct"/>
            <w:tcBorders>
              <w:top w:val="nil"/>
              <w:left w:val="nil"/>
              <w:bottom w:val="nil"/>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(95,86) </w:t>
            </w:r>
          </w:p>
        </w:tc>
      </w:tr>
      <w:tr w:rsidR="005C2F51" w:rsidRPr="005C2F51" w:rsidTr="005C2F51">
        <w:trPr>
          <w:trHeight w:val="300"/>
        </w:trPr>
        <w:tc>
          <w:tcPr>
            <w:tcW w:w="2336" w:type="pct"/>
            <w:tcBorders>
              <w:top w:val="nil"/>
              <w:left w:val="single" w:sz="4" w:space="0" w:color="auto"/>
              <w:bottom w:val="single" w:sz="4" w:space="0" w:color="auto"/>
              <w:right w:val="single" w:sz="4" w:space="0" w:color="auto"/>
            </w:tcBorders>
            <w:shd w:val="clear" w:color="auto" w:fill="auto"/>
            <w:noWrap/>
            <w:vAlign w:val="bottom"/>
            <w:hideMark/>
          </w:tcPr>
          <w:p w:rsidR="005C2F51" w:rsidRPr="005C2F51" w:rsidRDefault="005C2F51" w:rsidP="005C2F51">
            <w:pP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Otros ingresos de explotación</w:t>
            </w:r>
          </w:p>
        </w:tc>
        <w:tc>
          <w:tcPr>
            <w:tcW w:w="873" w:type="pct"/>
            <w:tcBorders>
              <w:top w:val="nil"/>
              <w:left w:val="nil"/>
              <w:bottom w:val="single" w:sz="4" w:space="0" w:color="auto"/>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2014</w:t>
            </w:r>
          </w:p>
        </w:tc>
        <w:tc>
          <w:tcPr>
            <w:tcW w:w="1791" w:type="pct"/>
            <w:tcBorders>
              <w:top w:val="nil"/>
              <w:left w:val="nil"/>
              <w:bottom w:val="single" w:sz="4" w:space="0" w:color="auto"/>
              <w:right w:val="single" w:sz="4" w:space="0" w:color="auto"/>
            </w:tcBorders>
            <w:shd w:val="clear" w:color="auto" w:fill="auto"/>
            <w:noWrap/>
            <w:vAlign w:val="bottom"/>
            <w:hideMark/>
          </w:tcPr>
          <w:p w:rsidR="005C2F51" w:rsidRPr="005C2F51" w:rsidRDefault="005C2F51" w:rsidP="005C2F51">
            <w:pPr>
              <w:jc w:val="center"/>
              <w:rPr>
                <w:rFonts w:ascii="Lucida Bright" w:hAnsi="Lucida Bright" w:cs="Calibri"/>
                <w:color w:val="000000"/>
                <w:sz w:val="14"/>
                <w:szCs w:val="14"/>
                <w:lang w:val="es-ES"/>
              </w:rPr>
            </w:pPr>
            <w:r w:rsidRPr="005C2F51">
              <w:rPr>
                <w:rFonts w:ascii="Lucida Bright" w:hAnsi="Lucida Bright" w:cs="Calibri"/>
                <w:color w:val="000000"/>
                <w:sz w:val="14"/>
                <w:szCs w:val="14"/>
                <w:lang w:val="es-ES"/>
              </w:rPr>
              <w:t xml:space="preserve">447,91 </w:t>
            </w:r>
          </w:p>
        </w:tc>
      </w:tr>
    </w:tbl>
    <w:p w:rsidR="009E448A" w:rsidRDefault="009E448A"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tbl>
      <w:tblPr>
        <w:tblW w:w="5000" w:type="pct"/>
        <w:tblCellMar>
          <w:left w:w="70" w:type="dxa"/>
          <w:right w:w="70" w:type="dxa"/>
        </w:tblCellMar>
        <w:tblLook w:val="04A0" w:firstRow="1" w:lastRow="0" w:firstColumn="1" w:lastColumn="0" w:noHBand="0" w:noVBand="1"/>
      </w:tblPr>
      <w:tblGrid>
        <w:gridCol w:w="3949"/>
        <w:gridCol w:w="1521"/>
        <w:gridCol w:w="3174"/>
      </w:tblGrid>
      <w:tr w:rsidR="009E448A" w:rsidRPr="009E448A" w:rsidTr="009E448A">
        <w:trPr>
          <w:trHeight w:val="300"/>
        </w:trPr>
        <w:tc>
          <w:tcPr>
            <w:tcW w:w="2284" w:type="pct"/>
            <w:tcBorders>
              <w:top w:val="single" w:sz="4" w:space="0" w:color="auto"/>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Otros ingresos de explotación</w:t>
            </w:r>
          </w:p>
        </w:tc>
        <w:tc>
          <w:tcPr>
            <w:tcW w:w="880" w:type="pct"/>
            <w:tcBorders>
              <w:top w:val="single" w:sz="4" w:space="0" w:color="auto"/>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2015</w:t>
            </w:r>
          </w:p>
        </w:tc>
        <w:tc>
          <w:tcPr>
            <w:tcW w:w="1836" w:type="pct"/>
            <w:tcBorders>
              <w:top w:val="single" w:sz="4" w:space="0" w:color="auto"/>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73,60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Otras pérdidas en gestión corriente</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2016</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(1.906,99)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Otros ingresos de explotación</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2016</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59,30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Otras pérdidas en gestión corriente</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2017</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(22.907,73)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Otros ingresos de explotación</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2017</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8.343,95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Otras pérdidas en gestión corriente</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2018</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(1.592,40)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Otros ingresos de explotación</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2018</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4.862,06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Otras pérdidas en gestión corriente</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2019</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(90,15)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Otros ingresos de explotación</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2019</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10.877,82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Otras pérdidas en gestión corriente</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2020</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(810,48)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Otros ingresos de explotación</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2020</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191,23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Otras pérdidas en gestión corriente</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2021</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(83.947,42) </w:t>
            </w:r>
          </w:p>
        </w:tc>
      </w:tr>
      <w:tr w:rsidR="009E448A" w:rsidRPr="009E448A" w:rsidTr="009E448A">
        <w:trPr>
          <w:trHeight w:val="300"/>
        </w:trPr>
        <w:tc>
          <w:tcPr>
            <w:tcW w:w="2284" w:type="pct"/>
            <w:tcBorders>
              <w:top w:val="nil"/>
              <w:left w:val="single" w:sz="4" w:space="0" w:color="auto"/>
              <w:bottom w:val="nil"/>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Otros ingresos de explotación</w:t>
            </w:r>
          </w:p>
        </w:tc>
        <w:tc>
          <w:tcPr>
            <w:tcW w:w="880"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2021</w:t>
            </w:r>
          </w:p>
        </w:tc>
        <w:tc>
          <w:tcPr>
            <w:tcW w:w="1836" w:type="pct"/>
            <w:tcBorders>
              <w:top w:val="nil"/>
              <w:left w:val="nil"/>
              <w:bottom w:val="nil"/>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3,37 </w:t>
            </w:r>
          </w:p>
        </w:tc>
      </w:tr>
      <w:tr w:rsidR="009E448A" w:rsidRPr="009E448A" w:rsidTr="009E448A">
        <w:trPr>
          <w:trHeight w:val="300"/>
        </w:trPr>
        <w:tc>
          <w:tcPr>
            <w:tcW w:w="2284" w:type="pct"/>
            <w:tcBorders>
              <w:top w:val="nil"/>
              <w:left w:val="single" w:sz="4" w:space="0" w:color="auto"/>
              <w:bottom w:val="single" w:sz="4" w:space="0" w:color="auto"/>
              <w:right w:val="single" w:sz="4" w:space="0" w:color="auto"/>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Otros ingresos de explotación</w:t>
            </w:r>
          </w:p>
        </w:tc>
        <w:tc>
          <w:tcPr>
            <w:tcW w:w="880" w:type="pct"/>
            <w:tcBorders>
              <w:top w:val="nil"/>
              <w:left w:val="nil"/>
              <w:bottom w:val="single" w:sz="4" w:space="0" w:color="auto"/>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2022</w:t>
            </w:r>
          </w:p>
        </w:tc>
        <w:tc>
          <w:tcPr>
            <w:tcW w:w="1836" w:type="pct"/>
            <w:tcBorders>
              <w:top w:val="nil"/>
              <w:left w:val="nil"/>
              <w:bottom w:val="single" w:sz="4" w:space="0" w:color="auto"/>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xml:space="preserve">3.812,07  </w:t>
            </w:r>
          </w:p>
        </w:tc>
      </w:tr>
      <w:tr w:rsidR="009E448A" w:rsidRPr="009E448A" w:rsidTr="009E448A">
        <w:trPr>
          <w:trHeight w:val="300"/>
        </w:trPr>
        <w:tc>
          <w:tcPr>
            <w:tcW w:w="2284" w:type="pct"/>
            <w:tcBorders>
              <w:top w:val="nil"/>
              <w:left w:val="single" w:sz="4" w:space="0" w:color="auto"/>
              <w:bottom w:val="single" w:sz="4" w:space="0" w:color="auto"/>
              <w:right w:val="single" w:sz="4" w:space="0" w:color="auto"/>
            </w:tcBorders>
            <w:shd w:val="clear" w:color="auto" w:fill="auto"/>
            <w:noWrap/>
            <w:vAlign w:val="bottom"/>
            <w:hideMark/>
          </w:tcPr>
          <w:p w:rsidR="009E448A" w:rsidRPr="009E448A" w:rsidRDefault="009E448A" w:rsidP="009E448A">
            <w:pPr>
              <w:jc w:val="right"/>
              <w:rPr>
                <w:rFonts w:ascii="Lucida Bright" w:hAnsi="Lucida Bright" w:cs="Calibri"/>
                <w:b/>
                <w:bCs/>
                <w:color w:val="000000"/>
                <w:sz w:val="14"/>
                <w:szCs w:val="14"/>
                <w:lang w:val="es-ES"/>
              </w:rPr>
            </w:pPr>
            <w:r w:rsidRPr="009E448A">
              <w:rPr>
                <w:rFonts w:ascii="Lucida Bright" w:hAnsi="Lucida Bright" w:cs="Calibri"/>
                <w:b/>
                <w:bCs/>
                <w:color w:val="000000"/>
                <w:sz w:val="14"/>
                <w:szCs w:val="14"/>
                <w:lang w:val="es-ES"/>
              </w:rPr>
              <w:t>Total</w:t>
            </w:r>
          </w:p>
        </w:tc>
        <w:tc>
          <w:tcPr>
            <w:tcW w:w="880" w:type="pct"/>
            <w:tcBorders>
              <w:top w:val="nil"/>
              <w:left w:val="nil"/>
              <w:bottom w:val="single" w:sz="4" w:space="0" w:color="auto"/>
              <w:right w:val="nil"/>
            </w:tcBorders>
            <w:shd w:val="clear" w:color="auto" w:fill="auto"/>
            <w:noWrap/>
            <w:vAlign w:val="bottom"/>
            <w:hideMark/>
          </w:tcPr>
          <w:p w:rsidR="009E448A" w:rsidRPr="009E448A" w:rsidRDefault="009E448A" w:rsidP="009E448A">
            <w:pPr>
              <w:rPr>
                <w:rFonts w:ascii="Lucida Bright" w:hAnsi="Lucida Bright" w:cs="Calibri"/>
                <w:color w:val="000000"/>
                <w:sz w:val="14"/>
                <w:szCs w:val="14"/>
                <w:lang w:val="es-ES"/>
              </w:rPr>
            </w:pPr>
            <w:r w:rsidRPr="009E448A">
              <w:rPr>
                <w:rFonts w:ascii="Lucida Bright" w:hAnsi="Lucida Bright" w:cs="Calibri"/>
                <w:color w:val="000000"/>
                <w:sz w:val="14"/>
                <w:szCs w:val="14"/>
                <w:lang w:val="es-ES"/>
              </w:rPr>
              <w:t> </w:t>
            </w:r>
          </w:p>
        </w:tc>
        <w:tc>
          <w:tcPr>
            <w:tcW w:w="1836" w:type="pct"/>
            <w:tcBorders>
              <w:top w:val="nil"/>
              <w:left w:val="single" w:sz="4" w:space="0" w:color="auto"/>
              <w:bottom w:val="single" w:sz="4" w:space="0" w:color="auto"/>
              <w:right w:val="single" w:sz="4" w:space="0" w:color="auto"/>
            </w:tcBorders>
            <w:shd w:val="clear" w:color="auto" w:fill="auto"/>
            <w:noWrap/>
            <w:vAlign w:val="bottom"/>
            <w:hideMark/>
          </w:tcPr>
          <w:p w:rsidR="009E448A" w:rsidRPr="009E448A" w:rsidRDefault="009E448A" w:rsidP="009E448A">
            <w:pPr>
              <w:jc w:val="center"/>
              <w:rPr>
                <w:rFonts w:ascii="Lucida Bright" w:hAnsi="Lucida Bright" w:cs="Calibri"/>
                <w:b/>
                <w:bCs/>
                <w:color w:val="000000"/>
                <w:sz w:val="14"/>
                <w:szCs w:val="14"/>
                <w:lang w:val="es-ES"/>
              </w:rPr>
            </w:pPr>
            <w:r w:rsidRPr="009E448A">
              <w:rPr>
                <w:rFonts w:ascii="Lucida Bright" w:hAnsi="Lucida Bright" w:cs="Calibri"/>
                <w:b/>
                <w:bCs/>
                <w:color w:val="000000"/>
                <w:sz w:val="14"/>
                <w:szCs w:val="14"/>
                <w:lang w:val="es-ES"/>
              </w:rPr>
              <w:t xml:space="preserve">(81.228,02) </w:t>
            </w:r>
          </w:p>
        </w:tc>
      </w:tr>
    </w:tbl>
    <w:p w:rsidR="009E448A" w:rsidRDefault="009E448A" w:rsidP="00F333F2">
      <w:pPr>
        <w:pStyle w:val="Prrafodelista"/>
        <w:spacing w:before="100" w:after="100"/>
        <w:ind w:left="646"/>
        <w:jc w:val="both"/>
        <w:rPr>
          <w:rFonts w:ascii="NewBaskerville" w:hAnsi="NewBaskerville"/>
        </w:rPr>
      </w:pPr>
    </w:p>
    <w:p w:rsidR="0030255B" w:rsidRDefault="005B1077" w:rsidP="00F333F2">
      <w:pPr>
        <w:pStyle w:val="Prrafodelista"/>
        <w:spacing w:before="100" w:after="100"/>
        <w:ind w:left="646"/>
        <w:jc w:val="both"/>
        <w:rPr>
          <w:rFonts w:ascii="NewBaskerville" w:hAnsi="NewBaskerville"/>
        </w:rPr>
      </w:pPr>
      <w:r>
        <w:rPr>
          <w:rFonts w:ascii="NewBaskerville" w:hAnsi="NewBaskerville"/>
        </w:rPr>
        <w:t xml:space="preserve">g.2.) </w:t>
      </w:r>
      <w:r w:rsidR="009E448A">
        <w:rPr>
          <w:rFonts w:ascii="NewBaskerville" w:hAnsi="NewBaskerville"/>
        </w:rPr>
        <w:t xml:space="preserve">Importe de la corrección para cada una de las partidas </w:t>
      </w:r>
      <w:r w:rsidR="005C2F51">
        <w:rPr>
          <w:rFonts w:ascii="NewBaskerville" w:hAnsi="NewBaskerville"/>
        </w:rPr>
        <w:t>en los documentos que integran estas cuentas anuales a efectos comparativos:</w:t>
      </w:r>
    </w:p>
    <w:tbl>
      <w:tblPr>
        <w:tblW w:w="7748" w:type="dxa"/>
        <w:tblInd w:w="70" w:type="dxa"/>
        <w:tblCellMar>
          <w:left w:w="70" w:type="dxa"/>
          <w:right w:w="70" w:type="dxa"/>
        </w:tblCellMar>
        <w:tblLook w:val="04A0" w:firstRow="1" w:lastRow="0" w:firstColumn="1" w:lastColumn="0" w:noHBand="0" w:noVBand="1"/>
      </w:tblPr>
      <w:tblGrid>
        <w:gridCol w:w="4380"/>
        <w:gridCol w:w="16"/>
        <w:gridCol w:w="1644"/>
        <w:gridCol w:w="32"/>
        <w:gridCol w:w="1628"/>
        <w:gridCol w:w="48"/>
      </w:tblGrid>
      <w:tr w:rsidR="005B1077" w:rsidRPr="005B1077" w:rsidTr="005B1077">
        <w:trPr>
          <w:trHeight w:val="300"/>
        </w:trPr>
        <w:tc>
          <w:tcPr>
            <w:tcW w:w="4396" w:type="dxa"/>
            <w:gridSpan w:val="2"/>
            <w:tcBorders>
              <w:top w:val="nil"/>
              <w:left w:val="nil"/>
              <w:bottom w:val="nil"/>
              <w:right w:val="nil"/>
            </w:tcBorders>
            <w:shd w:val="clear" w:color="000000" w:fill="FFFFFF"/>
            <w:noWrap/>
            <w:vAlign w:val="bottom"/>
            <w:hideMark/>
          </w:tcPr>
          <w:p w:rsidR="005B1077" w:rsidRPr="005B1077" w:rsidRDefault="005B1077" w:rsidP="005B1077">
            <w:pPr>
              <w:rPr>
                <w:rFonts w:ascii="Lucida Bright" w:hAnsi="Lucida Bright" w:cs="Calibri"/>
                <w:b/>
                <w:bCs/>
                <w:sz w:val="18"/>
                <w:szCs w:val="18"/>
                <w:lang w:val="es-ES"/>
              </w:rPr>
            </w:pPr>
            <w:r w:rsidRPr="005B1077">
              <w:rPr>
                <w:rFonts w:ascii="Lucida Bright" w:hAnsi="Lucida Bright" w:cs="Calibri"/>
                <w:b/>
                <w:bCs/>
                <w:sz w:val="18"/>
                <w:szCs w:val="18"/>
                <w:lang w:val="es-ES"/>
              </w:rPr>
              <w:t xml:space="preserve">Balance al cierre del ejercicio 2023 </w:t>
            </w:r>
          </w:p>
        </w:tc>
        <w:tc>
          <w:tcPr>
            <w:tcW w:w="1676" w:type="dxa"/>
            <w:gridSpan w:val="2"/>
            <w:tcBorders>
              <w:top w:val="nil"/>
              <w:left w:val="nil"/>
              <w:bottom w:val="nil"/>
              <w:right w:val="nil"/>
            </w:tcBorders>
            <w:shd w:val="clear" w:color="000000" w:fill="FFFFFF"/>
            <w:noWrap/>
            <w:vAlign w:val="bottom"/>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c>
          <w:tcPr>
            <w:tcW w:w="1676" w:type="dxa"/>
            <w:gridSpan w:val="2"/>
            <w:tcBorders>
              <w:top w:val="nil"/>
              <w:left w:val="nil"/>
              <w:bottom w:val="nil"/>
              <w:right w:val="nil"/>
            </w:tcBorders>
            <w:shd w:val="clear" w:color="000000" w:fill="FFFFFF"/>
            <w:noWrap/>
            <w:vAlign w:val="center"/>
            <w:hideMark/>
          </w:tcPr>
          <w:p w:rsidR="005B1077" w:rsidRPr="005B1077" w:rsidRDefault="005B1077" w:rsidP="005B1077">
            <w:pPr>
              <w:rPr>
                <w:rFonts w:ascii="Lucida Bright" w:hAnsi="Lucida Bright" w:cs="Calibri"/>
                <w:sz w:val="14"/>
                <w:szCs w:val="14"/>
                <w:lang w:val="es-ES"/>
              </w:rPr>
            </w:pPr>
            <w:r w:rsidRPr="005B1077">
              <w:rPr>
                <w:rFonts w:ascii="Lucida Bright" w:hAnsi="Lucida Bright" w:cs="Calibri"/>
                <w:sz w:val="14"/>
                <w:szCs w:val="14"/>
                <w:lang w:val="es-ES"/>
              </w:rPr>
              <w:t>(en euros)</w:t>
            </w:r>
          </w:p>
        </w:tc>
      </w:tr>
      <w:tr w:rsidR="005B1077" w:rsidRPr="005B1077" w:rsidTr="005B1077">
        <w:trPr>
          <w:trHeight w:val="300"/>
        </w:trPr>
        <w:tc>
          <w:tcPr>
            <w:tcW w:w="4396"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5B1077" w:rsidRPr="005B1077" w:rsidRDefault="005B1077" w:rsidP="005B1077">
            <w:pPr>
              <w:jc w:val="center"/>
              <w:rPr>
                <w:rFonts w:ascii="Lucida Bright" w:hAnsi="Lucida Bright" w:cs="Calibri"/>
                <w:b/>
                <w:bCs/>
                <w:sz w:val="18"/>
                <w:szCs w:val="18"/>
                <w:lang w:val="es-ES"/>
              </w:rPr>
            </w:pPr>
            <w:r w:rsidRPr="005B1077">
              <w:rPr>
                <w:rFonts w:ascii="Lucida Bright" w:hAnsi="Lucida Bright" w:cs="Calibri"/>
                <w:b/>
                <w:bCs/>
                <w:sz w:val="18"/>
                <w:szCs w:val="18"/>
                <w:lang w:val="es-ES"/>
              </w:rPr>
              <w:t>PATRIMONIO NETO Y PASIVO</w:t>
            </w:r>
          </w:p>
        </w:tc>
        <w:tc>
          <w:tcPr>
            <w:tcW w:w="1676" w:type="dxa"/>
            <w:gridSpan w:val="2"/>
            <w:tcBorders>
              <w:top w:val="single" w:sz="4" w:space="0" w:color="auto"/>
              <w:left w:val="nil"/>
              <w:bottom w:val="single" w:sz="4" w:space="0" w:color="auto"/>
              <w:right w:val="single" w:sz="4" w:space="0" w:color="auto"/>
            </w:tcBorders>
            <w:shd w:val="clear" w:color="000000" w:fill="CCFFCC"/>
            <w:vAlign w:val="center"/>
            <w:hideMark/>
          </w:tcPr>
          <w:p w:rsidR="005B1077" w:rsidRPr="005B1077" w:rsidRDefault="005B1077" w:rsidP="005B1077">
            <w:pPr>
              <w:jc w:val="center"/>
              <w:rPr>
                <w:rFonts w:ascii="Lucida Bright" w:hAnsi="Lucida Bright" w:cs="Calibri"/>
                <w:b/>
                <w:bCs/>
                <w:sz w:val="16"/>
                <w:szCs w:val="16"/>
                <w:lang w:val="es-ES"/>
              </w:rPr>
            </w:pPr>
            <w:r w:rsidRPr="005B1077">
              <w:rPr>
                <w:rFonts w:ascii="Lucida Bright" w:hAnsi="Lucida Bright" w:cs="Calibri"/>
                <w:b/>
                <w:bCs/>
                <w:sz w:val="16"/>
                <w:szCs w:val="16"/>
                <w:lang w:val="es-ES"/>
              </w:rPr>
              <w:t>2023</w:t>
            </w:r>
          </w:p>
        </w:tc>
        <w:tc>
          <w:tcPr>
            <w:tcW w:w="1676" w:type="dxa"/>
            <w:gridSpan w:val="2"/>
            <w:tcBorders>
              <w:top w:val="single" w:sz="4" w:space="0" w:color="auto"/>
              <w:left w:val="nil"/>
              <w:bottom w:val="single" w:sz="4" w:space="0" w:color="auto"/>
              <w:right w:val="single" w:sz="4" w:space="0" w:color="auto"/>
            </w:tcBorders>
            <w:shd w:val="clear" w:color="000000" w:fill="CCFFCC"/>
            <w:vAlign w:val="center"/>
            <w:hideMark/>
          </w:tcPr>
          <w:p w:rsidR="005B1077" w:rsidRPr="005B1077" w:rsidRDefault="005B1077" w:rsidP="005B1077">
            <w:pPr>
              <w:jc w:val="center"/>
              <w:rPr>
                <w:rFonts w:ascii="Lucida Bright" w:hAnsi="Lucida Bright" w:cs="Calibri"/>
                <w:b/>
                <w:bCs/>
                <w:sz w:val="16"/>
                <w:szCs w:val="16"/>
                <w:lang w:val="es-ES"/>
              </w:rPr>
            </w:pPr>
            <w:r w:rsidRPr="005B1077">
              <w:rPr>
                <w:rFonts w:ascii="Lucida Bright" w:hAnsi="Lucida Bright" w:cs="Calibri"/>
                <w:b/>
                <w:bCs/>
                <w:sz w:val="16"/>
                <w:szCs w:val="16"/>
                <w:lang w:val="es-ES"/>
              </w:rPr>
              <w:t>2022</w:t>
            </w:r>
          </w:p>
        </w:tc>
      </w:tr>
      <w:tr w:rsidR="005B1077" w:rsidRPr="005B1077" w:rsidTr="005B1077">
        <w:trPr>
          <w:trHeight w:val="300"/>
        </w:trPr>
        <w:tc>
          <w:tcPr>
            <w:tcW w:w="4396" w:type="dxa"/>
            <w:gridSpan w:val="2"/>
            <w:tcBorders>
              <w:top w:val="nil"/>
              <w:left w:val="single" w:sz="4" w:space="0" w:color="auto"/>
              <w:bottom w:val="nil"/>
              <w:right w:val="single" w:sz="4" w:space="0" w:color="auto"/>
            </w:tcBorders>
            <w:shd w:val="clear" w:color="000000" w:fill="CCFFCC"/>
            <w:noWrap/>
            <w:vAlign w:val="center"/>
            <w:hideMark/>
          </w:tcPr>
          <w:p w:rsidR="005B1077" w:rsidRPr="005B1077" w:rsidRDefault="005B1077" w:rsidP="005B1077">
            <w:pPr>
              <w:ind w:firstLineChars="100" w:firstLine="141"/>
              <w:rPr>
                <w:rFonts w:ascii="Lucida Bright" w:hAnsi="Lucida Bright" w:cs="Calibri"/>
                <w:b/>
                <w:bCs/>
                <w:sz w:val="14"/>
                <w:szCs w:val="14"/>
                <w:lang w:val="es-ES"/>
              </w:rPr>
            </w:pPr>
            <w:r w:rsidRPr="005B1077">
              <w:rPr>
                <w:rFonts w:ascii="Lucida Bright" w:hAnsi="Lucida Bright" w:cs="Calibri"/>
                <w:b/>
                <w:bCs/>
                <w:sz w:val="14"/>
                <w:szCs w:val="14"/>
                <w:lang w:val="es-ES"/>
              </w:rPr>
              <w:t>A) PATRIONIO NETO</w:t>
            </w:r>
          </w:p>
        </w:tc>
        <w:tc>
          <w:tcPr>
            <w:tcW w:w="1676" w:type="dxa"/>
            <w:gridSpan w:val="2"/>
            <w:tcBorders>
              <w:top w:val="nil"/>
              <w:left w:val="nil"/>
              <w:bottom w:val="nil"/>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76" w:type="dxa"/>
            <w:gridSpan w:val="2"/>
            <w:tcBorders>
              <w:top w:val="nil"/>
              <w:left w:val="nil"/>
              <w:bottom w:val="nil"/>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(81.228,02) </w:t>
            </w:r>
          </w:p>
        </w:tc>
      </w:tr>
      <w:tr w:rsidR="005B1077" w:rsidRPr="005B1077" w:rsidTr="005B1077">
        <w:trPr>
          <w:trHeight w:val="300"/>
        </w:trPr>
        <w:tc>
          <w:tcPr>
            <w:tcW w:w="43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77" w:rsidRPr="005B1077" w:rsidRDefault="005B1077" w:rsidP="005B1077">
            <w:pPr>
              <w:ind w:firstLineChars="100" w:firstLine="141"/>
              <w:rPr>
                <w:rFonts w:ascii="Lucida Bright" w:hAnsi="Lucida Bright" w:cs="Calibri"/>
                <w:b/>
                <w:bCs/>
                <w:sz w:val="14"/>
                <w:szCs w:val="14"/>
                <w:lang w:val="es-ES"/>
              </w:rPr>
            </w:pPr>
            <w:r w:rsidRPr="005B1077">
              <w:rPr>
                <w:rFonts w:ascii="Lucida Bright" w:hAnsi="Lucida Bright" w:cs="Calibri"/>
                <w:b/>
                <w:bCs/>
                <w:sz w:val="14"/>
                <w:szCs w:val="14"/>
                <w:lang w:val="es-ES"/>
              </w:rPr>
              <w:t>A-1) Fondos propios</w:t>
            </w:r>
          </w:p>
        </w:tc>
        <w:tc>
          <w:tcPr>
            <w:tcW w:w="1676"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76"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(81.228,02) </w:t>
            </w:r>
          </w:p>
        </w:tc>
      </w:tr>
      <w:tr w:rsidR="005B1077" w:rsidRPr="005B1077" w:rsidTr="005B1077">
        <w:trPr>
          <w:trHeight w:val="300"/>
        </w:trPr>
        <w:tc>
          <w:tcPr>
            <w:tcW w:w="4396" w:type="dxa"/>
            <w:gridSpan w:val="2"/>
            <w:tcBorders>
              <w:top w:val="nil"/>
              <w:left w:val="single" w:sz="4" w:space="0" w:color="auto"/>
              <w:bottom w:val="single" w:sz="4" w:space="0" w:color="auto"/>
              <w:right w:val="single" w:sz="4" w:space="0" w:color="auto"/>
            </w:tcBorders>
            <w:shd w:val="clear" w:color="auto" w:fill="auto"/>
            <w:noWrap/>
            <w:vAlign w:val="center"/>
            <w:hideMark/>
          </w:tcPr>
          <w:p w:rsidR="005B1077" w:rsidRPr="005B1077" w:rsidRDefault="005B1077" w:rsidP="005B1077">
            <w:pPr>
              <w:ind w:firstLineChars="100" w:firstLine="141"/>
              <w:rPr>
                <w:rFonts w:ascii="Lucida Bright" w:hAnsi="Lucida Bright" w:cs="Calibri"/>
                <w:b/>
                <w:bCs/>
                <w:sz w:val="14"/>
                <w:szCs w:val="14"/>
                <w:lang w:val="es-ES"/>
              </w:rPr>
            </w:pPr>
            <w:r w:rsidRPr="005B1077">
              <w:rPr>
                <w:rFonts w:ascii="Lucida Bright" w:hAnsi="Lucida Bright" w:cs="Calibri"/>
                <w:b/>
                <w:bCs/>
                <w:sz w:val="14"/>
                <w:szCs w:val="14"/>
                <w:lang w:val="es-ES"/>
              </w:rPr>
              <w:t>II. Resultados acumulados</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(85.040,09) </w:t>
            </w:r>
          </w:p>
        </w:tc>
      </w:tr>
      <w:tr w:rsidR="005B1077" w:rsidRPr="005B1077" w:rsidTr="005B1077">
        <w:trPr>
          <w:trHeight w:val="300"/>
        </w:trPr>
        <w:tc>
          <w:tcPr>
            <w:tcW w:w="4396" w:type="dxa"/>
            <w:gridSpan w:val="2"/>
            <w:tcBorders>
              <w:top w:val="nil"/>
              <w:left w:val="single" w:sz="4" w:space="0" w:color="auto"/>
              <w:bottom w:val="single" w:sz="4" w:space="0" w:color="auto"/>
              <w:right w:val="single" w:sz="4" w:space="0" w:color="auto"/>
            </w:tcBorders>
            <w:shd w:val="clear" w:color="auto" w:fill="auto"/>
            <w:noWrap/>
            <w:vAlign w:val="center"/>
            <w:hideMark/>
          </w:tcPr>
          <w:p w:rsidR="005B1077" w:rsidRPr="005B1077" w:rsidRDefault="005B1077" w:rsidP="005B1077">
            <w:pPr>
              <w:ind w:firstLineChars="100" w:firstLine="141"/>
              <w:rPr>
                <w:rFonts w:ascii="Lucida Bright" w:hAnsi="Lucida Bright" w:cs="Calibri"/>
                <w:b/>
                <w:bCs/>
                <w:sz w:val="14"/>
                <w:szCs w:val="14"/>
                <w:lang w:val="es-ES"/>
              </w:rPr>
            </w:pPr>
            <w:r w:rsidRPr="005B1077">
              <w:rPr>
                <w:rFonts w:ascii="Lucida Bright" w:hAnsi="Lucida Bright" w:cs="Calibri"/>
                <w:b/>
                <w:bCs/>
                <w:sz w:val="14"/>
                <w:szCs w:val="14"/>
                <w:lang w:val="es-ES"/>
              </w:rPr>
              <w:t>III. Resultado del ejercicio</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3.812,07 </w:t>
            </w:r>
          </w:p>
        </w:tc>
      </w:tr>
      <w:tr w:rsidR="005B1077" w:rsidRPr="005B1077" w:rsidTr="005B1077">
        <w:trPr>
          <w:trHeight w:val="300"/>
        </w:trPr>
        <w:tc>
          <w:tcPr>
            <w:tcW w:w="4396" w:type="dxa"/>
            <w:gridSpan w:val="2"/>
            <w:tcBorders>
              <w:top w:val="nil"/>
              <w:left w:val="single" w:sz="4" w:space="0" w:color="auto"/>
              <w:bottom w:val="single" w:sz="4" w:space="0" w:color="auto"/>
              <w:right w:val="nil"/>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c>
          <w:tcPr>
            <w:tcW w:w="1676" w:type="dxa"/>
            <w:gridSpan w:val="2"/>
            <w:tcBorders>
              <w:top w:val="nil"/>
              <w:left w:val="nil"/>
              <w:bottom w:val="single" w:sz="4" w:space="0" w:color="auto"/>
              <w:right w:val="nil"/>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r>
      <w:tr w:rsidR="005B1077" w:rsidRPr="005B1077" w:rsidTr="005B1077">
        <w:trPr>
          <w:trHeight w:val="300"/>
        </w:trPr>
        <w:tc>
          <w:tcPr>
            <w:tcW w:w="4396" w:type="dxa"/>
            <w:gridSpan w:val="2"/>
            <w:tcBorders>
              <w:top w:val="nil"/>
              <w:left w:val="single" w:sz="4" w:space="0" w:color="auto"/>
              <w:bottom w:val="single" w:sz="4" w:space="0" w:color="auto"/>
              <w:right w:val="single" w:sz="4" w:space="0" w:color="auto"/>
            </w:tcBorders>
            <w:shd w:val="clear" w:color="000000" w:fill="CCFFCC"/>
            <w:noWrap/>
            <w:vAlign w:val="center"/>
            <w:hideMark/>
          </w:tcPr>
          <w:p w:rsidR="005B1077" w:rsidRPr="005B1077" w:rsidRDefault="005B1077" w:rsidP="005B1077">
            <w:pPr>
              <w:ind w:firstLineChars="100" w:firstLine="141"/>
              <w:rPr>
                <w:rFonts w:ascii="Lucida Bright" w:hAnsi="Lucida Bright" w:cs="Calibri"/>
                <w:b/>
                <w:bCs/>
                <w:sz w:val="14"/>
                <w:szCs w:val="14"/>
                <w:lang w:val="es-ES"/>
              </w:rPr>
            </w:pPr>
            <w:r w:rsidRPr="005B1077">
              <w:rPr>
                <w:rFonts w:ascii="Lucida Bright" w:hAnsi="Lucida Bright" w:cs="Calibri"/>
                <w:b/>
                <w:bCs/>
                <w:sz w:val="14"/>
                <w:szCs w:val="14"/>
                <w:lang w:val="es-ES"/>
              </w:rPr>
              <w:t xml:space="preserve"> C) PASIVO CORRIENTE</w:t>
            </w:r>
          </w:p>
        </w:tc>
        <w:tc>
          <w:tcPr>
            <w:tcW w:w="1676" w:type="dxa"/>
            <w:gridSpan w:val="2"/>
            <w:tcBorders>
              <w:top w:val="nil"/>
              <w:left w:val="nil"/>
              <w:bottom w:val="single" w:sz="4" w:space="0" w:color="auto"/>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76" w:type="dxa"/>
            <w:gridSpan w:val="2"/>
            <w:tcBorders>
              <w:top w:val="nil"/>
              <w:left w:val="nil"/>
              <w:bottom w:val="single" w:sz="4" w:space="0" w:color="auto"/>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81.228,02 </w:t>
            </w:r>
          </w:p>
        </w:tc>
      </w:tr>
      <w:tr w:rsidR="005B1077" w:rsidRPr="005B1077" w:rsidTr="005B1077">
        <w:trPr>
          <w:trHeight w:val="300"/>
        </w:trPr>
        <w:tc>
          <w:tcPr>
            <w:tcW w:w="4396" w:type="dxa"/>
            <w:gridSpan w:val="2"/>
            <w:tcBorders>
              <w:top w:val="nil"/>
              <w:left w:val="single" w:sz="4" w:space="0" w:color="auto"/>
              <w:bottom w:val="nil"/>
              <w:right w:val="nil"/>
            </w:tcBorders>
            <w:shd w:val="clear" w:color="auto" w:fill="auto"/>
            <w:noWrap/>
            <w:vAlign w:val="center"/>
            <w:hideMark/>
          </w:tcPr>
          <w:p w:rsidR="005B1077" w:rsidRPr="005B1077" w:rsidRDefault="005B1077" w:rsidP="005B1077">
            <w:pPr>
              <w:ind w:firstLineChars="100" w:firstLine="141"/>
              <w:rPr>
                <w:rFonts w:ascii="Lucida Bright" w:hAnsi="Lucida Bright" w:cs="Calibri"/>
                <w:b/>
                <w:bCs/>
                <w:sz w:val="14"/>
                <w:szCs w:val="14"/>
                <w:lang w:val="es-ES"/>
              </w:rPr>
            </w:pPr>
            <w:r w:rsidRPr="005B1077">
              <w:rPr>
                <w:rFonts w:ascii="Lucida Bright" w:hAnsi="Lucida Bright" w:cs="Calibri"/>
                <w:b/>
                <w:bCs/>
                <w:sz w:val="14"/>
                <w:szCs w:val="14"/>
                <w:lang w:val="es-ES"/>
              </w:rPr>
              <w:t>III. Deudas a corto plazo</w:t>
            </w:r>
          </w:p>
        </w:tc>
        <w:tc>
          <w:tcPr>
            <w:tcW w:w="1676" w:type="dxa"/>
            <w:gridSpan w:val="2"/>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76" w:type="dxa"/>
            <w:gridSpan w:val="2"/>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81.228,02 </w:t>
            </w:r>
          </w:p>
        </w:tc>
      </w:tr>
      <w:tr w:rsidR="005B1077" w:rsidRPr="005B1077" w:rsidTr="005B1077">
        <w:trPr>
          <w:trHeight w:val="300"/>
        </w:trPr>
        <w:tc>
          <w:tcPr>
            <w:tcW w:w="4396" w:type="dxa"/>
            <w:gridSpan w:val="2"/>
            <w:tcBorders>
              <w:top w:val="nil"/>
              <w:left w:val="single" w:sz="4" w:space="0" w:color="auto"/>
              <w:bottom w:val="single" w:sz="4" w:space="0" w:color="auto"/>
              <w:right w:val="nil"/>
            </w:tcBorders>
            <w:shd w:val="clear" w:color="auto" w:fill="auto"/>
            <w:noWrap/>
            <w:vAlign w:val="bottom"/>
            <w:hideMark/>
          </w:tcPr>
          <w:p w:rsidR="005B1077" w:rsidRPr="005B1077" w:rsidRDefault="005B1077" w:rsidP="005B1077">
            <w:pPr>
              <w:ind w:firstLineChars="200" w:firstLine="280"/>
              <w:rPr>
                <w:rFonts w:ascii="Lucida Bright" w:hAnsi="Lucida Bright" w:cs="Calibri"/>
                <w:color w:val="000000"/>
                <w:sz w:val="14"/>
                <w:szCs w:val="14"/>
                <w:lang w:val="es-ES"/>
              </w:rPr>
            </w:pPr>
            <w:r w:rsidRPr="005B1077">
              <w:rPr>
                <w:rFonts w:ascii="Lucida Bright" w:hAnsi="Lucida Bright" w:cs="Calibri"/>
                <w:color w:val="000000"/>
                <w:sz w:val="14"/>
                <w:szCs w:val="14"/>
                <w:lang w:val="es-ES"/>
              </w:rPr>
              <w:t>3. Otros pasivos financieros</w:t>
            </w:r>
          </w:p>
        </w:tc>
        <w:tc>
          <w:tcPr>
            <w:tcW w:w="1676" w:type="dxa"/>
            <w:gridSpan w:val="2"/>
            <w:tcBorders>
              <w:top w:val="nil"/>
              <w:left w:val="single" w:sz="4" w:space="0" w:color="auto"/>
              <w:bottom w:val="single" w:sz="4" w:space="0" w:color="auto"/>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 </w:t>
            </w:r>
          </w:p>
        </w:tc>
        <w:tc>
          <w:tcPr>
            <w:tcW w:w="1676" w:type="dxa"/>
            <w:gridSpan w:val="2"/>
            <w:tcBorders>
              <w:top w:val="nil"/>
              <w:left w:val="nil"/>
              <w:bottom w:val="single" w:sz="4" w:space="0" w:color="auto"/>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81.228,02 </w:t>
            </w:r>
          </w:p>
        </w:tc>
      </w:tr>
      <w:tr w:rsidR="005B1077" w:rsidRPr="005B1077" w:rsidTr="005B1077">
        <w:trPr>
          <w:gridAfter w:val="1"/>
          <w:wAfter w:w="48" w:type="dxa"/>
          <w:trHeight w:val="300"/>
        </w:trPr>
        <w:tc>
          <w:tcPr>
            <w:tcW w:w="7700" w:type="dxa"/>
            <w:gridSpan w:val="5"/>
            <w:vMerge w:val="restart"/>
            <w:tcBorders>
              <w:top w:val="nil"/>
              <w:left w:val="nil"/>
              <w:bottom w:val="single" w:sz="4" w:space="0" w:color="000000"/>
              <w:right w:val="nil"/>
            </w:tcBorders>
            <w:shd w:val="clear" w:color="000000" w:fill="FFFFFF"/>
            <w:vAlign w:val="bottom"/>
            <w:hideMark/>
          </w:tcPr>
          <w:p w:rsidR="005B1077" w:rsidRPr="005B1077" w:rsidRDefault="005B1077" w:rsidP="005B1077">
            <w:pPr>
              <w:rPr>
                <w:rFonts w:ascii="Lucida Bright" w:hAnsi="Lucida Bright" w:cs="Calibri"/>
                <w:b/>
                <w:bCs/>
                <w:sz w:val="18"/>
                <w:szCs w:val="18"/>
                <w:lang w:val="es-ES"/>
              </w:rPr>
            </w:pPr>
            <w:r w:rsidRPr="005B1077">
              <w:rPr>
                <w:rFonts w:ascii="Lucida Bright" w:hAnsi="Lucida Bright" w:cs="Calibri"/>
                <w:b/>
                <w:bCs/>
                <w:sz w:val="18"/>
                <w:szCs w:val="18"/>
                <w:lang w:val="es-ES"/>
              </w:rPr>
              <w:t xml:space="preserve">Cuenta de Pérdidas y Ganancias correspondiente al ejercicio terminado el 31-12-23  </w:t>
            </w:r>
            <w:r w:rsidRPr="005B1077">
              <w:rPr>
                <w:rFonts w:ascii="Lucida Bright" w:hAnsi="Lucida Bright" w:cs="Calibri"/>
                <w:sz w:val="18"/>
                <w:szCs w:val="18"/>
                <w:lang w:val="es-ES"/>
              </w:rPr>
              <w:t>(en euros)</w:t>
            </w:r>
          </w:p>
        </w:tc>
      </w:tr>
      <w:tr w:rsidR="005B1077" w:rsidRPr="005B1077" w:rsidTr="005B1077">
        <w:trPr>
          <w:gridAfter w:val="1"/>
          <w:wAfter w:w="48" w:type="dxa"/>
          <w:trHeight w:val="300"/>
        </w:trPr>
        <w:tc>
          <w:tcPr>
            <w:tcW w:w="7700" w:type="dxa"/>
            <w:gridSpan w:val="5"/>
            <w:vMerge/>
            <w:tcBorders>
              <w:top w:val="nil"/>
              <w:left w:val="nil"/>
              <w:bottom w:val="single" w:sz="4" w:space="0" w:color="000000"/>
              <w:right w:val="nil"/>
            </w:tcBorders>
            <w:vAlign w:val="center"/>
            <w:hideMark/>
          </w:tcPr>
          <w:p w:rsidR="005B1077" w:rsidRPr="005B1077" w:rsidRDefault="005B1077" w:rsidP="005B1077">
            <w:pPr>
              <w:rPr>
                <w:rFonts w:ascii="Lucida Bright" w:hAnsi="Lucida Bright" w:cs="Calibri"/>
                <w:b/>
                <w:bCs/>
                <w:sz w:val="18"/>
                <w:szCs w:val="18"/>
                <w:lang w:val="es-ES"/>
              </w:rPr>
            </w:pPr>
          </w:p>
        </w:tc>
      </w:tr>
      <w:tr w:rsidR="005B1077" w:rsidRPr="005B1077" w:rsidTr="005B1077">
        <w:trPr>
          <w:gridAfter w:val="1"/>
          <w:wAfter w:w="48" w:type="dxa"/>
          <w:trHeight w:val="300"/>
        </w:trPr>
        <w:tc>
          <w:tcPr>
            <w:tcW w:w="4380" w:type="dxa"/>
            <w:vMerge w:val="restart"/>
            <w:tcBorders>
              <w:top w:val="nil"/>
              <w:left w:val="single" w:sz="4" w:space="0" w:color="auto"/>
              <w:bottom w:val="single" w:sz="4" w:space="0" w:color="000000"/>
              <w:right w:val="single" w:sz="4" w:space="0" w:color="auto"/>
            </w:tcBorders>
            <w:shd w:val="clear" w:color="000000" w:fill="CCFFCC"/>
            <w:noWrap/>
            <w:vAlign w:val="center"/>
            <w:hideMark/>
          </w:tcPr>
          <w:p w:rsidR="005B1077" w:rsidRPr="005B1077" w:rsidRDefault="005B1077" w:rsidP="005B1077">
            <w:pPr>
              <w:jc w:val="center"/>
              <w:rPr>
                <w:rFonts w:ascii="Lucida Bright" w:hAnsi="Lucida Bright" w:cs="Calibri"/>
                <w:b/>
                <w:bCs/>
                <w:sz w:val="18"/>
                <w:szCs w:val="18"/>
                <w:lang w:val="es-ES"/>
              </w:rPr>
            </w:pPr>
            <w:r w:rsidRPr="005B1077">
              <w:rPr>
                <w:rFonts w:ascii="Lucida Bright" w:hAnsi="Lucida Bright" w:cs="Calibri"/>
                <w:b/>
                <w:bCs/>
                <w:sz w:val="18"/>
                <w:szCs w:val="18"/>
                <w:lang w:val="es-ES"/>
              </w:rPr>
              <w:t xml:space="preserve">CUENTA DE PÉRDIDAS Y GANANCIAS  </w:t>
            </w:r>
          </w:p>
        </w:tc>
        <w:tc>
          <w:tcPr>
            <w:tcW w:w="3320" w:type="dxa"/>
            <w:gridSpan w:val="4"/>
            <w:tcBorders>
              <w:top w:val="single" w:sz="4" w:space="0" w:color="auto"/>
              <w:left w:val="nil"/>
              <w:bottom w:val="single" w:sz="4" w:space="0" w:color="auto"/>
              <w:right w:val="single" w:sz="4" w:space="0" w:color="000000"/>
            </w:tcBorders>
            <w:shd w:val="clear" w:color="000000" w:fill="CCFFCC"/>
            <w:noWrap/>
            <w:vAlign w:val="center"/>
            <w:hideMark/>
          </w:tcPr>
          <w:p w:rsidR="005B1077" w:rsidRPr="005B1077" w:rsidRDefault="005B1077" w:rsidP="005B1077">
            <w:pPr>
              <w:jc w:val="center"/>
              <w:rPr>
                <w:rFonts w:ascii="Lucida Bright" w:hAnsi="Lucida Bright" w:cs="Calibri"/>
                <w:b/>
                <w:bCs/>
                <w:sz w:val="18"/>
                <w:szCs w:val="18"/>
                <w:lang w:val="es-ES"/>
              </w:rPr>
            </w:pPr>
            <w:r w:rsidRPr="005B1077">
              <w:rPr>
                <w:rFonts w:ascii="Lucida Bright" w:hAnsi="Lucida Bright" w:cs="Calibri"/>
                <w:b/>
                <w:bCs/>
                <w:sz w:val="18"/>
                <w:szCs w:val="18"/>
                <w:lang w:val="es-ES"/>
              </w:rPr>
              <w:t>(Debe) Haber</w:t>
            </w:r>
          </w:p>
        </w:tc>
      </w:tr>
      <w:tr w:rsidR="005B1077" w:rsidRPr="005B1077" w:rsidTr="005B1077">
        <w:trPr>
          <w:gridAfter w:val="1"/>
          <w:wAfter w:w="48" w:type="dxa"/>
          <w:trHeight w:val="300"/>
        </w:trPr>
        <w:tc>
          <w:tcPr>
            <w:tcW w:w="4380" w:type="dxa"/>
            <w:vMerge/>
            <w:tcBorders>
              <w:top w:val="nil"/>
              <w:left w:val="single" w:sz="4" w:space="0" w:color="auto"/>
              <w:bottom w:val="single" w:sz="4" w:space="0" w:color="000000"/>
              <w:right w:val="single" w:sz="4" w:space="0" w:color="auto"/>
            </w:tcBorders>
            <w:vAlign w:val="center"/>
            <w:hideMark/>
          </w:tcPr>
          <w:p w:rsidR="005B1077" w:rsidRPr="005B1077" w:rsidRDefault="005B1077" w:rsidP="005B1077">
            <w:pPr>
              <w:rPr>
                <w:rFonts w:ascii="Lucida Bright" w:hAnsi="Lucida Bright" w:cs="Calibri"/>
                <w:b/>
                <w:bCs/>
                <w:sz w:val="18"/>
                <w:szCs w:val="18"/>
                <w:lang w:val="es-ES"/>
              </w:rPr>
            </w:pPr>
          </w:p>
        </w:tc>
        <w:tc>
          <w:tcPr>
            <w:tcW w:w="1660" w:type="dxa"/>
            <w:gridSpan w:val="2"/>
            <w:tcBorders>
              <w:top w:val="nil"/>
              <w:left w:val="nil"/>
              <w:bottom w:val="single" w:sz="4" w:space="0" w:color="auto"/>
              <w:right w:val="single" w:sz="4" w:space="0" w:color="auto"/>
            </w:tcBorders>
            <w:shd w:val="clear" w:color="000000" w:fill="CCFFCC"/>
            <w:vAlign w:val="center"/>
            <w:hideMark/>
          </w:tcPr>
          <w:p w:rsidR="005B1077" w:rsidRPr="005B1077" w:rsidRDefault="005B1077" w:rsidP="005B1077">
            <w:pPr>
              <w:jc w:val="center"/>
              <w:rPr>
                <w:rFonts w:ascii="Lucida Bright" w:hAnsi="Lucida Bright" w:cs="Calibri"/>
                <w:b/>
                <w:bCs/>
                <w:sz w:val="16"/>
                <w:szCs w:val="16"/>
                <w:lang w:val="es-ES"/>
              </w:rPr>
            </w:pPr>
            <w:r w:rsidRPr="005B1077">
              <w:rPr>
                <w:rFonts w:ascii="Lucida Bright" w:hAnsi="Lucida Bright" w:cs="Calibri"/>
                <w:b/>
                <w:bCs/>
                <w:sz w:val="16"/>
                <w:szCs w:val="16"/>
                <w:lang w:val="es-ES"/>
              </w:rPr>
              <w:t>2023</w:t>
            </w:r>
          </w:p>
        </w:tc>
        <w:tc>
          <w:tcPr>
            <w:tcW w:w="1660" w:type="dxa"/>
            <w:gridSpan w:val="2"/>
            <w:tcBorders>
              <w:top w:val="nil"/>
              <w:left w:val="nil"/>
              <w:bottom w:val="single" w:sz="4" w:space="0" w:color="auto"/>
              <w:right w:val="single" w:sz="4" w:space="0" w:color="auto"/>
            </w:tcBorders>
            <w:shd w:val="clear" w:color="000000" w:fill="CCFFCC"/>
            <w:vAlign w:val="center"/>
            <w:hideMark/>
          </w:tcPr>
          <w:p w:rsidR="005B1077" w:rsidRPr="005B1077" w:rsidRDefault="005B1077" w:rsidP="005B1077">
            <w:pPr>
              <w:jc w:val="center"/>
              <w:rPr>
                <w:rFonts w:ascii="Lucida Bright" w:hAnsi="Lucida Bright" w:cs="Calibri"/>
                <w:b/>
                <w:bCs/>
                <w:sz w:val="16"/>
                <w:szCs w:val="16"/>
                <w:lang w:val="es-ES"/>
              </w:rPr>
            </w:pPr>
            <w:r w:rsidRPr="005B1077">
              <w:rPr>
                <w:rFonts w:ascii="Lucida Bright" w:hAnsi="Lucida Bright" w:cs="Calibri"/>
                <w:b/>
                <w:bCs/>
                <w:sz w:val="16"/>
                <w:szCs w:val="16"/>
                <w:lang w:val="es-ES"/>
              </w:rPr>
              <w:t>2022</w:t>
            </w:r>
          </w:p>
        </w:tc>
      </w:tr>
      <w:tr w:rsidR="005B1077" w:rsidRPr="005B1077" w:rsidTr="005B1077">
        <w:trPr>
          <w:gridAfter w:val="1"/>
          <w:wAfter w:w="48" w:type="dxa"/>
          <w:trHeight w:val="300"/>
        </w:trPr>
        <w:tc>
          <w:tcPr>
            <w:tcW w:w="438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ind w:firstLineChars="100" w:firstLine="141"/>
              <w:rPr>
                <w:rFonts w:ascii="Lucida Bright" w:hAnsi="Lucida Bright" w:cs="Calibri"/>
                <w:b/>
                <w:bCs/>
                <w:sz w:val="14"/>
                <w:szCs w:val="14"/>
                <w:lang w:val="es-ES"/>
              </w:rPr>
            </w:pPr>
            <w:r w:rsidRPr="005B1077">
              <w:rPr>
                <w:rFonts w:ascii="Lucida Bright" w:hAnsi="Lucida Bright" w:cs="Calibri"/>
                <w:b/>
                <w:bCs/>
                <w:sz w:val="14"/>
                <w:szCs w:val="14"/>
                <w:lang w:val="es-ES"/>
              </w:rPr>
              <w:t>5. Otros ingresos de explotación</w:t>
            </w:r>
          </w:p>
        </w:tc>
        <w:tc>
          <w:tcPr>
            <w:tcW w:w="1660" w:type="dxa"/>
            <w:gridSpan w:val="2"/>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60" w:type="dxa"/>
            <w:gridSpan w:val="2"/>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3.812,07  </w:t>
            </w:r>
          </w:p>
        </w:tc>
      </w:tr>
      <w:tr w:rsidR="005B1077" w:rsidRPr="005B1077" w:rsidTr="005B1077">
        <w:trPr>
          <w:gridAfter w:val="1"/>
          <w:wAfter w:w="48" w:type="dxa"/>
          <w:trHeight w:val="300"/>
        </w:trPr>
        <w:tc>
          <w:tcPr>
            <w:tcW w:w="4380" w:type="dxa"/>
            <w:tcBorders>
              <w:top w:val="nil"/>
              <w:left w:val="single" w:sz="4" w:space="0" w:color="auto"/>
              <w:bottom w:val="nil"/>
              <w:right w:val="single" w:sz="4" w:space="0" w:color="auto"/>
            </w:tcBorders>
            <w:shd w:val="clear" w:color="auto" w:fill="auto"/>
            <w:noWrap/>
            <w:vAlign w:val="bottom"/>
            <w:hideMark/>
          </w:tcPr>
          <w:p w:rsidR="005B1077" w:rsidRPr="005B1077" w:rsidRDefault="005B1077" w:rsidP="005B1077">
            <w:pPr>
              <w:ind w:firstLineChars="200" w:firstLine="280"/>
              <w:rPr>
                <w:rFonts w:ascii="Lucida Bright" w:hAnsi="Lucida Bright" w:cs="Calibri"/>
                <w:sz w:val="14"/>
                <w:szCs w:val="14"/>
                <w:lang w:val="es-ES"/>
              </w:rPr>
            </w:pPr>
            <w:r w:rsidRPr="005B1077">
              <w:rPr>
                <w:rFonts w:ascii="Lucida Bright" w:hAnsi="Lucida Bright" w:cs="Calibri"/>
                <w:sz w:val="14"/>
                <w:szCs w:val="14"/>
                <w:lang w:val="es-ES"/>
              </w:rPr>
              <w:t>a) Ingresos accesorios y otros de gestión corriente</w:t>
            </w:r>
          </w:p>
        </w:tc>
        <w:tc>
          <w:tcPr>
            <w:tcW w:w="1660" w:type="dxa"/>
            <w:gridSpan w:val="2"/>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  </w:t>
            </w:r>
          </w:p>
        </w:tc>
        <w:tc>
          <w:tcPr>
            <w:tcW w:w="1660" w:type="dxa"/>
            <w:gridSpan w:val="2"/>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3.812,07  </w:t>
            </w:r>
          </w:p>
        </w:tc>
      </w:tr>
      <w:tr w:rsidR="005B1077" w:rsidRPr="005B1077" w:rsidTr="005B1077">
        <w:trPr>
          <w:gridAfter w:val="1"/>
          <w:wAfter w:w="48" w:type="dxa"/>
          <w:trHeight w:val="300"/>
        </w:trPr>
        <w:tc>
          <w:tcPr>
            <w:tcW w:w="438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center"/>
              <w:rPr>
                <w:rFonts w:ascii="Lucida Bright" w:hAnsi="Lucida Bright" w:cs="Calibri"/>
                <w:b/>
                <w:bCs/>
                <w:sz w:val="18"/>
                <w:szCs w:val="18"/>
                <w:lang w:val="es-ES"/>
              </w:rPr>
            </w:pPr>
            <w:r w:rsidRPr="005B1077">
              <w:rPr>
                <w:rFonts w:ascii="Lucida Bright" w:hAnsi="Lucida Bright" w:cs="Calibri"/>
                <w:b/>
                <w:bCs/>
                <w:sz w:val="18"/>
                <w:szCs w:val="18"/>
                <w:lang w:val="es-ES"/>
              </w:rPr>
              <w:t> </w:t>
            </w:r>
          </w:p>
        </w:tc>
        <w:tc>
          <w:tcPr>
            <w:tcW w:w="1660" w:type="dxa"/>
            <w:gridSpan w:val="2"/>
            <w:tcBorders>
              <w:top w:val="nil"/>
              <w:left w:val="nil"/>
              <w:bottom w:val="nil"/>
              <w:right w:val="single" w:sz="4" w:space="0" w:color="auto"/>
            </w:tcBorders>
            <w:shd w:val="clear" w:color="auto" w:fill="auto"/>
            <w:vAlign w:val="center"/>
            <w:hideMark/>
          </w:tcPr>
          <w:p w:rsidR="005B1077" w:rsidRPr="005B1077" w:rsidRDefault="005B1077" w:rsidP="005B1077">
            <w:pPr>
              <w:jc w:val="center"/>
              <w:rPr>
                <w:rFonts w:ascii="Lucida Bright" w:hAnsi="Lucida Bright" w:cs="Calibri"/>
                <w:b/>
                <w:bCs/>
                <w:sz w:val="16"/>
                <w:szCs w:val="16"/>
                <w:lang w:val="es-ES"/>
              </w:rPr>
            </w:pPr>
            <w:r w:rsidRPr="005B1077">
              <w:rPr>
                <w:rFonts w:ascii="Lucida Bright" w:hAnsi="Lucida Bright" w:cs="Calibri"/>
                <w:b/>
                <w:bCs/>
                <w:sz w:val="16"/>
                <w:szCs w:val="16"/>
                <w:lang w:val="es-ES"/>
              </w:rPr>
              <w:t> </w:t>
            </w:r>
          </w:p>
        </w:tc>
        <w:tc>
          <w:tcPr>
            <w:tcW w:w="1660" w:type="dxa"/>
            <w:gridSpan w:val="2"/>
            <w:tcBorders>
              <w:top w:val="nil"/>
              <w:left w:val="nil"/>
              <w:bottom w:val="nil"/>
              <w:right w:val="single" w:sz="4" w:space="0" w:color="auto"/>
            </w:tcBorders>
            <w:shd w:val="clear" w:color="auto" w:fill="auto"/>
            <w:vAlign w:val="center"/>
            <w:hideMark/>
          </w:tcPr>
          <w:p w:rsidR="005B1077" w:rsidRPr="005B1077" w:rsidRDefault="005B1077" w:rsidP="005B1077">
            <w:pPr>
              <w:jc w:val="center"/>
              <w:rPr>
                <w:rFonts w:ascii="Lucida Bright" w:hAnsi="Lucida Bright" w:cs="Calibri"/>
                <w:b/>
                <w:bCs/>
                <w:sz w:val="16"/>
                <w:szCs w:val="16"/>
                <w:lang w:val="es-ES"/>
              </w:rPr>
            </w:pPr>
            <w:r w:rsidRPr="005B1077">
              <w:rPr>
                <w:rFonts w:ascii="Lucida Bright" w:hAnsi="Lucida Bright" w:cs="Calibri"/>
                <w:b/>
                <w:bCs/>
                <w:sz w:val="16"/>
                <w:szCs w:val="16"/>
                <w:lang w:val="es-ES"/>
              </w:rPr>
              <w:t> </w:t>
            </w:r>
          </w:p>
        </w:tc>
      </w:tr>
      <w:tr w:rsidR="005B1077" w:rsidRPr="005B1077" w:rsidTr="005B1077">
        <w:trPr>
          <w:gridAfter w:val="1"/>
          <w:wAfter w:w="48" w:type="dxa"/>
          <w:trHeight w:val="360"/>
        </w:trPr>
        <w:tc>
          <w:tcPr>
            <w:tcW w:w="4380" w:type="dxa"/>
            <w:tcBorders>
              <w:top w:val="nil"/>
              <w:left w:val="single" w:sz="4" w:space="0" w:color="auto"/>
              <w:bottom w:val="nil"/>
              <w:right w:val="single" w:sz="4" w:space="0" w:color="auto"/>
            </w:tcBorders>
            <w:shd w:val="clear" w:color="000000" w:fill="CCFFCC"/>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xml:space="preserve">  A.1. RESULTADO DE EXPLOTACIÓN (1+3+5+6+7+8+9+10+11+12)</w:t>
            </w:r>
          </w:p>
        </w:tc>
        <w:tc>
          <w:tcPr>
            <w:tcW w:w="1660" w:type="dxa"/>
            <w:gridSpan w:val="2"/>
            <w:tcBorders>
              <w:top w:val="nil"/>
              <w:left w:val="nil"/>
              <w:bottom w:val="nil"/>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60" w:type="dxa"/>
            <w:gridSpan w:val="2"/>
            <w:tcBorders>
              <w:top w:val="nil"/>
              <w:left w:val="nil"/>
              <w:bottom w:val="nil"/>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3.812,07  </w:t>
            </w:r>
          </w:p>
        </w:tc>
      </w:tr>
      <w:tr w:rsidR="005B1077" w:rsidRPr="005B1077" w:rsidTr="005B1077">
        <w:trPr>
          <w:gridAfter w:val="1"/>
          <w:wAfter w:w="48" w:type="dxa"/>
          <w:trHeight w:val="300"/>
        </w:trPr>
        <w:tc>
          <w:tcPr>
            <w:tcW w:w="438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c>
          <w:tcPr>
            <w:tcW w:w="1660" w:type="dxa"/>
            <w:gridSpan w:val="2"/>
            <w:tcBorders>
              <w:top w:val="nil"/>
              <w:left w:val="nil"/>
              <w:bottom w:val="nil"/>
              <w:right w:val="single" w:sz="4" w:space="0" w:color="auto"/>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c>
          <w:tcPr>
            <w:tcW w:w="1660" w:type="dxa"/>
            <w:gridSpan w:val="2"/>
            <w:tcBorders>
              <w:top w:val="nil"/>
              <w:left w:val="nil"/>
              <w:bottom w:val="nil"/>
              <w:right w:val="single" w:sz="4" w:space="0" w:color="auto"/>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r>
      <w:tr w:rsidR="005B1077" w:rsidRPr="005B1077" w:rsidTr="005B1077">
        <w:trPr>
          <w:gridAfter w:val="1"/>
          <w:wAfter w:w="48" w:type="dxa"/>
          <w:trHeight w:val="300"/>
        </w:trPr>
        <w:tc>
          <w:tcPr>
            <w:tcW w:w="4380" w:type="dxa"/>
            <w:tcBorders>
              <w:top w:val="nil"/>
              <w:left w:val="single" w:sz="4" w:space="0" w:color="auto"/>
              <w:bottom w:val="nil"/>
              <w:right w:val="single" w:sz="4" w:space="0" w:color="auto"/>
            </w:tcBorders>
            <w:shd w:val="clear" w:color="000000" w:fill="CCFFCC"/>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xml:space="preserve">  A.3. RESULTADO ANTES DE IMPUESTOS (A.1+A.2)</w:t>
            </w:r>
          </w:p>
        </w:tc>
        <w:tc>
          <w:tcPr>
            <w:tcW w:w="1660" w:type="dxa"/>
            <w:gridSpan w:val="2"/>
            <w:tcBorders>
              <w:top w:val="nil"/>
              <w:left w:val="nil"/>
              <w:bottom w:val="nil"/>
              <w:right w:val="single" w:sz="4" w:space="0" w:color="auto"/>
            </w:tcBorders>
            <w:shd w:val="clear" w:color="000000" w:fill="CCFFCC"/>
            <w:noWrap/>
            <w:vAlign w:val="bottom"/>
            <w:hideMark/>
          </w:tcPr>
          <w:p w:rsidR="005B1077" w:rsidRPr="005B1077" w:rsidRDefault="005B1077" w:rsidP="005B1077">
            <w:pPr>
              <w:jc w:val="right"/>
              <w:rPr>
                <w:rFonts w:ascii="Lucida Bright" w:hAnsi="Lucida Bright" w:cs="Calibri"/>
                <w:b/>
                <w:bCs/>
                <w:color w:val="000000"/>
                <w:sz w:val="14"/>
                <w:szCs w:val="14"/>
                <w:lang w:val="es-ES"/>
              </w:rPr>
            </w:pPr>
            <w:r w:rsidRPr="005B1077">
              <w:rPr>
                <w:rFonts w:ascii="Lucida Bright" w:hAnsi="Lucida Bright" w:cs="Calibri"/>
                <w:b/>
                <w:bCs/>
                <w:color w:val="000000"/>
                <w:sz w:val="14"/>
                <w:szCs w:val="14"/>
                <w:lang w:val="es-ES"/>
              </w:rPr>
              <w:t xml:space="preserve">-  </w:t>
            </w:r>
          </w:p>
        </w:tc>
        <w:tc>
          <w:tcPr>
            <w:tcW w:w="1660" w:type="dxa"/>
            <w:gridSpan w:val="2"/>
            <w:tcBorders>
              <w:top w:val="nil"/>
              <w:left w:val="nil"/>
              <w:bottom w:val="nil"/>
              <w:right w:val="single" w:sz="4" w:space="0" w:color="auto"/>
            </w:tcBorders>
            <w:shd w:val="clear" w:color="000000" w:fill="CCFFCC"/>
            <w:noWrap/>
            <w:vAlign w:val="bottom"/>
            <w:hideMark/>
          </w:tcPr>
          <w:p w:rsidR="005B1077" w:rsidRPr="005B1077" w:rsidRDefault="005B1077" w:rsidP="005B1077">
            <w:pPr>
              <w:jc w:val="right"/>
              <w:rPr>
                <w:rFonts w:ascii="Lucida Bright" w:hAnsi="Lucida Bright" w:cs="Calibri"/>
                <w:b/>
                <w:bCs/>
                <w:color w:val="000000"/>
                <w:sz w:val="14"/>
                <w:szCs w:val="14"/>
                <w:lang w:val="es-ES"/>
              </w:rPr>
            </w:pPr>
            <w:r w:rsidRPr="005B1077">
              <w:rPr>
                <w:rFonts w:ascii="Lucida Bright" w:hAnsi="Lucida Bright" w:cs="Calibri"/>
                <w:b/>
                <w:bCs/>
                <w:color w:val="000000"/>
                <w:sz w:val="14"/>
                <w:szCs w:val="14"/>
                <w:lang w:val="es-ES"/>
              </w:rPr>
              <w:t xml:space="preserve">3.812,07  </w:t>
            </w:r>
          </w:p>
        </w:tc>
      </w:tr>
      <w:tr w:rsidR="005B1077" w:rsidRPr="005B1077" w:rsidTr="005B1077">
        <w:trPr>
          <w:gridAfter w:val="1"/>
          <w:wAfter w:w="48" w:type="dxa"/>
          <w:trHeight w:val="300"/>
        </w:trPr>
        <w:tc>
          <w:tcPr>
            <w:tcW w:w="438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c>
          <w:tcPr>
            <w:tcW w:w="1660" w:type="dxa"/>
            <w:gridSpan w:val="2"/>
            <w:tcBorders>
              <w:top w:val="nil"/>
              <w:left w:val="nil"/>
              <w:bottom w:val="nil"/>
              <w:right w:val="single" w:sz="4" w:space="0" w:color="auto"/>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c>
          <w:tcPr>
            <w:tcW w:w="1660" w:type="dxa"/>
            <w:gridSpan w:val="2"/>
            <w:tcBorders>
              <w:top w:val="nil"/>
              <w:left w:val="nil"/>
              <w:bottom w:val="nil"/>
              <w:right w:val="single" w:sz="4" w:space="0" w:color="auto"/>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w:t>
            </w:r>
          </w:p>
        </w:tc>
      </w:tr>
      <w:tr w:rsidR="005B1077" w:rsidRPr="005B1077" w:rsidTr="005B1077">
        <w:trPr>
          <w:gridAfter w:val="1"/>
          <w:wAfter w:w="48" w:type="dxa"/>
          <w:trHeight w:val="300"/>
        </w:trPr>
        <w:tc>
          <w:tcPr>
            <w:tcW w:w="4380" w:type="dxa"/>
            <w:tcBorders>
              <w:top w:val="nil"/>
              <w:left w:val="single" w:sz="4" w:space="0" w:color="auto"/>
              <w:bottom w:val="single" w:sz="4" w:space="0" w:color="auto"/>
              <w:right w:val="single" w:sz="4" w:space="0" w:color="auto"/>
            </w:tcBorders>
            <w:shd w:val="clear" w:color="000000" w:fill="CCFFCC"/>
            <w:noWrap/>
            <w:vAlign w:val="bottom"/>
            <w:hideMark/>
          </w:tcPr>
          <w:p w:rsidR="005B1077" w:rsidRPr="005B1077" w:rsidRDefault="005B1077" w:rsidP="005B1077">
            <w:pPr>
              <w:rPr>
                <w:rFonts w:ascii="Lucida Bright" w:hAnsi="Lucida Bright" w:cs="Calibri"/>
                <w:b/>
                <w:bCs/>
                <w:color w:val="000000"/>
                <w:sz w:val="14"/>
                <w:szCs w:val="14"/>
                <w:lang w:val="es-ES"/>
              </w:rPr>
            </w:pPr>
            <w:r w:rsidRPr="005B1077">
              <w:rPr>
                <w:rFonts w:ascii="Lucida Bright" w:hAnsi="Lucida Bright" w:cs="Calibri"/>
                <w:b/>
                <w:bCs/>
                <w:color w:val="000000"/>
                <w:sz w:val="14"/>
                <w:szCs w:val="14"/>
                <w:lang w:val="es-ES"/>
              </w:rPr>
              <w:t xml:space="preserve">  A.4. RESULTADO DEL EJERCICIO (A.3+17)</w:t>
            </w:r>
          </w:p>
        </w:tc>
        <w:tc>
          <w:tcPr>
            <w:tcW w:w="1660" w:type="dxa"/>
            <w:gridSpan w:val="2"/>
            <w:tcBorders>
              <w:top w:val="nil"/>
              <w:left w:val="nil"/>
              <w:bottom w:val="single" w:sz="4" w:space="0" w:color="auto"/>
              <w:right w:val="single" w:sz="4" w:space="0" w:color="auto"/>
            </w:tcBorders>
            <w:shd w:val="clear" w:color="000000" w:fill="CCFFCC"/>
            <w:noWrap/>
            <w:vAlign w:val="bottom"/>
            <w:hideMark/>
          </w:tcPr>
          <w:p w:rsidR="005B1077" w:rsidRPr="005B1077" w:rsidRDefault="005B1077" w:rsidP="005B1077">
            <w:pPr>
              <w:jc w:val="right"/>
              <w:rPr>
                <w:rFonts w:ascii="Lucida Bright" w:hAnsi="Lucida Bright" w:cs="Calibri"/>
                <w:b/>
                <w:bCs/>
                <w:color w:val="000000"/>
                <w:sz w:val="14"/>
                <w:szCs w:val="14"/>
                <w:lang w:val="es-ES"/>
              </w:rPr>
            </w:pPr>
            <w:r w:rsidRPr="005B1077">
              <w:rPr>
                <w:rFonts w:ascii="Lucida Bright" w:hAnsi="Lucida Bright" w:cs="Calibri"/>
                <w:b/>
                <w:bCs/>
                <w:color w:val="000000"/>
                <w:sz w:val="14"/>
                <w:szCs w:val="14"/>
                <w:lang w:val="es-ES"/>
              </w:rPr>
              <w:t xml:space="preserve">-  </w:t>
            </w:r>
          </w:p>
        </w:tc>
        <w:tc>
          <w:tcPr>
            <w:tcW w:w="1660" w:type="dxa"/>
            <w:gridSpan w:val="2"/>
            <w:tcBorders>
              <w:top w:val="nil"/>
              <w:left w:val="nil"/>
              <w:bottom w:val="single" w:sz="4" w:space="0" w:color="auto"/>
              <w:right w:val="single" w:sz="4" w:space="0" w:color="auto"/>
            </w:tcBorders>
            <w:shd w:val="clear" w:color="000000" w:fill="CCFFCC"/>
            <w:noWrap/>
            <w:vAlign w:val="bottom"/>
            <w:hideMark/>
          </w:tcPr>
          <w:p w:rsidR="005B1077" w:rsidRPr="005B1077" w:rsidRDefault="005B1077" w:rsidP="005B1077">
            <w:pPr>
              <w:jc w:val="right"/>
              <w:rPr>
                <w:rFonts w:ascii="Lucida Bright" w:hAnsi="Lucida Bright" w:cs="Calibri"/>
                <w:b/>
                <w:bCs/>
                <w:color w:val="000000"/>
                <w:sz w:val="14"/>
                <w:szCs w:val="14"/>
                <w:lang w:val="es-ES"/>
              </w:rPr>
            </w:pPr>
            <w:r w:rsidRPr="005B1077">
              <w:rPr>
                <w:rFonts w:ascii="Lucida Bright" w:hAnsi="Lucida Bright" w:cs="Calibri"/>
                <w:b/>
                <w:bCs/>
                <w:color w:val="000000"/>
                <w:sz w:val="14"/>
                <w:szCs w:val="14"/>
                <w:lang w:val="es-ES"/>
              </w:rPr>
              <w:t xml:space="preserve">3.812,07  </w:t>
            </w:r>
          </w:p>
        </w:tc>
      </w:tr>
    </w:tbl>
    <w:p w:rsidR="005B1077" w:rsidRDefault="005B1077" w:rsidP="00F333F2">
      <w:pPr>
        <w:pStyle w:val="Prrafodelista"/>
        <w:spacing w:before="100" w:after="100"/>
        <w:ind w:left="646"/>
        <w:jc w:val="both"/>
        <w:rPr>
          <w:rFonts w:ascii="NewBaskerville" w:hAnsi="NewBaskerville"/>
        </w:rPr>
      </w:pPr>
    </w:p>
    <w:tbl>
      <w:tblPr>
        <w:tblW w:w="7700" w:type="dxa"/>
        <w:tblInd w:w="70" w:type="dxa"/>
        <w:tblCellMar>
          <w:left w:w="70" w:type="dxa"/>
          <w:right w:w="70" w:type="dxa"/>
        </w:tblCellMar>
        <w:tblLook w:val="04A0" w:firstRow="1" w:lastRow="0" w:firstColumn="1" w:lastColumn="0" w:noHBand="0" w:noVBand="1"/>
      </w:tblPr>
      <w:tblGrid>
        <w:gridCol w:w="4380"/>
        <w:gridCol w:w="1660"/>
        <w:gridCol w:w="1660"/>
      </w:tblGrid>
      <w:tr w:rsidR="005B1077" w:rsidRPr="005B1077" w:rsidTr="005B1077">
        <w:trPr>
          <w:trHeight w:val="300"/>
        </w:trPr>
        <w:tc>
          <w:tcPr>
            <w:tcW w:w="7700" w:type="dxa"/>
            <w:gridSpan w:val="3"/>
            <w:vMerge w:val="restart"/>
            <w:tcBorders>
              <w:top w:val="nil"/>
              <w:left w:val="nil"/>
              <w:bottom w:val="single" w:sz="4" w:space="0" w:color="000000"/>
              <w:right w:val="nil"/>
            </w:tcBorders>
            <w:shd w:val="clear" w:color="000000" w:fill="FFFFFF"/>
            <w:vAlign w:val="bottom"/>
            <w:hideMark/>
          </w:tcPr>
          <w:p w:rsidR="005B1077" w:rsidRPr="005B1077" w:rsidRDefault="005B1077" w:rsidP="005B1077">
            <w:pPr>
              <w:rPr>
                <w:rFonts w:ascii="Lucida Bright" w:hAnsi="Lucida Bright" w:cs="Calibri"/>
                <w:b/>
                <w:bCs/>
                <w:lang w:val="es-ES"/>
              </w:rPr>
            </w:pPr>
            <w:r w:rsidRPr="005B1077">
              <w:rPr>
                <w:rFonts w:ascii="Lucida Bright" w:hAnsi="Lucida Bright" w:cs="Calibri"/>
                <w:b/>
                <w:bCs/>
                <w:lang w:val="es-ES"/>
              </w:rPr>
              <w:t xml:space="preserve">Estado de flujos de efectivo correspondiente al ejercicio terminado el       31-12-23  </w:t>
            </w:r>
            <w:r w:rsidRPr="005B1077">
              <w:rPr>
                <w:rFonts w:ascii="Lucida Bright" w:hAnsi="Lucida Bright" w:cs="Calibri"/>
                <w:sz w:val="14"/>
                <w:szCs w:val="14"/>
                <w:lang w:val="es-ES"/>
              </w:rPr>
              <w:t>(en euros)</w:t>
            </w:r>
          </w:p>
        </w:tc>
      </w:tr>
      <w:tr w:rsidR="005B1077" w:rsidRPr="005B1077" w:rsidTr="005B1077">
        <w:trPr>
          <w:trHeight w:val="300"/>
        </w:trPr>
        <w:tc>
          <w:tcPr>
            <w:tcW w:w="7700" w:type="dxa"/>
            <w:gridSpan w:val="3"/>
            <w:vMerge/>
            <w:tcBorders>
              <w:top w:val="nil"/>
              <w:left w:val="nil"/>
              <w:bottom w:val="single" w:sz="4" w:space="0" w:color="000000"/>
              <w:right w:val="nil"/>
            </w:tcBorders>
            <w:vAlign w:val="center"/>
            <w:hideMark/>
          </w:tcPr>
          <w:p w:rsidR="005B1077" w:rsidRPr="005B1077" w:rsidRDefault="005B1077" w:rsidP="005B1077">
            <w:pPr>
              <w:rPr>
                <w:rFonts w:ascii="Lucida Bright" w:hAnsi="Lucida Bright" w:cs="Calibri"/>
                <w:b/>
                <w:bCs/>
                <w:lang w:val="es-ES"/>
              </w:rPr>
            </w:pPr>
          </w:p>
        </w:tc>
      </w:tr>
      <w:tr w:rsidR="005B1077" w:rsidRPr="005B1077" w:rsidTr="005B1077">
        <w:trPr>
          <w:trHeight w:val="300"/>
        </w:trPr>
        <w:tc>
          <w:tcPr>
            <w:tcW w:w="4380" w:type="dxa"/>
            <w:tcBorders>
              <w:top w:val="nil"/>
              <w:left w:val="single" w:sz="4" w:space="0" w:color="auto"/>
              <w:bottom w:val="single" w:sz="4" w:space="0" w:color="auto"/>
              <w:right w:val="nil"/>
            </w:tcBorders>
            <w:shd w:val="clear" w:color="000000" w:fill="CCFFCC"/>
            <w:noWrap/>
            <w:vAlign w:val="center"/>
            <w:hideMark/>
          </w:tcPr>
          <w:p w:rsidR="005B1077" w:rsidRPr="005B1077" w:rsidRDefault="005B1077" w:rsidP="005B1077">
            <w:pPr>
              <w:jc w:val="center"/>
              <w:rPr>
                <w:rFonts w:ascii="Lucida Bright" w:hAnsi="Lucida Bright" w:cs="Calibri"/>
                <w:b/>
                <w:bCs/>
                <w:sz w:val="14"/>
                <w:szCs w:val="14"/>
                <w:lang w:val="es-ES"/>
              </w:rPr>
            </w:pPr>
            <w:r w:rsidRPr="005B1077">
              <w:rPr>
                <w:rFonts w:ascii="Lucida Bright" w:hAnsi="Lucida Bright" w:cs="Calibri"/>
                <w:b/>
                <w:bCs/>
                <w:sz w:val="14"/>
                <w:szCs w:val="14"/>
                <w:lang w:val="es-ES"/>
              </w:rPr>
              <w:t>CONCEPTO</w:t>
            </w:r>
          </w:p>
        </w:tc>
        <w:tc>
          <w:tcPr>
            <w:tcW w:w="1660" w:type="dxa"/>
            <w:tcBorders>
              <w:top w:val="nil"/>
              <w:left w:val="single" w:sz="4" w:space="0" w:color="auto"/>
              <w:bottom w:val="single" w:sz="4" w:space="0" w:color="auto"/>
              <w:right w:val="single" w:sz="4" w:space="0" w:color="auto"/>
            </w:tcBorders>
            <w:shd w:val="clear" w:color="000000" w:fill="CCFFCC"/>
            <w:vAlign w:val="center"/>
            <w:hideMark/>
          </w:tcPr>
          <w:p w:rsidR="005B1077" w:rsidRPr="005B1077" w:rsidRDefault="005B1077" w:rsidP="005B1077">
            <w:pPr>
              <w:jc w:val="center"/>
              <w:rPr>
                <w:rFonts w:ascii="Lucida Bright" w:hAnsi="Lucida Bright" w:cs="Calibri"/>
                <w:b/>
                <w:bCs/>
                <w:sz w:val="16"/>
                <w:szCs w:val="16"/>
                <w:lang w:val="es-ES"/>
              </w:rPr>
            </w:pPr>
            <w:r w:rsidRPr="005B1077">
              <w:rPr>
                <w:rFonts w:ascii="Lucida Bright" w:hAnsi="Lucida Bright" w:cs="Calibri"/>
                <w:b/>
                <w:bCs/>
                <w:sz w:val="16"/>
                <w:szCs w:val="16"/>
                <w:lang w:val="es-ES"/>
              </w:rPr>
              <w:t>2023</w:t>
            </w:r>
          </w:p>
        </w:tc>
        <w:tc>
          <w:tcPr>
            <w:tcW w:w="1660" w:type="dxa"/>
            <w:tcBorders>
              <w:top w:val="nil"/>
              <w:left w:val="nil"/>
              <w:bottom w:val="single" w:sz="4" w:space="0" w:color="auto"/>
              <w:right w:val="single" w:sz="4" w:space="0" w:color="auto"/>
            </w:tcBorders>
            <w:shd w:val="clear" w:color="000000" w:fill="CCFFCC"/>
            <w:vAlign w:val="center"/>
            <w:hideMark/>
          </w:tcPr>
          <w:p w:rsidR="005B1077" w:rsidRPr="005B1077" w:rsidRDefault="005B1077" w:rsidP="005B1077">
            <w:pPr>
              <w:jc w:val="center"/>
              <w:rPr>
                <w:rFonts w:ascii="Lucida Bright" w:hAnsi="Lucida Bright" w:cs="Calibri"/>
                <w:b/>
                <w:bCs/>
                <w:sz w:val="16"/>
                <w:szCs w:val="16"/>
                <w:lang w:val="es-ES"/>
              </w:rPr>
            </w:pPr>
            <w:r w:rsidRPr="005B1077">
              <w:rPr>
                <w:rFonts w:ascii="Lucida Bright" w:hAnsi="Lucida Bright" w:cs="Calibri"/>
                <w:b/>
                <w:bCs/>
                <w:sz w:val="16"/>
                <w:szCs w:val="16"/>
                <w:lang w:val="es-ES"/>
              </w:rPr>
              <w:t>2022</w:t>
            </w:r>
          </w:p>
        </w:tc>
      </w:tr>
      <w:tr w:rsidR="005B1077" w:rsidRPr="005B1077" w:rsidTr="005B1077">
        <w:trPr>
          <w:trHeight w:val="360"/>
        </w:trPr>
        <w:tc>
          <w:tcPr>
            <w:tcW w:w="4380" w:type="dxa"/>
            <w:tcBorders>
              <w:top w:val="nil"/>
              <w:left w:val="single" w:sz="4" w:space="0" w:color="auto"/>
              <w:bottom w:val="nil"/>
              <w:right w:val="nil"/>
            </w:tcBorders>
            <w:shd w:val="clear" w:color="000000" w:fill="CCFFCC"/>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xml:space="preserve"> A) FLUJOS DE EFECTIVO DE LAS ACTIVIDADES DE EXPLOTACIÓN (+/-1+/-2+/-3+/-4)</w:t>
            </w:r>
          </w:p>
        </w:tc>
        <w:tc>
          <w:tcPr>
            <w:tcW w:w="1660" w:type="dxa"/>
            <w:tcBorders>
              <w:top w:val="nil"/>
              <w:left w:val="single" w:sz="4" w:space="0" w:color="auto"/>
              <w:bottom w:val="nil"/>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60" w:type="dxa"/>
            <w:tcBorders>
              <w:top w:val="nil"/>
              <w:left w:val="nil"/>
              <w:bottom w:val="nil"/>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r>
      <w:tr w:rsidR="005B1077" w:rsidRPr="005B1077" w:rsidTr="005B1077">
        <w:trPr>
          <w:trHeight w:val="300"/>
        </w:trPr>
        <w:tc>
          <w:tcPr>
            <w:tcW w:w="4380" w:type="dxa"/>
            <w:tcBorders>
              <w:top w:val="nil"/>
              <w:left w:val="single" w:sz="4" w:space="0" w:color="auto"/>
              <w:bottom w:val="nil"/>
              <w:right w:val="nil"/>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xml:space="preserve">      1. Resultado del ejercicio antes de impuestos</w:t>
            </w:r>
          </w:p>
        </w:tc>
        <w:tc>
          <w:tcPr>
            <w:tcW w:w="166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60" w:type="dxa"/>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3.812,07  </w:t>
            </w:r>
          </w:p>
        </w:tc>
      </w:tr>
      <w:tr w:rsidR="005B1077" w:rsidRPr="005B1077" w:rsidTr="005B1077">
        <w:trPr>
          <w:trHeight w:val="300"/>
        </w:trPr>
        <w:tc>
          <w:tcPr>
            <w:tcW w:w="4380" w:type="dxa"/>
            <w:tcBorders>
              <w:top w:val="nil"/>
              <w:left w:val="single" w:sz="4" w:space="0" w:color="auto"/>
              <w:bottom w:val="nil"/>
              <w:right w:val="nil"/>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xml:space="preserve">      2. Ajustes del resultado</w:t>
            </w:r>
          </w:p>
        </w:tc>
        <w:tc>
          <w:tcPr>
            <w:tcW w:w="166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60" w:type="dxa"/>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(28.792,88)  </w:t>
            </w:r>
          </w:p>
        </w:tc>
      </w:tr>
      <w:tr w:rsidR="005B1077" w:rsidRPr="005B1077" w:rsidTr="005B1077">
        <w:trPr>
          <w:trHeight w:val="300"/>
        </w:trPr>
        <w:tc>
          <w:tcPr>
            <w:tcW w:w="4380" w:type="dxa"/>
            <w:tcBorders>
              <w:top w:val="nil"/>
              <w:left w:val="single" w:sz="4" w:space="0" w:color="auto"/>
              <w:bottom w:val="nil"/>
              <w:right w:val="nil"/>
            </w:tcBorders>
            <w:shd w:val="clear" w:color="auto" w:fill="auto"/>
            <w:noWrap/>
            <w:vAlign w:val="center"/>
            <w:hideMark/>
          </w:tcPr>
          <w:p w:rsidR="005B1077" w:rsidRPr="005B1077" w:rsidRDefault="005B1077" w:rsidP="005B1077">
            <w:pPr>
              <w:rPr>
                <w:rFonts w:ascii="Lucida Bright" w:hAnsi="Lucida Bright" w:cs="Calibri"/>
                <w:sz w:val="14"/>
                <w:szCs w:val="14"/>
                <w:lang w:val="es-ES"/>
              </w:rPr>
            </w:pPr>
            <w:r w:rsidRPr="005B1077">
              <w:rPr>
                <w:rFonts w:ascii="Lucida Bright" w:hAnsi="Lucida Bright" w:cs="Calibri"/>
                <w:sz w:val="14"/>
                <w:szCs w:val="14"/>
                <w:lang w:val="es-ES"/>
              </w:rPr>
              <w:t xml:space="preserve">         l) Otros ingresos y gastos (+/-)</w:t>
            </w:r>
          </w:p>
        </w:tc>
        <w:tc>
          <w:tcPr>
            <w:tcW w:w="166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  </w:t>
            </w:r>
          </w:p>
        </w:tc>
        <w:tc>
          <w:tcPr>
            <w:tcW w:w="1660" w:type="dxa"/>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(28.792,88)  </w:t>
            </w:r>
          </w:p>
        </w:tc>
      </w:tr>
      <w:tr w:rsidR="005B1077" w:rsidRPr="005B1077" w:rsidTr="005B1077">
        <w:trPr>
          <w:trHeight w:val="300"/>
        </w:trPr>
        <w:tc>
          <w:tcPr>
            <w:tcW w:w="4380" w:type="dxa"/>
            <w:tcBorders>
              <w:top w:val="nil"/>
              <w:left w:val="single" w:sz="4" w:space="0" w:color="auto"/>
              <w:bottom w:val="nil"/>
              <w:right w:val="nil"/>
            </w:tcBorders>
            <w:shd w:val="clear" w:color="auto" w:fill="auto"/>
            <w:noWrap/>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xml:space="preserve">      3. Cambios en el capital corriente</w:t>
            </w:r>
          </w:p>
        </w:tc>
        <w:tc>
          <w:tcPr>
            <w:tcW w:w="166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60" w:type="dxa"/>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(3.812,07)  </w:t>
            </w:r>
          </w:p>
        </w:tc>
      </w:tr>
      <w:tr w:rsidR="005B1077" w:rsidRPr="005B1077" w:rsidTr="005B1077">
        <w:trPr>
          <w:trHeight w:val="300"/>
        </w:trPr>
        <w:tc>
          <w:tcPr>
            <w:tcW w:w="4380" w:type="dxa"/>
            <w:tcBorders>
              <w:top w:val="nil"/>
              <w:left w:val="single" w:sz="4" w:space="0" w:color="auto"/>
              <w:bottom w:val="nil"/>
              <w:right w:val="nil"/>
            </w:tcBorders>
            <w:shd w:val="clear" w:color="auto" w:fill="auto"/>
            <w:noWrap/>
            <w:vAlign w:val="center"/>
            <w:hideMark/>
          </w:tcPr>
          <w:p w:rsidR="005B1077" w:rsidRPr="005B1077" w:rsidRDefault="005B1077" w:rsidP="005B1077">
            <w:pPr>
              <w:rPr>
                <w:rFonts w:ascii="Lucida Bright" w:hAnsi="Lucida Bright" w:cs="Calibri"/>
                <w:sz w:val="14"/>
                <w:szCs w:val="14"/>
                <w:lang w:val="es-ES"/>
              </w:rPr>
            </w:pPr>
            <w:r w:rsidRPr="005B1077">
              <w:rPr>
                <w:rFonts w:ascii="Lucida Bright" w:hAnsi="Lucida Bright" w:cs="Calibri"/>
                <w:sz w:val="14"/>
                <w:szCs w:val="14"/>
                <w:lang w:val="es-ES"/>
              </w:rPr>
              <w:t xml:space="preserve">         e) Otros pasivos corrientes (+/-)</w:t>
            </w:r>
          </w:p>
        </w:tc>
        <w:tc>
          <w:tcPr>
            <w:tcW w:w="166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  </w:t>
            </w:r>
          </w:p>
        </w:tc>
        <w:tc>
          <w:tcPr>
            <w:tcW w:w="1660" w:type="dxa"/>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(3.812,07)  </w:t>
            </w:r>
          </w:p>
        </w:tc>
      </w:tr>
      <w:tr w:rsidR="005B1077" w:rsidRPr="005B1077" w:rsidTr="005B1077">
        <w:trPr>
          <w:trHeight w:val="360"/>
        </w:trPr>
        <w:tc>
          <w:tcPr>
            <w:tcW w:w="4380" w:type="dxa"/>
            <w:tcBorders>
              <w:top w:val="nil"/>
              <w:left w:val="single" w:sz="4" w:space="0" w:color="auto"/>
              <w:bottom w:val="nil"/>
              <w:right w:val="nil"/>
            </w:tcBorders>
            <w:shd w:val="clear" w:color="auto" w:fill="auto"/>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xml:space="preserve">      4. Otros flujos de efectivo de las actividades de explotación</w:t>
            </w:r>
          </w:p>
        </w:tc>
        <w:tc>
          <w:tcPr>
            <w:tcW w:w="166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60" w:type="dxa"/>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28.792,88  </w:t>
            </w:r>
          </w:p>
        </w:tc>
      </w:tr>
      <w:tr w:rsidR="005B1077" w:rsidRPr="005B1077" w:rsidTr="005B1077">
        <w:trPr>
          <w:trHeight w:val="300"/>
        </w:trPr>
        <w:tc>
          <w:tcPr>
            <w:tcW w:w="4380" w:type="dxa"/>
            <w:tcBorders>
              <w:top w:val="nil"/>
              <w:left w:val="single" w:sz="4" w:space="0" w:color="auto"/>
              <w:bottom w:val="nil"/>
              <w:right w:val="nil"/>
            </w:tcBorders>
            <w:shd w:val="clear" w:color="auto" w:fill="auto"/>
            <w:noWrap/>
            <w:vAlign w:val="center"/>
            <w:hideMark/>
          </w:tcPr>
          <w:p w:rsidR="005B1077" w:rsidRPr="005B1077" w:rsidRDefault="005B1077" w:rsidP="005B1077">
            <w:pPr>
              <w:rPr>
                <w:rFonts w:ascii="Lucida Bright" w:hAnsi="Lucida Bright" w:cs="Calibri"/>
                <w:sz w:val="14"/>
                <w:szCs w:val="14"/>
                <w:lang w:val="es-ES"/>
              </w:rPr>
            </w:pPr>
            <w:r w:rsidRPr="005B1077">
              <w:rPr>
                <w:rFonts w:ascii="Lucida Bright" w:hAnsi="Lucida Bright" w:cs="Calibri"/>
                <w:sz w:val="14"/>
                <w:szCs w:val="14"/>
                <w:lang w:val="es-ES"/>
              </w:rPr>
              <w:t xml:space="preserve">         c) Cobros de intereses (+)</w:t>
            </w:r>
          </w:p>
        </w:tc>
        <w:tc>
          <w:tcPr>
            <w:tcW w:w="166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  </w:t>
            </w:r>
          </w:p>
        </w:tc>
        <w:tc>
          <w:tcPr>
            <w:tcW w:w="1660" w:type="dxa"/>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(126.910,77)  </w:t>
            </w:r>
          </w:p>
        </w:tc>
      </w:tr>
      <w:tr w:rsidR="005B1077" w:rsidRPr="005B1077" w:rsidTr="005B1077">
        <w:trPr>
          <w:trHeight w:val="360"/>
        </w:trPr>
        <w:tc>
          <w:tcPr>
            <w:tcW w:w="4380" w:type="dxa"/>
            <w:tcBorders>
              <w:top w:val="nil"/>
              <w:left w:val="single" w:sz="4" w:space="0" w:color="auto"/>
              <w:bottom w:val="nil"/>
              <w:right w:val="nil"/>
            </w:tcBorders>
            <w:shd w:val="clear" w:color="auto" w:fill="auto"/>
            <w:vAlign w:val="center"/>
            <w:hideMark/>
          </w:tcPr>
          <w:p w:rsidR="005B1077" w:rsidRPr="005B1077" w:rsidRDefault="005B1077" w:rsidP="005B1077">
            <w:pPr>
              <w:rPr>
                <w:rFonts w:ascii="Lucida Bright" w:hAnsi="Lucida Bright" w:cs="Calibri"/>
                <w:sz w:val="14"/>
                <w:szCs w:val="14"/>
                <w:lang w:val="es-ES"/>
              </w:rPr>
            </w:pPr>
            <w:r w:rsidRPr="005B1077">
              <w:rPr>
                <w:rFonts w:ascii="Lucida Bright" w:hAnsi="Lucida Bright" w:cs="Calibri"/>
                <w:sz w:val="14"/>
                <w:szCs w:val="14"/>
                <w:lang w:val="es-ES"/>
              </w:rPr>
              <w:t xml:space="preserve">         e) Cobros de OPPE para el pago de principales e intereses de demora por litigios </w:t>
            </w:r>
            <w:proofErr w:type="spellStart"/>
            <w:r w:rsidRPr="005B1077">
              <w:rPr>
                <w:rFonts w:ascii="Lucida Bright" w:hAnsi="Lucida Bright" w:cs="Calibri"/>
                <w:sz w:val="14"/>
                <w:szCs w:val="14"/>
                <w:lang w:val="es-ES"/>
              </w:rPr>
              <w:t>tarif</w:t>
            </w:r>
            <w:proofErr w:type="spellEnd"/>
            <w:r w:rsidRPr="005B1077">
              <w:rPr>
                <w:rFonts w:ascii="Lucida Bright" w:hAnsi="Lucida Bright" w:cs="Calibri"/>
                <w:sz w:val="14"/>
                <w:szCs w:val="14"/>
                <w:lang w:val="es-ES"/>
              </w:rPr>
              <w:t>. (+)</w:t>
            </w:r>
          </w:p>
        </w:tc>
        <w:tc>
          <w:tcPr>
            <w:tcW w:w="1660" w:type="dxa"/>
            <w:tcBorders>
              <w:top w:val="nil"/>
              <w:left w:val="single" w:sz="4" w:space="0" w:color="auto"/>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  </w:t>
            </w:r>
          </w:p>
        </w:tc>
        <w:tc>
          <w:tcPr>
            <w:tcW w:w="1660" w:type="dxa"/>
            <w:tcBorders>
              <w:top w:val="nil"/>
              <w:left w:val="nil"/>
              <w:bottom w:val="nil"/>
              <w:right w:val="single" w:sz="4" w:space="0" w:color="auto"/>
            </w:tcBorders>
            <w:shd w:val="clear" w:color="auto" w:fill="auto"/>
            <w:noWrap/>
            <w:vAlign w:val="center"/>
            <w:hideMark/>
          </w:tcPr>
          <w:p w:rsidR="005B1077" w:rsidRPr="005B1077" w:rsidRDefault="005B1077" w:rsidP="005B1077">
            <w:pPr>
              <w:jc w:val="right"/>
              <w:rPr>
                <w:rFonts w:ascii="Lucida Bright" w:hAnsi="Lucida Bright" w:cs="Calibri"/>
                <w:sz w:val="14"/>
                <w:szCs w:val="14"/>
                <w:lang w:val="es-ES"/>
              </w:rPr>
            </w:pPr>
            <w:r w:rsidRPr="005B1077">
              <w:rPr>
                <w:rFonts w:ascii="Lucida Bright" w:hAnsi="Lucida Bright" w:cs="Calibri"/>
                <w:sz w:val="14"/>
                <w:szCs w:val="14"/>
                <w:lang w:val="es-ES"/>
              </w:rPr>
              <w:t xml:space="preserve">155.703,65  </w:t>
            </w:r>
          </w:p>
        </w:tc>
      </w:tr>
      <w:tr w:rsidR="005B1077" w:rsidRPr="005B1077" w:rsidTr="005B1077">
        <w:trPr>
          <w:trHeight w:val="300"/>
        </w:trPr>
        <w:tc>
          <w:tcPr>
            <w:tcW w:w="4380" w:type="dxa"/>
            <w:tcBorders>
              <w:top w:val="nil"/>
              <w:left w:val="single" w:sz="4" w:space="0" w:color="auto"/>
              <w:bottom w:val="nil"/>
              <w:right w:val="nil"/>
            </w:tcBorders>
            <w:shd w:val="clear" w:color="auto" w:fill="auto"/>
            <w:noWrap/>
            <w:vAlign w:val="bottom"/>
            <w:hideMark/>
          </w:tcPr>
          <w:p w:rsidR="005B1077" w:rsidRPr="005B1077" w:rsidRDefault="005B1077" w:rsidP="005B1077">
            <w:pPr>
              <w:rPr>
                <w:rFonts w:ascii="Calibri" w:hAnsi="Calibri" w:cs="Calibri"/>
                <w:color w:val="000000"/>
                <w:sz w:val="22"/>
                <w:szCs w:val="22"/>
                <w:lang w:val="es-ES"/>
              </w:rPr>
            </w:pPr>
            <w:r w:rsidRPr="005B1077">
              <w:rPr>
                <w:rFonts w:ascii="Calibri" w:hAnsi="Calibri" w:cs="Calibri"/>
                <w:color w:val="000000"/>
                <w:sz w:val="22"/>
                <w:szCs w:val="22"/>
                <w:lang w:val="es-ES"/>
              </w:rPr>
              <w:t> </w:t>
            </w:r>
          </w:p>
        </w:tc>
        <w:tc>
          <w:tcPr>
            <w:tcW w:w="1660" w:type="dxa"/>
            <w:tcBorders>
              <w:top w:val="nil"/>
              <w:left w:val="single" w:sz="4" w:space="0" w:color="auto"/>
              <w:bottom w:val="nil"/>
              <w:right w:val="single" w:sz="4" w:space="0" w:color="auto"/>
            </w:tcBorders>
            <w:shd w:val="clear" w:color="auto" w:fill="auto"/>
            <w:noWrap/>
            <w:vAlign w:val="bottom"/>
            <w:hideMark/>
          </w:tcPr>
          <w:p w:rsidR="005B1077" w:rsidRPr="005B1077" w:rsidRDefault="005B1077" w:rsidP="005B1077">
            <w:pPr>
              <w:rPr>
                <w:rFonts w:ascii="Calibri" w:hAnsi="Calibri" w:cs="Calibri"/>
                <w:color w:val="000000"/>
                <w:sz w:val="22"/>
                <w:szCs w:val="22"/>
                <w:lang w:val="es-ES"/>
              </w:rPr>
            </w:pPr>
            <w:r w:rsidRPr="005B1077">
              <w:rPr>
                <w:rFonts w:ascii="Calibri" w:hAnsi="Calibri" w:cs="Calibri"/>
                <w:color w:val="000000"/>
                <w:sz w:val="22"/>
                <w:szCs w:val="22"/>
                <w:lang w:val="es-ES"/>
              </w:rPr>
              <w:t> </w:t>
            </w:r>
          </w:p>
        </w:tc>
        <w:tc>
          <w:tcPr>
            <w:tcW w:w="1660" w:type="dxa"/>
            <w:tcBorders>
              <w:top w:val="nil"/>
              <w:left w:val="nil"/>
              <w:bottom w:val="nil"/>
              <w:right w:val="single" w:sz="4" w:space="0" w:color="auto"/>
            </w:tcBorders>
            <w:shd w:val="clear" w:color="auto" w:fill="auto"/>
            <w:noWrap/>
            <w:vAlign w:val="bottom"/>
            <w:hideMark/>
          </w:tcPr>
          <w:p w:rsidR="005B1077" w:rsidRPr="005B1077" w:rsidRDefault="005B1077" w:rsidP="005B1077">
            <w:pPr>
              <w:rPr>
                <w:rFonts w:ascii="Calibri" w:hAnsi="Calibri" w:cs="Calibri"/>
                <w:color w:val="000000"/>
                <w:sz w:val="22"/>
                <w:szCs w:val="22"/>
                <w:lang w:val="es-ES"/>
              </w:rPr>
            </w:pPr>
            <w:r w:rsidRPr="005B1077">
              <w:rPr>
                <w:rFonts w:ascii="Calibri" w:hAnsi="Calibri" w:cs="Calibri"/>
                <w:color w:val="000000"/>
                <w:sz w:val="22"/>
                <w:szCs w:val="22"/>
                <w:lang w:val="es-ES"/>
              </w:rPr>
              <w:t> </w:t>
            </w:r>
          </w:p>
        </w:tc>
      </w:tr>
      <w:tr w:rsidR="005B1077" w:rsidRPr="005B1077" w:rsidTr="005B1077">
        <w:trPr>
          <w:trHeight w:val="360"/>
        </w:trPr>
        <w:tc>
          <w:tcPr>
            <w:tcW w:w="4380" w:type="dxa"/>
            <w:tcBorders>
              <w:top w:val="nil"/>
              <w:left w:val="single" w:sz="4" w:space="0" w:color="auto"/>
              <w:bottom w:val="single" w:sz="4" w:space="0" w:color="auto"/>
              <w:right w:val="nil"/>
            </w:tcBorders>
            <w:shd w:val="clear" w:color="000000" w:fill="CCFFCC"/>
            <w:vAlign w:val="center"/>
            <w:hideMark/>
          </w:tcPr>
          <w:p w:rsidR="005B1077" w:rsidRPr="005B1077" w:rsidRDefault="005B1077" w:rsidP="005B1077">
            <w:pPr>
              <w:rPr>
                <w:rFonts w:ascii="Lucida Bright" w:hAnsi="Lucida Bright" w:cs="Calibri"/>
                <w:b/>
                <w:bCs/>
                <w:sz w:val="14"/>
                <w:szCs w:val="14"/>
                <w:lang w:val="es-ES"/>
              </w:rPr>
            </w:pPr>
            <w:r w:rsidRPr="005B1077">
              <w:rPr>
                <w:rFonts w:ascii="Lucida Bright" w:hAnsi="Lucida Bright" w:cs="Calibri"/>
                <w:b/>
                <w:bCs/>
                <w:sz w:val="14"/>
                <w:szCs w:val="14"/>
                <w:lang w:val="es-ES"/>
              </w:rPr>
              <w:t xml:space="preserve"> E) AUMENTO/DISMINUCIÓN NETA DEL EFECTIVO O EQUIVALENTES (+/-A+/-B+/-C)</w:t>
            </w:r>
          </w:p>
        </w:tc>
        <w:tc>
          <w:tcPr>
            <w:tcW w:w="1660" w:type="dxa"/>
            <w:tcBorders>
              <w:top w:val="nil"/>
              <w:left w:val="single" w:sz="4" w:space="0" w:color="auto"/>
              <w:bottom w:val="single" w:sz="4" w:space="0" w:color="auto"/>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c>
          <w:tcPr>
            <w:tcW w:w="1660" w:type="dxa"/>
            <w:tcBorders>
              <w:top w:val="nil"/>
              <w:left w:val="nil"/>
              <w:bottom w:val="single" w:sz="4" w:space="0" w:color="auto"/>
              <w:right w:val="single" w:sz="4" w:space="0" w:color="auto"/>
            </w:tcBorders>
            <w:shd w:val="clear" w:color="000000" w:fill="CCFFCC"/>
            <w:noWrap/>
            <w:vAlign w:val="center"/>
            <w:hideMark/>
          </w:tcPr>
          <w:p w:rsidR="005B1077" w:rsidRPr="005B1077" w:rsidRDefault="005B1077" w:rsidP="005B1077">
            <w:pPr>
              <w:jc w:val="right"/>
              <w:rPr>
                <w:rFonts w:ascii="Lucida Bright" w:hAnsi="Lucida Bright" w:cs="Calibri"/>
                <w:b/>
                <w:bCs/>
                <w:sz w:val="14"/>
                <w:szCs w:val="14"/>
                <w:lang w:val="es-ES"/>
              </w:rPr>
            </w:pPr>
            <w:r w:rsidRPr="005B1077">
              <w:rPr>
                <w:rFonts w:ascii="Lucida Bright" w:hAnsi="Lucida Bright" w:cs="Calibri"/>
                <w:b/>
                <w:bCs/>
                <w:sz w:val="14"/>
                <w:szCs w:val="14"/>
                <w:lang w:val="es-ES"/>
              </w:rPr>
              <w:t xml:space="preserve">-  </w:t>
            </w:r>
          </w:p>
        </w:tc>
      </w:tr>
    </w:tbl>
    <w:p w:rsidR="0030255B" w:rsidRDefault="0030255B" w:rsidP="00F333F2">
      <w:pPr>
        <w:pStyle w:val="Prrafodelista"/>
        <w:spacing w:before="100" w:after="100"/>
        <w:ind w:left="646"/>
        <w:jc w:val="both"/>
        <w:rPr>
          <w:rFonts w:ascii="NewBaskerville" w:hAnsi="NewBaskerville"/>
        </w:rPr>
      </w:pPr>
    </w:p>
    <w:p w:rsidR="005B1077" w:rsidRDefault="005B1077" w:rsidP="00F333F2">
      <w:pPr>
        <w:pStyle w:val="Prrafodelista"/>
        <w:spacing w:before="100" w:after="100"/>
        <w:ind w:left="646"/>
        <w:jc w:val="both"/>
        <w:rPr>
          <w:rFonts w:ascii="NewBaskerville" w:hAnsi="NewBaskerville"/>
        </w:rPr>
      </w:pPr>
      <w:r>
        <w:rPr>
          <w:rFonts w:ascii="NewBaskerville" w:hAnsi="NewBaskerville"/>
        </w:rPr>
        <w:t>Corrigiéndose, este último documento, en sus cifras comparadas del ejercicio 2022 a la necesaria homogeneidad de su es</w:t>
      </w:r>
      <w:r w:rsidR="0065131E">
        <w:rPr>
          <w:rFonts w:ascii="NewBaskerville" w:hAnsi="NewBaskerville"/>
        </w:rPr>
        <w:t>tructura de aplicación por las Autoridades Portuarias. En particular, en la cantidad percibida por Puertos del Estado para el pago de principales e intereses de demora por litigios tarifarios (155.703,65 euros), que deben figurar de manera independiente.</w:t>
      </w:r>
    </w:p>
    <w:p w:rsidR="005C2F51" w:rsidRDefault="005C2F51"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30255B" w:rsidRPr="0030255B" w:rsidRDefault="0030255B" w:rsidP="0030255B">
      <w:pPr>
        <w:spacing w:before="100" w:after="100"/>
        <w:jc w:val="both"/>
        <w:rPr>
          <w:rFonts w:ascii="NewBaskerville" w:hAnsi="NewBaskerville"/>
        </w:rPr>
      </w:pPr>
    </w:p>
    <w:p w:rsidR="0030255B" w:rsidRDefault="0030255B" w:rsidP="00F333F2">
      <w:pPr>
        <w:pStyle w:val="Prrafodelista"/>
        <w:spacing w:before="100" w:after="100"/>
        <w:ind w:left="646"/>
        <w:jc w:val="both"/>
        <w:rPr>
          <w:rFonts w:ascii="NewBaskerville" w:hAnsi="NewBaskerville"/>
        </w:rPr>
      </w:pPr>
    </w:p>
    <w:p w:rsidR="00F333F2" w:rsidRPr="00714F3A" w:rsidRDefault="00490AF4" w:rsidP="00F333F2">
      <w:pPr>
        <w:pStyle w:val="Prrafodelista"/>
        <w:spacing w:before="100" w:after="100"/>
        <w:ind w:left="646"/>
        <w:jc w:val="both"/>
        <w:rPr>
          <w:rFonts w:ascii="NewBaskerville" w:hAnsi="NewBaskerville"/>
        </w:rPr>
      </w:pPr>
      <w:r>
        <w:rPr>
          <w:rFonts w:ascii="NewBaskerville" w:hAnsi="NewBaskerville"/>
        </w:rPr>
        <w:t xml:space="preserve"> </w:t>
      </w:r>
      <w:r w:rsidR="00714F3A">
        <w:rPr>
          <w:rFonts w:ascii="NewBaskerville" w:hAnsi="NewBaskerville"/>
        </w:rPr>
        <w:t xml:space="preserve"> </w:t>
      </w:r>
    </w:p>
    <w:p w:rsidR="00F333F2" w:rsidRPr="00F333F2" w:rsidRDefault="00F333F2" w:rsidP="00F333F2">
      <w:pPr>
        <w:jc w:val="both"/>
        <w:rPr>
          <w:rFonts w:ascii="NewBaskerville" w:hAnsi="NewBaskerville"/>
          <w:u w:val="single"/>
        </w:rPr>
      </w:pPr>
    </w:p>
    <w:p w:rsidR="0022171E" w:rsidRDefault="0022171E" w:rsidP="008607EA">
      <w:pPr>
        <w:pStyle w:val="Prrafodelista"/>
        <w:ind w:left="0" w:firstLine="644"/>
        <w:jc w:val="both"/>
        <w:rPr>
          <w:rFonts w:ascii="NewBaskerville" w:hAnsi="NewBaskerville"/>
          <w:u w:val="single"/>
        </w:rPr>
      </w:pPr>
    </w:p>
    <w:p w:rsidR="00AC1756" w:rsidRPr="00AC1756" w:rsidRDefault="00AC1756" w:rsidP="0022171E">
      <w:pPr>
        <w:pStyle w:val="Prrafodelista"/>
        <w:ind w:left="644"/>
        <w:jc w:val="both"/>
        <w:rPr>
          <w:rFonts w:ascii="NewBaskerville" w:hAnsi="NewBaskerville"/>
          <w:color w:val="000000" w:themeColor="text1"/>
        </w:rPr>
      </w:pPr>
    </w:p>
    <w:p w:rsidR="00AC1756" w:rsidRPr="00A05BE5" w:rsidRDefault="00AC1756" w:rsidP="00A05BE5">
      <w:pPr>
        <w:jc w:val="both"/>
        <w:rPr>
          <w:rFonts w:ascii="NewBaskerville" w:hAnsi="NewBaskerville"/>
        </w:rPr>
      </w:pPr>
    </w:p>
    <w:p w:rsidR="002C4355" w:rsidRPr="00817044" w:rsidRDefault="002C4355">
      <w:pPr>
        <w:jc w:val="both"/>
      </w:pPr>
    </w:p>
    <w:p w:rsidR="00102226" w:rsidRDefault="00102226">
      <w:pPr>
        <w:ind w:firstLine="568"/>
        <w:jc w:val="both"/>
        <w:rPr>
          <w:color w:val="000000"/>
          <w:lang w:eastAsia="en-US"/>
        </w:rPr>
      </w:pPr>
    </w:p>
    <w:p w:rsidR="00102226" w:rsidRPr="00817044" w:rsidRDefault="00102226">
      <w:pPr>
        <w:ind w:firstLine="568"/>
        <w:jc w:val="both"/>
        <w:rPr>
          <w:color w:val="000000"/>
          <w:lang w:eastAsia="en-US"/>
        </w:rPr>
      </w:pPr>
    </w:p>
    <w:p w:rsidR="002C4355" w:rsidRPr="008B3CE3" w:rsidRDefault="00B237A6" w:rsidP="00B237A6">
      <w:pPr>
        <w:spacing w:after="120"/>
        <w:jc w:val="both"/>
        <w:rPr>
          <w:rFonts w:ascii="NewBaskerville" w:hAnsi="NewBaskerville"/>
          <w:b/>
          <w:bCs/>
          <w:sz w:val="24"/>
          <w:szCs w:val="24"/>
        </w:rPr>
      </w:pPr>
      <w:r w:rsidRPr="008B3CE3">
        <w:rPr>
          <w:rFonts w:ascii="NewBaskerville" w:hAnsi="NewBaskerville"/>
          <w:b/>
          <w:bCs/>
          <w:sz w:val="24"/>
          <w:szCs w:val="24"/>
        </w:rPr>
        <w:lastRenderedPageBreak/>
        <w:t xml:space="preserve">3. </w:t>
      </w:r>
      <w:r w:rsidR="002C4355" w:rsidRPr="008B3CE3">
        <w:rPr>
          <w:rFonts w:ascii="NewBaskerville" w:hAnsi="NewBaskerville"/>
          <w:b/>
          <w:bCs/>
          <w:sz w:val="24"/>
          <w:szCs w:val="24"/>
        </w:rPr>
        <w:t>Aplicación de resultados</w:t>
      </w:r>
    </w:p>
    <w:p w:rsidR="002C4355" w:rsidRPr="008B3CE3" w:rsidRDefault="002C4355" w:rsidP="00AE2574">
      <w:pPr>
        <w:tabs>
          <w:tab w:val="right" w:pos="8364"/>
        </w:tabs>
        <w:spacing w:after="100"/>
        <w:ind w:firstLine="567"/>
        <w:jc w:val="both"/>
        <w:rPr>
          <w:rFonts w:ascii="NewBaskerville" w:hAnsi="NewBaskerville"/>
        </w:rPr>
      </w:pPr>
      <w:r w:rsidRPr="008B3CE3">
        <w:rPr>
          <w:rFonts w:ascii="NewBaskerville" w:hAnsi="NewBaskerville"/>
        </w:rPr>
        <w:t>La propuesta de distribución</w:t>
      </w:r>
      <w:r w:rsidR="000E5C11" w:rsidRPr="008B3CE3">
        <w:rPr>
          <w:rFonts w:ascii="NewBaskerville" w:hAnsi="NewBaskerville"/>
        </w:rPr>
        <w:t xml:space="preserve"> </w:t>
      </w:r>
      <w:r w:rsidR="0020324A" w:rsidRPr="008B3CE3">
        <w:rPr>
          <w:rFonts w:ascii="NewBaskerville" w:hAnsi="NewBaskerville"/>
        </w:rPr>
        <w:t>del resultado del ejercicio 202</w:t>
      </w:r>
      <w:r w:rsidR="00E531F4">
        <w:rPr>
          <w:rFonts w:ascii="NewBaskerville" w:hAnsi="NewBaskerville"/>
        </w:rPr>
        <w:t>3</w:t>
      </w:r>
      <w:r w:rsidRPr="008B3CE3">
        <w:rPr>
          <w:rFonts w:ascii="NewBaskerville" w:hAnsi="NewBaskerville"/>
        </w:rPr>
        <w:t xml:space="preserve"> formulada por el Presidente de</w:t>
      </w:r>
      <w:r w:rsidR="00E36D30">
        <w:rPr>
          <w:rFonts w:ascii="NewBaskerville" w:hAnsi="NewBaskerville"/>
        </w:rPr>
        <w:t xml:space="preserve"> </w:t>
      </w:r>
      <w:r w:rsidR="008B3CE3" w:rsidRPr="008B3CE3">
        <w:rPr>
          <w:rFonts w:ascii="NewBaskerville" w:hAnsi="NewBaskerville"/>
        </w:rPr>
        <w:t>l</w:t>
      </w:r>
      <w:r w:rsidR="00E36D30">
        <w:rPr>
          <w:rFonts w:ascii="NewBaskerville" w:hAnsi="NewBaskerville"/>
        </w:rPr>
        <w:t>a</w:t>
      </w:r>
      <w:r w:rsidR="008B3CE3" w:rsidRPr="008B3CE3">
        <w:rPr>
          <w:rFonts w:ascii="NewBaskerville" w:hAnsi="NewBaskerville"/>
        </w:rPr>
        <w:t xml:space="preserve"> </w:t>
      </w:r>
      <w:r w:rsidR="00E36D30">
        <w:rPr>
          <w:rFonts w:ascii="NewBaskerville" w:hAnsi="NewBaskerville"/>
        </w:rPr>
        <w:t>Entidad</w:t>
      </w:r>
      <w:r w:rsidRPr="008B3CE3">
        <w:rPr>
          <w:rFonts w:ascii="NewBaskerville" w:hAnsi="NewBaskerville"/>
        </w:rPr>
        <w:t xml:space="preserve"> y que se espera sea aprobada por el Consejo de Administración de la </w:t>
      </w:r>
      <w:r w:rsidR="008B3CE3" w:rsidRPr="008B3CE3">
        <w:rPr>
          <w:rFonts w:ascii="NewBaskerville" w:hAnsi="NewBaskerville"/>
        </w:rPr>
        <w:t>APB</w:t>
      </w:r>
      <w:r w:rsidRPr="008B3CE3">
        <w:rPr>
          <w:rFonts w:ascii="NewBaskerville" w:hAnsi="NewBaskerville"/>
        </w:rPr>
        <w:t xml:space="preserve">, es la siguiente: </w:t>
      </w:r>
    </w:p>
    <w:tbl>
      <w:tblPr>
        <w:tblW w:w="6380" w:type="dxa"/>
        <w:tblInd w:w="782" w:type="dxa"/>
        <w:tblCellMar>
          <w:left w:w="70" w:type="dxa"/>
          <w:right w:w="70" w:type="dxa"/>
        </w:tblCellMar>
        <w:tblLook w:val="04A0" w:firstRow="1" w:lastRow="0" w:firstColumn="1" w:lastColumn="0" w:noHBand="0" w:noVBand="1"/>
      </w:tblPr>
      <w:tblGrid>
        <w:gridCol w:w="4900"/>
        <w:gridCol w:w="1480"/>
      </w:tblGrid>
      <w:tr w:rsidR="00455341" w:rsidRPr="00455341" w:rsidTr="00455341">
        <w:trPr>
          <w:trHeight w:val="495"/>
        </w:trPr>
        <w:tc>
          <w:tcPr>
            <w:tcW w:w="4900" w:type="dxa"/>
            <w:tcBorders>
              <w:top w:val="single" w:sz="8" w:space="0" w:color="auto"/>
              <w:left w:val="single" w:sz="8" w:space="0" w:color="auto"/>
              <w:bottom w:val="single" w:sz="8" w:space="0" w:color="auto"/>
              <w:right w:val="single" w:sz="8" w:space="0" w:color="auto"/>
            </w:tcBorders>
            <w:shd w:val="clear" w:color="000000" w:fill="CCFFCC"/>
            <w:vAlign w:val="center"/>
            <w:hideMark/>
          </w:tcPr>
          <w:p w:rsidR="00455341" w:rsidRPr="00455341" w:rsidRDefault="00455341" w:rsidP="00455341">
            <w:pPr>
              <w:jc w:val="center"/>
              <w:rPr>
                <w:rFonts w:ascii="Lucida Bright" w:hAnsi="Lucida Bright" w:cs="Calibri"/>
                <w:b/>
                <w:bCs/>
                <w:color w:val="000000"/>
                <w:sz w:val="18"/>
                <w:szCs w:val="18"/>
                <w:lang w:val="es-ES"/>
              </w:rPr>
            </w:pPr>
            <w:r w:rsidRPr="00455341">
              <w:rPr>
                <w:rFonts w:ascii="Lucida Bright" w:hAnsi="Lucida Bright" w:cs="Calibri"/>
                <w:b/>
                <w:bCs/>
                <w:color w:val="000000"/>
                <w:sz w:val="18"/>
                <w:szCs w:val="18"/>
                <w:lang w:val="es-ES"/>
              </w:rPr>
              <w:t>Base de Reparto</w:t>
            </w:r>
          </w:p>
        </w:tc>
        <w:tc>
          <w:tcPr>
            <w:tcW w:w="1480" w:type="dxa"/>
            <w:tcBorders>
              <w:top w:val="single" w:sz="8" w:space="0" w:color="auto"/>
              <w:left w:val="nil"/>
              <w:bottom w:val="single" w:sz="8" w:space="0" w:color="000000"/>
              <w:right w:val="single" w:sz="8" w:space="0" w:color="auto"/>
            </w:tcBorders>
            <w:shd w:val="clear" w:color="000000" w:fill="CCFFCC"/>
            <w:vAlign w:val="center"/>
            <w:hideMark/>
          </w:tcPr>
          <w:p w:rsidR="00455341" w:rsidRPr="00455341" w:rsidRDefault="00455341" w:rsidP="00455341">
            <w:pPr>
              <w:jc w:val="center"/>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Importe en Euros</w:t>
            </w:r>
          </w:p>
        </w:tc>
      </w:tr>
      <w:tr w:rsidR="00455341" w:rsidRPr="00455341" w:rsidTr="00455341">
        <w:trPr>
          <w:trHeight w:val="300"/>
        </w:trPr>
        <w:tc>
          <w:tcPr>
            <w:tcW w:w="4900" w:type="dxa"/>
            <w:tcBorders>
              <w:top w:val="nil"/>
              <w:left w:val="single" w:sz="8" w:space="0" w:color="auto"/>
              <w:bottom w:val="nil"/>
              <w:right w:val="single" w:sz="8" w:space="0" w:color="000000"/>
            </w:tcBorders>
            <w:shd w:val="clear" w:color="000000" w:fill="FFFFFF"/>
            <w:vAlign w:val="center"/>
            <w:hideMark/>
          </w:tcPr>
          <w:p w:rsidR="00455341" w:rsidRPr="00455341" w:rsidRDefault="00455341" w:rsidP="00455341">
            <w:pPr>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Saldo de la cuenta de pérdidas y ganancias</w:t>
            </w:r>
          </w:p>
        </w:tc>
        <w:tc>
          <w:tcPr>
            <w:tcW w:w="1480" w:type="dxa"/>
            <w:tcBorders>
              <w:top w:val="nil"/>
              <w:left w:val="nil"/>
              <w:bottom w:val="nil"/>
              <w:right w:val="single" w:sz="8" w:space="0" w:color="auto"/>
            </w:tcBorders>
            <w:shd w:val="clear" w:color="000000" w:fill="FFFFFF"/>
            <w:noWrap/>
            <w:vAlign w:val="center"/>
            <w:hideMark/>
          </w:tcPr>
          <w:p w:rsidR="00455341" w:rsidRPr="00455341" w:rsidRDefault="00455341" w:rsidP="00455341">
            <w:pPr>
              <w:jc w:val="right"/>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47.012.107,02</w:t>
            </w:r>
          </w:p>
        </w:tc>
      </w:tr>
      <w:tr w:rsidR="00455341" w:rsidRPr="00455341" w:rsidTr="00455341">
        <w:trPr>
          <w:trHeight w:val="315"/>
        </w:trPr>
        <w:tc>
          <w:tcPr>
            <w:tcW w:w="4900" w:type="dxa"/>
            <w:tcBorders>
              <w:top w:val="single" w:sz="4" w:space="0" w:color="000000"/>
              <w:left w:val="single" w:sz="8" w:space="0" w:color="auto"/>
              <w:bottom w:val="single" w:sz="8" w:space="0" w:color="auto"/>
              <w:right w:val="single" w:sz="8" w:space="0" w:color="000000"/>
            </w:tcBorders>
            <w:shd w:val="clear" w:color="000000" w:fill="FFFFFF"/>
            <w:vAlign w:val="center"/>
            <w:hideMark/>
          </w:tcPr>
          <w:p w:rsidR="00455341" w:rsidRPr="00455341" w:rsidRDefault="00455341" w:rsidP="00455341">
            <w:pPr>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Total:</w:t>
            </w:r>
          </w:p>
        </w:tc>
        <w:tc>
          <w:tcPr>
            <w:tcW w:w="1480" w:type="dxa"/>
            <w:tcBorders>
              <w:top w:val="single" w:sz="4" w:space="0" w:color="000000"/>
              <w:left w:val="nil"/>
              <w:bottom w:val="single" w:sz="8" w:space="0" w:color="auto"/>
              <w:right w:val="single" w:sz="8" w:space="0" w:color="auto"/>
            </w:tcBorders>
            <w:shd w:val="clear" w:color="000000" w:fill="FFFFFF"/>
            <w:noWrap/>
            <w:vAlign w:val="center"/>
            <w:hideMark/>
          </w:tcPr>
          <w:p w:rsidR="00455341" w:rsidRPr="00455341" w:rsidRDefault="00455341" w:rsidP="00455341">
            <w:pPr>
              <w:jc w:val="right"/>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47.012.107,02</w:t>
            </w:r>
          </w:p>
        </w:tc>
      </w:tr>
      <w:tr w:rsidR="00455341" w:rsidRPr="00455341" w:rsidTr="00455341">
        <w:trPr>
          <w:trHeight w:val="495"/>
        </w:trPr>
        <w:tc>
          <w:tcPr>
            <w:tcW w:w="4900" w:type="dxa"/>
            <w:tcBorders>
              <w:top w:val="nil"/>
              <w:left w:val="single" w:sz="8" w:space="0" w:color="auto"/>
              <w:bottom w:val="single" w:sz="8" w:space="0" w:color="auto"/>
              <w:right w:val="single" w:sz="8" w:space="0" w:color="auto"/>
            </w:tcBorders>
            <w:shd w:val="clear" w:color="000000" w:fill="CCFFCC"/>
            <w:vAlign w:val="center"/>
            <w:hideMark/>
          </w:tcPr>
          <w:p w:rsidR="00455341" w:rsidRPr="00455341" w:rsidRDefault="00455341" w:rsidP="00455341">
            <w:pPr>
              <w:jc w:val="center"/>
              <w:rPr>
                <w:rFonts w:ascii="Lucida Bright" w:hAnsi="Lucida Bright" w:cs="Calibri"/>
                <w:b/>
                <w:bCs/>
                <w:color w:val="000000"/>
                <w:sz w:val="18"/>
                <w:szCs w:val="18"/>
                <w:lang w:val="es-ES"/>
              </w:rPr>
            </w:pPr>
            <w:r w:rsidRPr="00455341">
              <w:rPr>
                <w:rFonts w:ascii="Lucida Bright" w:hAnsi="Lucida Bright" w:cs="Calibri"/>
                <w:b/>
                <w:bCs/>
                <w:color w:val="000000"/>
                <w:sz w:val="18"/>
                <w:szCs w:val="18"/>
                <w:lang w:val="es-ES"/>
              </w:rPr>
              <w:t>Aplicación</w:t>
            </w:r>
          </w:p>
        </w:tc>
        <w:tc>
          <w:tcPr>
            <w:tcW w:w="1480" w:type="dxa"/>
            <w:tcBorders>
              <w:top w:val="nil"/>
              <w:left w:val="nil"/>
              <w:bottom w:val="single" w:sz="8" w:space="0" w:color="auto"/>
              <w:right w:val="single" w:sz="8" w:space="0" w:color="auto"/>
            </w:tcBorders>
            <w:shd w:val="clear" w:color="000000" w:fill="CCFFCC"/>
            <w:vAlign w:val="center"/>
            <w:hideMark/>
          </w:tcPr>
          <w:p w:rsidR="00455341" w:rsidRPr="00455341" w:rsidRDefault="00455341" w:rsidP="00455341">
            <w:pPr>
              <w:jc w:val="center"/>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Importe en Euros</w:t>
            </w:r>
          </w:p>
        </w:tc>
      </w:tr>
      <w:tr w:rsidR="00455341" w:rsidRPr="00455341" w:rsidTr="00455341">
        <w:trPr>
          <w:trHeight w:val="300"/>
        </w:trPr>
        <w:tc>
          <w:tcPr>
            <w:tcW w:w="4900" w:type="dxa"/>
            <w:tcBorders>
              <w:top w:val="nil"/>
              <w:left w:val="single" w:sz="8" w:space="0" w:color="auto"/>
              <w:bottom w:val="single" w:sz="4" w:space="0" w:color="000000"/>
              <w:right w:val="single" w:sz="8" w:space="0" w:color="000000"/>
            </w:tcBorders>
            <w:shd w:val="clear" w:color="000000" w:fill="FFFFFF"/>
            <w:vAlign w:val="center"/>
            <w:hideMark/>
          </w:tcPr>
          <w:p w:rsidR="00455341" w:rsidRPr="00455341" w:rsidRDefault="00455341" w:rsidP="00455341">
            <w:pPr>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A Resultados acumulados</w:t>
            </w:r>
          </w:p>
        </w:tc>
        <w:tc>
          <w:tcPr>
            <w:tcW w:w="1480" w:type="dxa"/>
            <w:tcBorders>
              <w:top w:val="nil"/>
              <w:left w:val="nil"/>
              <w:bottom w:val="nil"/>
              <w:right w:val="single" w:sz="8" w:space="0" w:color="auto"/>
            </w:tcBorders>
            <w:shd w:val="clear" w:color="000000" w:fill="FFFFFF"/>
            <w:noWrap/>
            <w:vAlign w:val="center"/>
            <w:hideMark/>
          </w:tcPr>
          <w:p w:rsidR="00455341" w:rsidRPr="00455341" w:rsidRDefault="00455341" w:rsidP="00455341">
            <w:pPr>
              <w:jc w:val="right"/>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43.726.500,41</w:t>
            </w:r>
          </w:p>
        </w:tc>
      </w:tr>
      <w:tr w:rsidR="00455341" w:rsidRPr="00455341" w:rsidTr="00455341">
        <w:trPr>
          <w:trHeight w:val="300"/>
        </w:trPr>
        <w:tc>
          <w:tcPr>
            <w:tcW w:w="4900" w:type="dxa"/>
            <w:tcBorders>
              <w:top w:val="nil"/>
              <w:left w:val="single" w:sz="8" w:space="0" w:color="auto"/>
              <w:bottom w:val="single" w:sz="4" w:space="0" w:color="000000"/>
              <w:right w:val="single" w:sz="8" w:space="0" w:color="000000"/>
            </w:tcBorders>
            <w:shd w:val="clear" w:color="auto" w:fill="auto"/>
            <w:noWrap/>
            <w:vAlign w:val="center"/>
            <w:hideMark/>
          </w:tcPr>
          <w:p w:rsidR="00455341" w:rsidRPr="00455341" w:rsidRDefault="00455341" w:rsidP="00455341">
            <w:pPr>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 xml:space="preserve">A Reserva de capitalización </w:t>
            </w:r>
          </w:p>
        </w:tc>
        <w:tc>
          <w:tcPr>
            <w:tcW w:w="1480" w:type="dxa"/>
            <w:tcBorders>
              <w:top w:val="single" w:sz="4" w:space="0" w:color="000000"/>
              <w:left w:val="nil"/>
              <w:bottom w:val="single" w:sz="4" w:space="0" w:color="000000"/>
              <w:right w:val="single" w:sz="8" w:space="0" w:color="auto"/>
            </w:tcBorders>
            <w:shd w:val="clear" w:color="auto" w:fill="auto"/>
            <w:noWrap/>
            <w:vAlign w:val="bottom"/>
            <w:hideMark/>
          </w:tcPr>
          <w:p w:rsidR="00455341" w:rsidRPr="00455341" w:rsidRDefault="00455341" w:rsidP="00455341">
            <w:pPr>
              <w:jc w:val="right"/>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3.285.606,61</w:t>
            </w:r>
          </w:p>
        </w:tc>
      </w:tr>
      <w:tr w:rsidR="00455341" w:rsidRPr="00455341" w:rsidTr="00455341">
        <w:trPr>
          <w:trHeight w:val="315"/>
        </w:trPr>
        <w:tc>
          <w:tcPr>
            <w:tcW w:w="4900" w:type="dxa"/>
            <w:tcBorders>
              <w:top w:val="nil"/>
              <w:left w:val="single" w:sz="8" w:space="0" w:color="auto"/>
              <w:bottom w:val="single" w:sz="8" w:space="0" w:color="auto"/>
              <w:right w:val="single" w:sz="8" w:space="0" w:color="000000"/>
            </w:tcBorders>
            <w:shd w:val="clear" w:color="auto" w:fill="auto"/>
            <w:noWrap/>
            <w:vAlign w:val="center"/>
            <w:hideMark/>
          </w:tcPr>
          <w:p w:rsidR="00455341" w:rsidRPr="00455341" w:rsidRDefault="00455341" w:rsidP="00455341">
            <w:pPr>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Total:</w:t>
            </w:r>
          </w:p>
        </w:tc>
        <w:tc>
          <w:tcPr>
            <w:tcW w:w="1480" w:type="dxa"/>
            <w:tcBorders>
              <w:top w:val="nil"/>
              <w:left w:val="nil"/>
              <w:bottom w:val="single" w:sz="8" w:space="0" w:color="auto"/>
              <w:right w:val="single" w:sz="8" w:space="0" w:color="auto"/>
            </w:tcBorders>
            <w:shd w:val="clear" w:color="auto" w:fill="auto"/>
            <w:noWrap/>
            <w:vAlign w:val="bottom"/>
            <w:hideMark/>
          </w:tcPr>
          <w:p w:rsidR="00455341" w:rsidRPr="00455341" w:rsidRDefault="00455341" w:rsidP="00455341">
            <w:pPr>
              <w:jc w:val="right"/>
              <w:rPr>
                <w:rFonts w:ascii="Lucida Bright" w:hAnsi="Lucida Bright" w:cs="Calibri"/>
                <w:color w:val="000000"/>
                <w:sz w:val="18"/>
                <w:szCs w:val="18"/>
                <w:lang w:val="es-ES"/>
              </w:rPr>
            </w:pPr>
            <w:r w:rsidRPr="00455341">
              <w:rPr>
                <w:rFonts w:ascii="Lucida Bright" w:hAnsi="Lucida Bright" w:cs="Calibri"/>
                <w:color w:val="000000"/>
                <w:sz w:val="18"/>
                <w:szCs w:val="18"/>
                <w:lang w:val="es-ES"/>
              </w:rPr>
              <w:t>47.012.107,02</w:t>
            </w:r>
          </w:p>
        </w:tc>
      </w:tr>
    </w:tbl>
    <w:p w:rsidR="00072D1A" w:rsidRPr="00072D1A" w:rsidRDefault="00072D1A" w:rsidP="00072D1A">
      <w:pPr>
        <w:jc w:val="both"/>
      </w:pPr>
    </w:p>
    <w:p w:rsidR="002C4355" w:rsidRDefault="002C4355" w:rsidP="00E775E1">
      <w:pPr>
        <w:pStyle w:val="Default"/>
        <w:ind w:firstLine="567"/>
        <w:jc w:val="both"/>
        <w:rPr>
          <w:rFonts w:ascii="NewBaskerville" w:hAnsi="NewBaskerville"/>
          <w:sz w:val="20"/>
          <w:szCs w:val="20"/>
        </w:rPr>
      </w:pPr>
      <w:r w:rsidRPr="00E775E1">
        <w:rPr>
          <w:rFonts w:ascii="NewBaskerville" w:hAnsi="NewBaskerville"/>
          <w:sz w:val="20"/>
          <w:szCs w:val="20"/>
        </w:rPr>
        <w:t xml:space="preserve">De acuerdo con el artículo </w:t>
      </w:r>
      <w:r w:rsidR="006867D0" w:rsidRPr="00E775E1">
        <w:rPr>
          <w:rFonts w:ascii="NewBaskerville" w:hAnsi="NewBaskerville"/>
          <w:sz w:val="20"/>
          <w:szCs w:val="20"/>
        </w:rPr>
        <w:t xml:space="preserve">39.3 </w:t>
      </w:r>
      <w:r w:rsidR="006F0FC2" w:rsidRPr="00E775E1">
        <w:rPr>
          <w:rFonts w:ascii="NewBaskerville" w:hAnsi="NewBaskerville"/>
          <w:sz w:val="20"/>
          <w:szCs w:val="20"/>
        </w:rPr>
        <w:t>del TRLPEMM</w:t>
      </w:r>
      <w:r w:rsidRPr="00E775E1">
        <w:rPr>
          <w:rFonts w:ascii="NewBaskerville" w:hAnsi="NewBaskerville"/>
          <w:sz w:val="20"/>
          <w:szCs w:val="20"/>
        </w:rPr>
        <w:t>, la propuesta de distribución del resultado d</w:t>
      </w:r>
      <w:r w:rsidR="0020324A" w:rsidRPr="00E775E1">
        <w:rPr>
          <w:rFonts w:ascii="NewBaskerville" w:hAnsi="NewBaskerville"/>
          <w:sz w:val="20"/>
          <w:szCs w:val="20"/>
        </w:rPr>
        <w:t>el ejercicio 202</w:t>
      </w:r>
      <w:r w:rsidR="00E531F4">
        <w:rPr>
          <w:rFonts w:ascii="NewBaskerville" w:hAnsi="NewBaskerville"/>
          <w:sz w:val="20"/>
          <w:szCs w:val="20"/>
        </w:rPr>
        <w:t>2</w:t>
      </w:r>
      <w:r w:rsidR="00F45BF6">
        <w:rPr>
          <w:rFonts w:ascii="NewBaskerville" w:hAnsi="NewBaskerville"/>
          <w:sz w:val="20"/>
          <w:szCs w:val="20"/>
        </w:rPr>
        <w:t>, que ascendió a 3</w:t>
      </w:r>
      <w:r w:rsidR="00E531F4">
        <w:rPr>
          <w:rFonts w:ascii="NewBaskerville" w:hAnsi="NewBaskerville"/>
          <w:sz w:val="20"/>
          <w:szCs w:val="20"/>
        </w:rPr>
        <w:t>2</w:t>
      </w:r>
      <w:r w:rsidR="00F45BF6">
        <w:rPr>
          <w:rFonts w:ascii="NewBaskerville" w:hAnsi="NewBaskerville"/>
          <w:sz w:val="20"/>
          <w:szCs w:val="20"/>
        </w:rPr>
        <w:t>.</w:t>
      </w:r>
      <w:r w:rsidR="00E531F4">
        <w:rPr>
          <w:rFonts w:ascii="NewBaskerville" w:hAnsi="NewBaskerville"/>
          <w:sz w:val="20"/>
          <w:szCs w:val="20"/>
        </w:rPr>
        <w:t>937</w:t>
      </w:r>
      <w:r w:rsidR="00F45BF6">
        <w:rPr>
          <w:rFonts w:ascii="NewBaskerville" w:hAnsi="NewBaskerville"/>
          <w:sz w:val="20"/>
          <w:szCs w:val="20"/>
        </w:rPr>
        <w:t>.</w:t>
      </w:r>
      <w:r w:rsidR="00E531F4">
        <w:rPr>
          <w:rFonts w:ascii="NewBaskerville" w:hAnsi="NewBaskerville"/>
          <w:sz w:val="20"/>
          <w:szCs w:val="20"/>
        </w:rPr>
        <w:t>294</w:t>
      </w:r>
      <w:r w:rsidR="00F45BF6">
        <w:rPr>
          <w:rFonts w:ascii="NewBaskerville" w:hAnsi="NewBaskerville"/>
          <w:sz w:val="20"/>
          <w:szCs w:val="20"/>
        </w:rPr>
        <w:t>,</w:t>
      </w:r>
      <w:r w:rsidR="00E531F4">
        <w:rPr>
          <w:rFonts w:ascii="NewBaskerville" w:hAnsi="NewBaskerville"/>
          <w:sz w:val="20"/>
          <w:szCs w:val="20"/>
        </w:rPr>
        <w:t>09</w:t>
      </w:r>
      <w:r w:rsidR="00F45BF6">
        <w:rPr>
          <w:rFonts w:ascii="NewBaskerville" w:hAnsi="NewBaskerville"/>
          <w:sz w:val="20"/>
          <w:szCs w:val="20"/>
        </w:rPr>
        <w:t xml:space="preserve"> euros,</w:t>
      </w:r>
      <w:r w:rsidRPr="00E775E1">
        <w:rPr>
          <w:rFonts w:ascii="NewBaskerville" w:hAnsi="NewBaskerville"/>
          <w:sz w:val="20"/>
          <w:szCs w:val="20"/>
        </w:rPr>
        <w:t xml:space="preserve"> </w:t>
      </w:r>
      <w:r w:rsidR="007D34B3">
        <w:rPr>
          <w:rFonts w:ascii="NewBaskerville" w:hAnsi="NewBaskerville"/>
          <w:sz w:val="20"/>
          <w:szCs w:val="20"/>
        </w:rPr>
        <w:t>aprobada por el Consejo de Administración de la AP</w:t>
      </w:r>
      <w:r w:rsidR="00F45BF6">
        <w:rPr>
          <w:rFonts w:ascii="NewBaskerville" w:hAnsi="NewBaskerville"/>
          <w:sz w:val="20"/>
          <w:szCs w:val="20"/>
        </w:rPr>
        <w:t>B</w:t>
      </w:r>
      <w:r w:rsidR="007D34B3">
        <w:rPr>
          <w:rFonts w:ascii="NewBaskerville" w:hAnsi="NewBaskerville"/>
          <w:sz w:val="20"/>
          <w:szCs w:val="20"/>
        </w:rPr>
        <w:t xml:space="preserve"> en fecha de 2</w:t>
      </w:r>
      <w:r w:rsidR="00E531F4">
        <w:rPr>
          <w:rFonts w:ascii="NewBaskerville" w:hAnsi="NewBaskerville"/>
          <w:sz w:val="20"/>
          <w:szCs w:val="20"/>
        </w:rPr>
        <w:t>8</w:t>
      </w:r>
      <w:r w:rsidR="007D34B3">
        <w:rPr>
          <w:rFonts w:ascii="NewBaskerville" w:hAnsi="NewBaskerville"/>
          <w:sz w:val="20"/>
          <w:szCs w:val="20"/>
        </w:rPr>
        <w:t>/06/202</w:t>
      </w:r>
      <w:r w:rsidR="00E531F4">
        <w:rPr>
          <w:rFonts w:ascii="NewBaskerville" w:hAnsi="NewBaskerville"/>
          <w:sz w:val="20"/>
          <w:szCs w:val="20"/>
        </w:rPr>
        <w:t>3</w:t>
      </w:r>
      <w:r w:rsidR="00F45BF6">
        <w:rPr>
          <w:rFonts w:ascii="NewBaskerville" w:hAnsi="NewBaskerville"/>
          <w:sz w:val="20"/>
          <w:szCs w:val="20"/>
        </w:rPr>
        <w:t>, s</w:t>
      </w:r>
      <w:r w:rsidR="00442E66" w:rsidRPr="00E775E1">
        <w:rPr>
          <w:rFonts w:ascii="NewBaskerville" w:hAnsi="NewBaskerville"/>
          <w:sz w:val="20"/>
          <w:szCs w:val="20"/>
        </w:rPr>
        <w:t>e integró</w:t>
      </w:r>
      <w:r w:rsidRPr="00E775E1">
        <w:rPr>
          <w:rFonts w:ascii="NewBaskerville" w:hAnsi="NewBaskerville"/>
          <w:sz w:val="20"/>
          <w:szCs w:val="20"/>
        </w:rPr>
        <w:t xml:space="preserve"> en la partida “Resultados acumulados” de los fondos propios de </w:t>
      </w:r>
      <w:r w:rsidR="006867D0" w:rsidRPr="00E775E1">
        <w:rPr>
          <w:rFonts w:ascii="NewBaskerville" w:hAnsi="NewBaskerville"/>
          <w:sz w:val="20"/>
          <w:szCs w:val="20"/>
        </w:rPr>
        <w:t xml:space="preserve">esta Autoridad </w:t>
      </w:r>
      <w:r w:rsidR="008155BC" w:rsidRPr="00E775E1">
        <w:rPr>
          <w:rFonts w:ascii="NewBaskerville" w:hAnsi="NewBaskerville"/>
          <w:sz w:val="20"/>
          <w:szCs w:val="20"/>
        </w:rPr>
        <w:t>Portuaria</w:t>
      </w:r>
      <w:r w:rsidR="00442E66" w:rsidRPr="00E775E1">
        <w:rPr>
          <w:rFonts w:ascii="NewBaskerville" w:hAnsi="NewBaskerville"/>
          <w:sz w:val="20"/>
          <w:szCs w:val="20"/>
        </w:rPr>
        <w:t xml:space="preserve"> por importe de </w:t>
      </w:r>
      <w:r w:rsidR="00E775E1">
        <w:rPr>
          <w:rFonts w:ascii="NewBaskerville" w:hAnsi="NewBaskerville"/>
          <w:sz w:val="20"/>
          <w:szCs w:val="20"/>
        </w:rPr>
        <w:t>2</w:t>
      </w:r>
      <w:r w:rsidR="00E531F4">
        <w:rPr>
          <w:rFonts w:ascii="NewBaskerville" w:hAnsi="NewBaskerville"/>
          <w:sz w:val="20"/>
          <w:szCs w:val="20"/>
        </w:rPr>
        <w:t>9</w:t>
      </w:r>
      <w:r w:rsidR="0020324A" w:rsidRPr="00E775E1">
        <w:rPr>
          <w:rFonts w:ascii="NewBaskerville" w:hAnsi="NewBaskerville"/>
          <w:sz w:val="20"/>
          <w:szCs w:val="20"/>
        </w:rPr>
        <w:t>.</w:t>
      </w:r>
      <w:r w:rsidR="00E531F4">
        <w:rPr>
          <w:rFonts w:ascii="NewBaskerville" w:hAnsi="NewBaskerville"/>
          <w:sz w:val="20"/>
          <w:szCs w:val="20"/>
        </w:rPr>
        <w:t>918</w:t>
      </w:r>
      <w:r w:rsidR="0020324A" w:rsidRPr="00E775E1">
        <w:rPr>
          <w:rFonts w:ascii="NewBaskerville" w:hAnsi="NewBaskerville"/>
          <w:sz w:val="20"/>
          <w:szCs w:val="20"/>
        </w:rPr>
        <w:t>.</w:t>
      </w:r>
      <w:r w:rsidR="00E531F4">
        <w:rPr>
          <w:rFonts w:ascii="NewBaskerville" w:hAnsi="NewBaskerville"/>
          <w:sz w:val="20"/>
          <w:szCs w:val="20"/>
        </w:rPr>
        <w:t>431</w:t>
      </w:r>
      <w:r w:rsidR="00E775E1">
        <w:rPr>
          <w:rFonts w:ascii="NewBaskerville" w:hAnsi="NewBaskerville"/>
          <w:sz w:val="20"/>
          <w:szCs w:val="20"/>
        </w:rPr>
        <w:t>,</w:t>
      </w:r>
      <w:r w:rsidR="00E531F4">
        <w:rPr>
          <w:rFonts w:ascii="NewBaskerville" w:hAnsi="NewBaskerville"/>
          <w:sz w:val="20"/>
          <w:szCs w:val="20"/>
        </w:rPr>
        <w:t>48</w:t>
      </w:r>
      <w:r w:rsidR="00442E66" w:rsidRPr="00E775E1">
        <w:rPr>
          <w:rFonts w:ascii="NewBaskerville" w:hAnsi="NewBaskerville"/>
          <w:sz w:val="20"/>
          <w:szCs w:val="20"/>
        </w:rPr>
        <w:t xml:space="preserve"> euros</w:t>
      </w:r>
      <w:r w:rsidR="00E775E1">
        <w:rPr>
          <w:rFonts w:ascii="NewBaskerville" w:hAnsi="NewBaskerville"/>
          <w:sz w:val="20"/>
          <w:szCs w:val="20"/>
        </w:rPr>
        <w:t xml:space="preserve">, y se dotó la Reserva de Capitalización por importe de </w:t>
      </w:r>
      <w:r w:rsidR="00E531F4">
        <w:rPr>
          <w:rFonts w:ascii="NewBaskerville" w:hAnsi="NewBaskerville"/>
          <w:sz w:val="20"/>
          <w:szCs w:val="20"/>
        </w:rPr>
        <w:t>3</w:t>
      </w:r>
      <w:r w:rsidR="00E775E1">
        <w:rPr>
          <w:rFonts w:ascii="NewBaskerville" w:hAnsi="NewBaskerville"/>
          <w:sz w:val="20"/>
          <w:szCs w:val="20"/>
        </w:rPr>
        <w:t>.</w:t>
      </w:r>
      <w:r w:rsidR="00E531F4">
        <w:rPr>
          <w:rFonts w:ascii="NewBaskerville" w:hAnsi="NewBaskerville"/>
          <w:sz w:val="20"/>
          <w:szCs w:val="20"/>
        </w:rPr>
        <w:t>018</w:t>
      </w:r>
      <w:r w:rsidR="00E775E1">
        <w:rPr>
          <w:rFonts w:ascii="NewBaskerville" w:hAnsi="NewBaskerville"/>
          <w:sz w:val="20"/>
          <w:szCs w:val="20"/>
        </w:rPr>
        <w:t>.</w:t>
      </w:r>
      <w:r w:rsidR="00E531F4">
        <w:rPr>
          <w:rFonts w:ascii="NewBaskerville" w:hAnsi="NewBaskerville"/>
          <w:sz w:val="20"/>
          <w:szCs w:val="20"/>
        </w:rPr>
        <w:t>862</w:t>
      </w:r>
      <w:r w:rsidR="00E775E1">
        <w:rPr>
          <w:rFonts w:ascii="NewBaskerville" w:hAnsi="NewBaskerville"/>
          <w:sz w:val="20"/>
          <w:szCs w:val="20"/>
        </w:rPr>
        <w:t>,</w:t>
      </w:r>
      <w:r w:rsidR="00E531F4">
        <w:rPr>
          <w:rFonts w:ascii="NewBaskerville" w:hAnsi="NewBaskerville"/>
          <w:sz w:val="20"/>
          <w:szCs w:val="20"/>
        </w:rPr>
        <w:t>61</w:t>
      </w:r>
      <w:r w:rsidR="00E775E1">
        <w:rPr>
          <w:rFonts w:ascii="NewBaskerville" w:hAnsi="NewBaskerville"/>
          <w:sz w:val="20"/>
          <w:szCs w:val="20"/>
        </w:rPr>
        <w:t xml:space="preserve"> euros.</w:t>
      </w:r>
    </w:p>
    <w:p w:rsidR="00AD400D" w:rsidRDefault="00AD400D" w:rsidP="00E775E1">
      <w:pPr>
        <w:pStyle w:val="Default"/>
        <w:ind w:firstLine="567"/>
        <w:jc w:val="both"/>
        <w:rPr>
          <w:rFonts w:ascii="NewBaskerville" w:hAnsi="NewBaskerville"/>
          <w:sz w:val="20"/>
          <w:szCs w:val="20"/>
        </w:rPr>
      </w:pPr>
    </w:p>
    <w:p w:rsidR="00AD400D" w:rsidRPr="00E775E1" w:rsidRDefault="00AD400D" w:rsidP="00E775E1">
      <w:pPr>
        <w:pStyle w:val="Default"/>
        <w:ind w:firstLine="567"/>
        <w:jc w:val="both"/>
        <w:rPr>
          <w:rFonts w:ascii="NewBaskerville" w:hAnsi="NewBaskerville"/>
          <w:sz w:val="20"/>
          <w:szCs w:val="20"/>
        </w:rPr>
      </w:pPr>
    </w:p>
    <w:p w:rsidR="00385F74" w:rsidRPr="00072D1A" w:rsidRDefault="00385F74">
      <w:pPr>
        <w:ind w:firstLine="568"/>
        <w:jc w:val="both"/>
      </w:pPr>
    </w:p>
    <w:p w:rsidR="002C4355" w:rsidRPr="002D6A11" w:rsidRDefault="00B237A6" w:rsidP="00385F74">
      <w:pPr>
        <w:pStyle w:val="ListParagraph1"/>
        <w:ind w:left="0"/>
        <w:rPr>
          <w:rFonts w:ascii="NewBaskerville" w:hAnsi="NewBaskerville"/>
          <w:b/>
          <w:bCs/>
          <w:sz w:val="24"/>
          <w:szCs w:val="24"/>
        </w:rPr>
      </w:pPr>
      <w:r w:rsidRPr="002D6A11">
        <w:rPr>
          <w:rFonts w:ascii="NewBaskerville" w:hAnsi="NewBaskerville"/>
          <w:b/>
          <w:bCs/>
          <w:sz w:val="24"/>
          <w:szCs w:val="24"/>
        </w:rPr>
        <w:t>4</w:t>
      </w:r>
      <w:r w:rsidR="00385F74" w:rsidRPr="002D6A11">
        <w:rPr>
          <w:rFonts w:ascii="NewBaskerville" w:hAnsi="NewBaskerville"/>
          <w:b/>
          <w:bCs/>
          <w:sz w:val="24"/>
          <w:szCs w:val="24"/>
        </w:rPr>
        <w:t xml:space="preserve">. </w:t>
      </w:r>
      <w:r w:rsidR="002C4355" w:rsidRPr="002D6A11">
        <w:rPr>
          <w:rFonts w:ascii="NewBaskerville" w:hAnsi="NewBaskerville"/>
          <w:b/>
          <w:bCs/>
          <w:sz w:val="24"/>
          <w:szCs w:val="24"/>
        </w:rPr>
        <w:t>Normas de</w:t>
      </w:r>
      <w:r w:rsidR="006F0FC2" w:rsidRPr="002D6A11">
        <w:rPr>
          <w:rFonts w:ascii="NewBaskerville" w:hAnsi="NewBaskerville"/>
          <w:b/>
          <w:bCs/>
          <w:sz w:val="24"/>
          <w:szCs w:val="24"/>
        </w:rPr>
        <w:t xml:space="preserve"> registro y</w:t>
      </w:r>
      <w:r w:rsidR="002C4355" w:rsidRPr="002D6A11">
        <w:rPr>
          <w:rFonts w:ascii="NewBaskerville" w:hAnsi="NewBaskerville"/>
          <w:b/>
          <w:bCs/>
          <w:sz w:val="24"/>
          <w:szCs w:val="24"/>
        </w:rPr>
        <w:t xml:space="preserve"> valoración</w:t>
      </w:r>
    </w:p>
    <w:p w:rsidR="002C4355" w:rsidRPr="00072D1A" w:rsidRDefault="002C4355">
      <w:pPr>
        <w:ind w:firstLine="567"/>
        <w:jc w:val="both"/>
        <w:rPr>
          <w:b/>
          <w:u w:val="single"/>
        </w:rPr>
      </w:pPr>
    </w:p>
    <w:p w:rsidR="002C4355" w:rsidRPr="002D6A11" w:rsidRDefault="002C4355">
      <w:pPr>
        <w:ind w:firstLine="567"/>
        <w:jc w:val="both"/>
        <w:rPr>
          <w:rFonts w:ascii="NewBaskerville" w:hAnsi="NewBaskerville"/>
        </w:rPr>
      </w:pPr>
      <w:r w:rsidRPr="002D6A11">
        <w:rPr>
          <w:rFonts w:ascii="NewBaskerville" w:hAnsi="NewBaskerville"/>
        </w:rPr>
        <w:t>Los criterios contables aplicados en relación con las partidas que se detallan son los siguientes:</w:t>
      </w:r>
    </w:p>
    <w:p w:rsidR="002C4355" w:rsidRPr="00072D1A" w:rsidRDefault="002C4355">
      <w:pPr>
        <w:ind w:firstLine="567"/>
        <w:jc w:val="both"/>
        <w:rPr>
          <w:bCs/>
        </w:rPr>
      </w:pPr>
    </w:p>
    <w:p w:rsidR="002C4355" w:rsidRPr="002D6A11" w:rsidRDefault="002C4355" w:rsidP="00385F74">
      <w:pPr>
        <w:numPr>
          <w:ilvl w:val="0"/>
          <w:numId w:val="3"/>
        </w:numPr>
        <w:tabs>
          <w:tab w:val="clear" w:pos="927"/>
        </w:tabs>
        <w:spacing w:after="120"/>
        <w:ind w:left="567" w:hanging="283"/>
        <w:jc w:val="both"/>
        <w:rPr>
          <w:rFonts w:ascii="NewBaskerville" w:hAnsi="NewBaskerville"/>
          <w:bCs/>
        </w:rPr>
      </w:pPr>
      <w:r w:rsidRPr="002D6A11">
        <w:rPr>
          <w:rFonts w:ascii="NewBaskerville" w:hAnsi="NewBaskerville"/>
          <w:bCs/>
        </w:rPr>
        <w:t>Inmovilizado Intangible</w:t>
      </w:r>
    </w:p>
    <w:p w:rsidR="002C4355" w:rsidRPr="002D6A11" w:rsidRDefault="002C4355">
      <w:pPr>
        <w:pStyle w:val="Sangradetextonormal"/>
        <w:rPr>
          <w:rFonts w:ascii="NewBaskerville" w:hAnsi="NewBaskerville"/>
          <w:sz w:val="20"/>
        </w:rPr>
      </w:pPr>
      <w:r w:rsidRPr="002D6A11">
        <w:rPr>
          <w:rFonts w:ascii="NewBaskerville" w:hAnsi="NewBaskerville"/>
          <w:sz w:val="20"/>
        </w:rPr>
        <w:t>El inmovilizado intangible se valora inicialmente por su coste, ya sea éste el precio de adquisición o el coste de producción.</w:t>
      </w:r>
    </w:p>
    <w:p w:rsidR="002C4355" w:rsidRPr="002D6A11" w:rsidRDefault="002C4355">
      <w:pPr>
        <w:pStyle w:val="Sangradetextonormal"/>
        <w:rPr>
          <w:rFonts w:ascii="NewBaskerville" w:hAnsi="NewBaskerville"/>
          <w:sz w:val="20"/>
        </w:rPr>
      </w:pPr>
    </w:p>
    <w:p w:rsidR="002C4355" w:rsidRPr="002D6A11" w:rsidRDefault="002C4355" w:rsidP="007F140C">
      <w:pPr>
        <w:pStyle w:val="Sangradetextonormal"/>
        <w:rPr>
          <w:rFonts w:ascii="NewBaskerville" w:hAnsi="NewBaskerville"/>
          <w:sz w:val="20"/>
        </w:rPr>
      </w:pPr>
      <w:r w:rsidRPr="002D6A11">
        <w:rPr>
          <w:rFonts w:ascii="NewBaskerville" w:hAnsi="NewBaskerville"/>
          <w:sz w:val="20"/>
        </w:rPr>
        <w:t>Después del reconocimiento inicial, el inmovilizado intangible se valora por su coste, menos la amortización acumulada y, en su caso, el importe acumulado de las correccio</w:t>
      </w:r>
      <w:r w:rsidR="007F140C" w:rsidRPr="002D6A11">
        <w:rPr>
          <w:rFonts w:ascii="NewBaskerville" w:hAnsi="NewBaskerville"/>
          <w:sz w:val="20"/>
        </w:rPr>
        <w:t xml:space="preserve">nes por deterioro registradas. </w:t>
      </w:r>
    </w:p>
    <w:p w:rsidR="002C4355" w:rsidRPr="002D6A11" w:rsidRDefault="002C4355" w:rsidP="005D0B44">
      <w:pPr>
        <w:numPr>
          <w:ilvl w:val="0"/>
          <w:numId w:val="2"/>
        </w:numPr>
        <w:spacing w:before="120"/>
        <w:jc w:val="both"/>
        <w:rPr>
          <w:rFonts w:ascii="NewBaskerville" w:hAnsi="NewBaskerville"/>
        </w:rPr>
      </w:pPr>
      <w:r w:rsidRPr="002D6A11">
        <w:rPr>
          <w:rFonts w:ascii="NewBaskerville" w:hAnsi="NewBaskerville"/>
        </w:rPr>
        <w:t>Aplicaciones informáticas: se encuentran valoradas a su coste de adquisición. Se amortizan por el método lineal en función de la vida útil estimada que será de cinco años desde su puesta en servicio.</w:t>
      </w:r>
    </w:p>
    <w:p w:rsidR="002C4355" w:rsidRPr="002D6A11" w:rsidRDefault="002C4355" w:rsidP="005D0B44">
      <w:pPr>
        <w:numPr>
          <w:ilvl w:val="0"/>
          <w:numId w:val="2"/>
        </w:numPr>
        <w:spacing w:before="120"/>
        <w:jc w:val="both"/>
        <w:rPr>
          <w:rFonts w:ascii="NewBaskerville" w:hAnsi="NewBaskerville"/>
        </w:rPr>
      </w:pPr>
      <w:r w:rsidRPr="002D6A11">
        <w:rPr>
          <w:rFonts w:ascii="NewBaskerville" w:hAnsi="NewBaskerville"/>
        </w:rPr>
        <w:t>Propiedad intelectual: se valora al precio de adquisición y se amortiza por el método lineal en el plazo de diez años desde su adquisición.</w:t>
      </w:r>
    </w:p>
    <w:p w:rsidR="002C4355" w:rsidRDefault="002C4355">
      <w:pPr>
        <w:ind w:firstLine="568"/>
        <w:jc w:val="both"/>
      </w:pPr>
    </w:p>
    <w:p w:rsidR="002C4355" w:rsidRPr="002D6A11" w:rsidRDefault="002C4355" w:rsidP="00385F74">
      <w:pPr>
        <w:numPr>
          <w:ilvl w:val="0"/>
          <w:numId w:val="3"/>
        </w:numPr>
        <w:tabs>
          <w:tab w:val="clear" w:pos="927"/>
        </w:tabs>
        <w:spacing w:after="120"/>
        <w:ind w:left="567" w:hanging="283"/>
        <w:jc w:val="both"/>
        <w:rPr>
          <w:rFonts w:ascii="NewBaskerville" w:hAnsi="NewBaskerville"/>
          <w:bCs/>
        </w:rPr>
      </w:pPr>
      <w:r w:rsidRPr="002D6A11">
        <w:rPr>
          <w:rFonts w:ascii="NewBaskerville" w:hAnsi="NewBaskerville"/>
          <w:bCs/>
        </w:rPr>
        <w:t>Inmovilizado Material</w:t>
      </w:r>
    </w:p>
    <w:p w:rsidR="002C4355" w:rsidRDefault="002C4355">
      <w:pPr>
        <w:pStyle w:val="Sangradetextonormal"/>
        <w:rPr>
          <w:rFonts w:ascii="NewBaskerville" w:hAnsi="NewBaskerville"/>
          <w:sz w:val="20"/>
        </w:rPr>
      </w:pPr>
      <w:r w:rsidRPr="002D6A11">
        <w:rPr>
          <w:rFonts w:ascii="NewBaskerville" w:hAnsi="NewBaskerville"/>
          <w:sz w:val="20"/>
        </w:rPr>
        <w:t>El inmoviliz</w:t>
      </w:r>
      <w:r w:rsidR="00981950" w:rsidRPr="002D6A11">
        <w:rPr>
          <w:rFonts w:ascii="NewBaskerville" w:hAnsi="NewBaskerville"/>
          <w:sz w:val="20"/>
        </w:rPr>
        <w:t>ado material se valora</w:t>
      </w:r>
      <w:r w:rsidRPr="002D6A11">
        <w:rPr>
          <w:rFonts w:ascii="NewBaskerville" w:hAnsi="NewBaskerville"/>
          <w:sz w:val="20"/>
        </w:rPr>
        <w:t xml:space="preserve"> por su coste, ya sea éste el precio de adquisición o el coste de producción. El coste del inmovilizado material adquirido es su valor razonable en la fecha de adquisición.</w:t>
      </w:r>
      <w:r w:rsidR="001D5391">
        <w:rPr>
          <w:rFonts w:ascii="NewBaskerville" w:hAnsi="NewBaskerville"/>
          <w:sz w:val="20"/>
        </w:rPr>
        <w:t xml:space="preserve"> El inmovilizado material adquirido a título gratuito, o sin </w:t>
      </w:r>
      <w:r w:rsidR="003F24D6">
        <w:rPr>
          <w:rFonts w:ascii="NewBaskerville" w:hAnsi="NewBaskerville"/>
          <w:sz w:val="20"/>
        </w:rPr>
        <w:t>contraprestación</w:t>
      </w:r>
      <w:r w:rsidR="001D5391">
        <w:rPr>
          <w:rFonts w:ascii="NewBaskerville" w:hAnsi="NewBaskerville"/>
          <w:sz w:val="20"/>
        </w:rPr>
        <w:t>, se reconocerá por su valor razonable, de acuerdo con lo previsto en la norma de registro y valoración sobre subvenciones, donaciones y legados recibidos del Plan General Contable.</w:t>
      </w:r>
    </w:p>
    <w:p w:rsidR="00FF6FC8" w:rsidRPr="002D6A11" w:rsidRDefault="00FF6FC8">
      <w:pPr>
        <w:pStyle w:val="Sangradetextonormal"/>
        <w:rPr>
          <w:rFonts w:ascii="NewBaskerville" w:hAnsi="NewBaskerville"/>
          <w:sz w:val="20"/>
        </w:rPr>
      </w:pPr>
      <w:r>
        <w:rPr>
          <w:rFonts w:ascii="NewBaskerville" w:hAnsi="NewBaskerville"/>
          <w:sz w:val="20"/>
        </w:rPr>
        <w:lastRenderedPageBreak/>
        <w:t>Cesiones gratuitas de otras Administraciones: Las aportaciones patrimoniales de bienes del inmovilizado material realizadas mediante el cambio de la afectación de bienes de dominio público a favor de los Organismos Públicos Portuarios, o mediante la adscripción a los mismos de bienes patrimoniales del Estado, se asimila contablemente a las aportaciones de capital no dinerarias, valorándose los bienes de inmovilizado recibido por su va</w:t>
      </w:r>
      <w:r w:rsidR="004E395C">
        <w:rPr>
          <w:rFonts w:ascii="NewBaskerville" w:hAnsi="NewBaskerville"/>
          <w:sz w:val="20"/>
        </w:rPr>
        <w:t>lor razonable en el momento de la aportación, teniendo como contrapartida la cuenta de “</w:t>
      </w:r>
      <w:r w:rsidR="002F3F15">
        <w:rPr>
          <w:rFonts w:ascii="NewBaskerville" w:hAnsi="NewBaskerville"/>
          <w:sz w:val="20"/>
        </w:rPr>
        <w:t>P</w:t>
      </w:r>
      <w:r w:rsidR="004E395C">
        <w:rPr>
          <w:rFonts w:ascii="NewBaskerville" w:hAnsi="NewBaskerville"/>
          <w:sz w:val="20"/>
        </w:rPr>
        <w:t>atrimonio”.</w:t>
      </w:r>
    </w:p>
    <w:p w:rsidR="002C4355" w:rsidRPr="002D6A11" w:rsidRDefault="002C4355">
      <w:pPr>
        <w:pStyle w:val="Sangradetextonormal"/>
        <w:rPr>
          <w:rFonts w:ascii="NewBaskerville" w:hAnsi="NewBaskerville"/>
          <w:sz w:val="20"/>
        </w:rPr>
      </w:pPr>
    </w:p>
    <w:p w:rsidR="002C4355" w:rsidRPr="002D6A11" w:rsidRDefault="002C4355">
      <w:pPr>
        <w:pStyle w:val="Sangradetextonormal"/>
        <w:rPr>
          <w:rFonts w:ascii="NewBaskerville" w:hAnsi="NewBaskerville"/>
          <w:sz w:val="20"/>
        </w:rPr>
      </w:pPr>
      <w:r w:rsidRPr="002D6A11">
        <w:rPr>
          <w:rFonts w:ascii="NewBaskerville" w:hAnsi="NewBaskerville"/>
          <w:sz w:val="20"/>
        </w:rPr>
        <w:t>Después del reconocimiento inicial, el inmovilizado material se valora por su coste, menos la amortización acumulada y, en su caso, el importe acumulado de las correcciones por deterioro registradas.</w:t>
      </w:r>
    </w:p>
    <w:p w:rsidR="002C4355" w:rsidRPr="002D6A11" w:rsidRDefault="002C4355">
      <w:pPr>
        <w:ind w:firstLine="567"/>
        <w:jc w:val="both"/>
        <w:rPr>
          <w:rFonts w:ascii="NewBaskerville" w:hAnsi="NewBaskerville"/>
        </w:rPr>
      </w:pPr>
    </w:p>
    <w:p w:rsidR="002C4355" w:rsidRPr="002D6A11" w:rsidRDefault="002C4355">
      <w:pPr>
        <w:ind w:firstLine="567"/>
        <w:jc w:val="both"/>
        <w:rPr>
          <w:rFonts w:ascii="NewBaskerville" w:hAnsi="NewBaskerville"/>
        </w:rPr>
      </w:pPr>
      <w:r w:rsidRPr="002D6A11">
        <w:rPr>
          <w:rFonts w:ascii="NewBaskerville" w:hAnsi="NewBaskerville"/>
        </w:rPr>
        <w:t xml:space="preserve">La mayor parte de los bienes del activo son bienes de dominio público no correspondiendo a esta Autoridad Portuaria ni la titularidad de dichos bienes ni la facultad de enajenación o gravamen de los mismos. No obstante el dominio público adscrito a esta Autoridad Portuaria es uno de los elementos básicos de su </w:t>
      </w:r>
      <w:r w:rsidR="00394D72" w:rsidRPr="002D6A11">
        <w:rPr>
          <w:rFonts w:ascii="NewBaskerville" w:hAnsi="NewBaskerville"/>
        </w:rPr>
        <w:t>actividad y por ello se dispone</w:t>
      </w:r>
      <w:r w:rsidRPr="002D6A11">
        <w:rPr>
          <w:rFonts w:ascii="NewBaskerville" w:hAnsi="NewBaskerville"/>
        </w:rPr>
        <w:t xml:space="preserve"> de amplios poderes de administración y gestión sobre el mismo y se perciben como propios los ingresos que se derivan de su gestión. Dado que de acuerdo con el </w:t>
      </w:r>
      <w:r w:rsidR="003D4191">
        <w:rPr>
          <w:rFonts w:ascii="NewBaskerville" w:hAnsi="NewBaskerville"/>
        </w:rPr>
        <w:t>P</w:t>
      </w:r>
      <w:r w:rsidRPr="002D6A11">
        <w:rPr>
          <w:rFonts w:ascii="NewBaskerville" w:hAnsi="NewBaskerville"/>
        </w:rPr>
        <w:t xml:space="preserve">lan </w:t>
      </w:r>
      <w:r w:rsidR="003D4191">
        <w:rPr>
          <w:rFonts w:ascii="NewBaskerville" w:hAnsi="NewBaskerville"/>
        </w:rPr>
        <w:t>General C</w:t>
      </w:r>
      <w:r w:rsidRPr="002D6A11">
        <w:rPr>
          <w:rFonts w:ascii="NewBaskerville" w:hAnsi="NewBaskerville"/>
        </w:rPr>
        <w:t>ontable en la contabilización de las operaciones debe atenderse a su realidad económica y no sólo a su forma jurídica, los bienes de dominio público adscritos por tiempo indefinido a esta Autoridad Portuaria para el cumplimiento de sus fines se registran como inmovilizado material o inversiones inmobiliarias.</w:t>
      </w:r>
    </w:p>
    <w:p w:rsidR="002C4355" w:rsidRPr="002D6A11" w:rsidRDefault="002C4355">
      <w:pPr>
        <w:ind w:left="567"/>
        <w:jc w:val="both"/>
        <w:rPr>
          <w:rFonts w:ascii="NewBaskerville" w:hAnsi="NewBaskerville"/>
        </w:rPr>
      </w:pPr>
    </w:p>
    <w:p w:rsidR="002C4355" w:rsidRPr="002D6A11" w:rsidRDefault="002C4355">
      <w:pPr>
        <w:ind w:left="567"/>
        <w:jc w:val="both"/>
        <w:rPr>
          <w:rFonts w:ascii="NewBaskerville" w:hAnsi="NewBaskerville"/>
        </w:rPr>
      </w:pPr>
      <w:r w:rsidRPr="002D6A11">
        <w:rPr>
          <w:rFonts w:ascii="NewBaskerville" w:hAnsi="NewBaskerville"/>
        </w:rPr>
        <w:t>Las adiciones al inmovilizado material corresponden a:</w:t>
      </w:r>
    </w:p>
    <w:p w:rsidR="002C4355" w:rsidRPr="002D6A11" w:rsidRDefault="002C4355">
      <w:pPr>
        <w:ind w:left="567"/>
        <w:jc w:val="both"/>
        <w:rPr>
          <w:rFonts w:ascii="NewBaskerville" w:hAnsi="NewBaskerville"/>
        </w:rPr>
      </w:pPr>
    </w:p>
    <w:p w:rsidR="002C4355" w:rsidRDefault="002C4355" w:rsidP="005D0B44">
      <w:pPr>
        <w:numPr>
          <w:ilvl w:val="0"/>
          <w:numId w:val="6"/>
        </w:numPr>
        <w:jc w:val="both"/>
        <w:rPr>
          <w:rFonts w:ascii="NewBaskerville" w:hAnsi="NewBaskerville"/>
        </w:rPr>
      </w:pPr>
      <w:r w:rsidRPr="002D6A11">
        <w:rPr>
          <w:rFonts w:ascii="NewBaskerville" w:hAnsi="NewBaskerville"/>
        </w:rPr>
        <w:t>Terrenos y bienes adquiridos mediante un título jurídico</w:t>
      </w:r>
      <w:r w:rsidR="002B0831">
        <w:rPr>
          <w:rFonts w:ascii="NewBaskerville" w:hAnsi="NewBaskerville"/>
        </w:rPr>
        <w:t>.</w:t>
      </w:r>
    </w:p>
    <w:p w:rsidR="002B0831" w:rsidRPr="002D6A11" w:rsidRDefault="002B0831" w:rsidP="005D0B44">
      <w:pPr>
        <w:numPr>
          <w:ilvl w:val="0"/>
          <w:numId w:val="6"/>
        </w:numPr>
        <w:jc w:val="both"/>
        <w:rPr>
          <w:rFonts w:ascii="NewBaskerville" w:hAnsi="NewBaskerville"/>
        </w:rPr>
      </w:pPr>
      <w:r>
        <w:rPr>
          <w:rFonts w:ascii="NewBaskerville" w:hAnsi="NewBaskerville"/>
        </w:rPr>
        <w:t>La afectación de bienes mediante la transferencia desde otras Administraciones.</w:t>
      </w:r>
    </w:p>
    <w:p w:rsidR="002C4355" w:rsidRPr="002D6A11" w:rsidRDefault="00981950" w:rsidP="005D0B44">
      <w:pPr>
        <w:numPr>
          <w:ilvl w:val="0"/>
          <w:numId w:val="6"/>
        </w:numPr>
        <w:jc w:val="both"/>
        <w:rPr>
          <w:rFonts w:ascii="NewBaskerville" w:hAnsi="NewBaskerville"/>
        </w:rPr>
      </w:pPr>
      <w:r w:rsidRPr="002D6A11">
        <w:rPr>
          <w:rFonts w:ascii="NewBaskerville" w:hAnsi="NewBaskerville"/>
        </w:rPr>
        <w:t>O</w:t>
      </w:r>
      <w:r w:rsidR="002C4355" w:rsidRPr="002D6A11">
        <w:rPr>
          <w:rFonts w:ascii="NewBaskerville" w:hAnsi="NewBaskerville"/>
        </w:rPr>
        <w:t>bras realizadas sobre el dominio público portuario</w:t>
      </w:r>
      <w:r w:rsidR="008E090B">
        <w:rPr>
          <w:rFonts w:ascii="NewBaskerville" w:hAnsi="NewBaskerville"/>
        </w:rPr>
        <w:t>.</w:t>
      </w:r>
    </w:p>
    <w:p w:rsidR="002C4355" w:rsidRPr="002D6A11" w:rsidRDefault="002C4355" w:rsidP="00981950">
      <w:pPr>
        <w:ind w:left="1287"/>
        <w:jc w:val="both"/>
        <w:rPr>
          <w:rFonts w:ascii="NewBaskerville" w:hAnsi="NewBaskerville"/>
        </w:rPr>
      </w:pPr>
    </w:p>
    <w:p w:rsidR="002C4355" w:rsidRPr="002D6A11" w:rsidRDefault="002C4355">
      <w:pPr>
        <w:pStyle w:val="Sangra3detindependiente"/>
        <w:tabs>
          <w:tab w:val="clear" w:pos="5671"/>
          <w:tab w:val="clear" w:pos="7797"/>
        </w:tabs>
        <w:rPr>
          <w:rFonts w:ascii="NewBaskerville" w:hAnsi="NewBaskerville"/>
          <w:sz w:val="20"/>
          <w:szCs w:val="20"/>
        </w:rPr>
      </w:pPr>
      <w:r w:rsidRPr="002D6A11">
        <w:rPr>
          <w:rFonts w:ascii="NewBaskerville" w:hAnsi="NewBaskerville"/>
          <w:sz w:val="20"/>
          <w:szCs w:val="20"/>
        </w:rPr>
        <w:t>En cuanto a los espacios de agua incluidos en la zona de servicio de los puertos se considera que no deben ser objeto de valoración contable por la dificultad de estimar su valor razonable inicial careciendo igualmente de precio de adquisición, coste de producción o de cualquier tipo de mercado.</w:t>
      </w:r>
    </w:p>
    <w:p w:rsidR="002C4355" w:rsidRPr="002D6A11" w:rsidRDefault="002C4355">
      <w:pPr>
        <w:ind w:firstLine="540"/>
        <w:jc w:val="both"/>
        <w:rPr>
          <w:rFonts w:ascii="NewBaskerville" w:hAnsi="NewBaskerville"/>
        </w:rPr>
      </w:pPr>
    </w:p>
    <w:p w:rsidR="002C4355" w:rsidRPr="002D6A11" w:rsidRDefault="002C4355">
      <w:pPr>
        <w:ind w:firstLine="568"/>
        <w:jc w:val="both"/>
        <w:rPr>
          <w:rFonts w:ascii="NewBaskerville" w:hAnsi="NewBaskerville"/>
        </w:rPr>
      </w:pPr>
      <w:r w:rsidRPr="002D6A11">
        <w:rPr>
          <w:rFonts w:ascii="NewBaskerville" w:hAnsi="NewBaskerville"/>
        </w:rPr>
        <w:t xml:space="preserve">Las reparaciones que no representan una ampliación de la vida útil y los gastos de mantenimiento y conservación son cargados a la </w:t>
      </w:r>
      <w:r w:rsidR="003D4191">
        <w:rPr>
          <w:rFonts w:ascii="NewBaskerville" w:hAnsi="NewBaskerville"/>
        </w:rPr>
        <w:t>c</w:t>
      </w:r>
      <w:r w:rsidRPr="002D6A11">
        <w:rPr>
          <w:rFonts w:ascii="NewBaskerville" w:hAnsi="NewBaskerville"/>
        </w:rPr>
        <w:t xml:space="preserve">uenta de </w:t>
      </w:r>
      <w:r w:rsidR="003D4191">
        <w:rPr>
          <w:rFonts w:ascii="NewBaskerville" w:hAnsi="NewBaskerville"/>
        </w:rPr>
        <w:t>p</w:t>
      </w:r>
      <w:r w:rsidRPr="002D6A11">
        <w:rPr>
          <w:rFonts w:ascii="NewBaskerville" w:hAnsi="NewBaskerville"/>
        </w:rPr>
        <w:t xml:space="preserve">érdidas y </w:t>
      </w:r>
      <w:r w:rsidR="003D4191">
        <w:rPr>
          <w:rFonts w:ascii="NewBaskerville" w:hAnsi="NewBaskerville"/>
        </w:rPr>
        <w:t>g</w:t>
      </w:r>
      <w:r w:rsidRPr="002D6A11">
        <w:rPr>
          <w:rFonts w:ascii="NewBaskerville" w:hAnsi="NewBaskerville"/>
        </w:rPr>
        <w:t>anancias del ejercicio en que se incurren. Los gastos de ampliación, renovación o mejora que dan lugar a un alargamiento de la vida útil del bien o un aumento de su capacidad son capitalizados como un mayor coste del mismo.</w:t>
      </w:r>
    </w:p>
    <w:p w:rsidR="002C4355" w:rsidRPr="002D6A11" w:rsidRDefault="002C4355">
      <w:pPr>
        <w:ind w:firstLine="568"/>
        <w:jc w:val="both"/>
        <w:rPr>
          <w:rFonts w:ascii="NewBaskerville" w:hAnsi="NewBaskerville"/>
        </w:rPr>
      </w:pPr>
    </w:p>
    <w:p w:rsidR="002C4355" w:rsidRPr="002D6A11" w:rsidRDefault="002C4355">
      <w:pPr>
        <w:ind w:firstLine="568"/>
        <w:jc w:val="both"/>
        <w:rPr>
          <w:rFonts w:ascii="NewBaskerville" w:hAnsi="NewBaskerville"/>
        </w:rPr>
      </w:pPr>
      <w:r w:rsidRPr="002D6A11">
        <w:rPr>
          <w:rFonts w:ascii="NewBaskerville" w:hAnsi="NewBaskerville"/>
        </w:rPr>
        <w:t>El inmovilizado material en curso se presenta a su coste de adquisición y no se amortiza hasta que se procede a su incorporación al inmovilizado. Las obras se incorporan cuando se realiza su recepción provisional y los bienes adquiridos en el momento de su puesta en funcionamiento.</w:t>
      </w:r>
    </w:p>
    <w:p w:rsidR="002C4355" w:rsidRPr="002D6A11" w:rsidRDefault="002C4355">
      <w:pPr>
        <w:ind w:firstLine="567"/>
        <w:jc w:val="both"/>
        <w:rPr>
          <w:rFonts w:ascii="NewBaskerville" w:hAnsi="NewBaskerville"/>
        </w:rPr>
      </w:pPr>
    </w:p>
    <w:p w:rsidR="002C4355" w:rsidRPr="002D6A11" w:rsidRDefault="002C4355">
      <w:pPr>
        <w:ind w:firstLine="568"/>
        <w:jc w:val="both"/>
        <w:rPr>
          <w:rFonts w:ascii="NewBaskerville" w:hAnsi="NewBaskerville"/>
        </w:rPr>
      </w:pPr>
      <w:r w:rsidRPr="002D6A11">
        <w:rPr>
          <w:rFonts w:ascii="NewBaskerville" w:hAnsi="NewBaskerville"/>
        </w:rPr>
        <w:t>La dotación anual a la amortización se calcula por el método lineal en función de la vida útil estimada de los diferentes bienes, distribuyéndose los costes de amortización linealmente a lo largo de la vida útil del bien.</w:t>
      </w:r>
    </w:p>
    <w:p w:rsidR="002C4355" w:rsidRPr="002D6A11" w:rsidRDefault="002C4355">
      <w:pPr>
        <w:jc w:val="both"/>
        <w:rPr>
          <w:rFonts w:ascii="NewBaskerville" w:hAnsi="NewBaskerville"/>
        </w:rPr>
      </w:pPr>
    </w:p>
    <w:p w:rsidR="007D42E0" w:rsidRDefault="002C4355" w:rsidP="00D3476A">
      <w:pPr>
        <w:spacing w:after="100"/>
        <w:ind w:firstLine="568"/>
        <w:jc w:val="both"/>
        <w:rPr>
          <w:rFonts w:ascii="NewBaskerville" w:hAnsi="NewBaskerville"/>
        </w:rPr>
      </w:pPr>
      <w:r w:rsidRPr="002D6A11">
        <w:rPr>
          <w:rFonts w:ascii="NewBaskerville" w:hAnsi="NewBaskerville"/>
        </w:rPr>
        <w:t>La vida útil estimada</w:t>
      </w:r>
      <w:r w:rsidR="00234116">
        <w:rPr>
          <w:rFonts w:ascii="NewBaskerville" w:hAnsi="NewBaskerville"/>
        </w:rPr>
        <w:t xml:space="preserve"> y </w:t>
      </w:r>
      <w:r w:rsidR="003E2475">
        <w:rPr>
          <w:rFonts w:ascii="NewBaskerville" w:hAnsi="NewBaskerville"/>
        </w:rPr>
        <w:t>los coeficientes de amortización</w:t>
      </w:r>
      <w:r w:rsidRPr="002D6A11">
        <w:rPr>
          <w:rFonts w:ascii="NewBaskerville" w:hAnsi="NewBaskerville"/>
        </w:rPr>
        <w:t xml:space="preserve"> de los diferentes bienes del inmovilizado material </w:t>
      </w:r>
      <w:r w:rsidR="00234116">
        <w:rPr>
          <w:rFonts w:ascii="NewBaskerville" w:hAnsi="NewBaskerville"/>
        </w:rPr>
        <w:t>aplicados</w:t>
      </w:r>
      <w:r w:rsidRPr="002D6A11">
        <w:rPr>
          <w:rFonts w:ascii="NewBaskerville" w:hAnsi="NewBaskerville"/>
        </w:rPr>
        <w:t>, según el manual de tratamiento contable de los activos materiales e</w:t>
      </w:r>
      <w:r w:rsidR="00234116">
        <w:rPr>
          <w:rFonts w:ascii="NewBaskerville" w:hAnsi="NewBaskerville"/>
        </w:rPr>
        <w:t>laborado por Puertos del Estado, son:</w:t>
      </w:r>
    </w:p>
    <w:p w:rsidR="00A32003" w:rsidRDefault="00A32003" w:rsidP="00D3476A">
      <w:pPr>
        <w:spacing w:after="100"/>
        <w:ind w:firstLine="568"/>
        <w:jc w:val="both"/>
        <w:rPr>
          <w:rFonts w:ascii="NewBaskerville" w:hAnsi="NewBaskerville"/>
        </w:rPr>
      </w:pPr>
    </w:p>
    <w:p w:rsidR="00A32003" w:rsidRDefault="00A32003" w:rsidP="00D3476A">
      <w:pPr>
        <w:spacing w:after="100"/>
        <w:ind w:firstLine="568"/>
        <w:jc w:val="both"/>
        <w:rPr>
          <w:rFonts w:ascii="NewBaskerville" w:hAnsi="NewBaskerville"/>
        </w:rPr>
      </w:pPr>
    </w:p>
    <w:tbl>
      <w:tblPr>
        <w:tblW w:w="8920" w:type="dxa"/>
        <w:tblInd w:w="55" w:type="dxa"/>
        <w:tblCellMar>
          <w:left w:w="70" w:type="dxa"/>
          <w:right w:w="70" w:type="dxa"/>
        </w:tblCellMar>
        <w:tblLook w:val="04A0" w:firstRow="1" w:lastRow="0" w:firstColumn="1" w:lastColumn="0" w:noHBand="0" w:noVBand="1"/>
      </w:tblPr>
      <w:tblGrid>
        <w:gridCol w:w="1460"/>
        <w:gridCol w:w="5140"/>
        <w:gridCol w:w="860"/>
        <w:gridCol w:w="1460"/>
      </w:tblGrid>
      <w:tr w:rsidR="00D3476A" w:rsidRPr="00D3476A" w:rsidTr="00D3476A">
        <w:trPr>
          <w:trHeight w:val="330"/>
        </w:trPr>
        <w:tc>
          <w:tcPr>
            <w:tcW w:w="6600" w:type="dxa"/>
            <w:gridSpan w:val="2"/>
            <w:tcBorders>
              <w:top w:val="single" w:sz="12" w:space="0" w:color="auto"/>
              <w:left w:val="single" w:sz="12" w:space="0" w:color="auto"/>
              <w:bottom w:val="single" w:sz="8" w:space="0" w:color="auto"/>
              <w:right w:val="single" w:sz="8" w:space="0" w:color="000000"/>
            </w:tcBorders>
            <w:shd w:val="clear" w:color="000000" w:fill="CCFFCC"/>
            <w:noWrap/>
            <w:vAlign w:val="center"/>
            <w:hideMark/>
          </w:tcPr>
          <w:p w:rsidR="00D3476A" w:rsidRPr="00D3476A" w:rsidRDefault="00D3476A" w:rsidP="00D3476A">
            <w:pPr>
              <w:jc w:val="center"/>
              <w:rPr>
                <w:rFonts w:ascii="Lucida Bright" w:hAnsi="Lucida Bright" w:cs="Calibri"/>
                <w:b/>
                <w:bCs/>
                <w:sz w:val="18"/>
                <w:szCs w:val="18"/>
                <w:lang w:val="es-ES"/>
              </w:rPr>
            </w:pPr>
            <w:r w:rsidRPr="00D3476A">
              <w:rPr>
                <w:rFonts w:ascii="Lucida Bright" w:hAnsi="Lucida Bright" w:cs="Calibri"/>
                <w:b/>
                <w:bCs/>
                <w:sz w:val="18"/>
                <w:szCs w:val="18"/>
                <w:lang w:val="es-ES"/>
              </w:rPr>
              <w:t>BIENES</w:t>
            </w:r>
          </w:p>
        </w:tc>
        <w:tc>
          <w:tcPr>
            <w:tcW w:w="860" w:type="dxa"/>
            <w:vMerge w:val="restart"/>
            <w:tcBorders>
              <w:top w:val="single" w:sz="12" w:space="0" w:color="auto"/>
              <w:left w:val="single" w:sz="8" w:space="0" w:color="auto"/>
              <w:bottom w:val="single" w:sz="8" w:space="0" w:color="000000"/>
              <w:right w:val="single" w:sz="8" w:space="0" w:color="auto"/>
            </w:tcBorders>
            <w:shd w:val="clear" w:color="000000" w:fill="CCFFCC"/>
            <w:vAlign w:val="center"/>
            <w:hideMark/>
          </w:tcPr>
          <w:p w:rsidR="00D3476A" w:rsidRPr="00D3476A" w:rsidRDefault="00D3476A" w:rsidP="00D3476A">
            <w:pPr>
              <w:jc w:val="center"/>
              <w:rPr>
                <w:rFonts w:ascii="Lucida Bright" w:hAnsi="Lucida Bright" w:cs="Calibri"/>
                <w:b/>
                <w:bCs/>
                <w:sz w:val="18"/>
                <w:szCs w:val="18"/>
                <w:lang w:val="es-ES"/>
              </w:rPr>
            </w:pPr>
            <w:r w:rsidRPr="00D3476A">
              <w:rPr>
                <w:rFonts w:ascii="Lucida Bright" w:hAnsi="Lucida Bright" w:cs="Calibri"/>
                <w:b/>
                <w:bCs/>
                <w:sz w:val="18"/>
                <w:szCs w:val="18"/>
                <w:lang w:val="es-ES"/>
              </w:rPr>
              <w:t>Años de</w:t>
            </w:r>
            <w:r w:rsidRPr="00D3476A">
              <w:rPr>
                <w:rFonts w:ascii="Lucida Bright" w:hAnsi="Lucida Bright" w:cs="Calibri"/>
                <w:b/>
                <w:bCs/>
                <w:sz w:val="18"/>
                <w:szCs w:val="18"/>
                <w:lang w:val="es-ES"/>
              </w:rPr>
              <w:br/>
              <w:t>Vida</w:t>
            </w:r>
            <w:r w:rsidRPr="00D3476A">
              <w:rPr>
                <w:rFonts w:ascii="Lucida Bright" w:hAnsi="Lucida Bright" w:cs="Calibri"/>
                <w:b/>
                <w:bCs/>
                <w:sz w:val="18"/>
                <w:szCs w:val="18"/>
                <w:lang w:val="es-ES"/>
              </w:rPr>
              <w:br/>
              <w:t>Útil</w:t>
            </w:r>
          </w:p>
        </w:tc>
        <w:tc>
          <w:tcPr>
            <w:tcW w:w="1460" w:type="dxa"/>
            <w:vMerge w:val="restart"/>
            <w:tcBorders>
              <w:top w:val="single" w:sz="12" w:space="0" w:color="auto"/>
              <w:left w:val="single" w:sz="8" w:space="0" w:color="auto"/>
              <w:bottom w:val="single" w:sz="8" w:space="0" w:color="000000"/>
              <w:right w:val="single" w:sz="12" w:space="0" w:color="auto"/>
            </w:tcBorders>
            <w:shd w:val="clear" w:color="000000" w:fill="CCFFCC"/>
            <w:vAlign w:val="center"/>
            <w:hideMark/>
          </w:tcPr>
          <w:p w:rsidR="00D3476A" w:rsidRPr="00D3476A" w:rsidRDefault="00D3476A" w:rsidP="00D3476A">
            <w:pPr>
              <w:jc w:val="center"/>
              <w:rPr>
                <w:rFonts w:ascii="Lucida Bright" w:hAnsi="Lucida Bright" w:cs="Calibri"/>
                <w:b/>
                <w:bCs/>
                <w:sz w:val="18"/>
                <w:szCs w:val="18"/>
                <w:lang w:val="es-ES"/>
              </w:rPr>
            </w:pPr>
            <w:r w:rsidRPr="00D3476A">
              <w:rPr>
                <w:rFonts w:ascii="Lucida Bright" w:hAnsi="Lucida Bright" w:cs="Calibri"/>
                <w:b/>
                <w:bCs/>
                <w:sz w:val="18"/>
                <w:szCs w:val="18"/>
                <w:lang w:val="es-ES"/>
              </w:rPr>
              <w:t>%</w:t>
            </w:r>
            <w:r w:rsidRPr="00D3476A">
              <w:rPr>
                <w:rFonts w:ascii="Lucida Bright" w:hAnsi="Lucida Bright" w:cs="Calibri"/>
                <w:b/>
                <w:bCs/>
                <w:sz w:val="18"/>
                <w:szCs w:val="18"/>
                <w:lang w:val="es-ES"/>
              </w:rPr>
              <w:br/>
              <w:t>Amortización</w:t>
            </w:r>
            <w:r w:rsidRPr="00D3476A">
              <w:rPr>
                <w:rFonts w:ascii="Lucida Bright" w:hAnsi="Lucida Bright" w:cs="Calibri"/>
                <w:b/>
                <w:bCs/>
                <w:sz w:val="18"/>
                <w:szCs w:val="18"/>
                <w:lang w:val="es-ES"/>
              </w:rPr>
              <w:br/>
              <w:t>Anual</w:t>
            </w:r>
          </w:p>
        </w:tc>
      </w:tr>
      <w:tr w:rsidR="00D3476A" w:rsidRPr="00D3476A" w:rsidTr="00D3476A">
        <w:trPr>
          <w:trHeight w:val="735"/>
        </w:trPr>
        <w:tc>
          <w:tcPr>
            <w:tcW w:w="1460" w:type="dxa"/>
            <w:tcBorders>
              <w:top w:val="nil"/>
              <w:left w:val="single" w:sz="12" w:space="0" w:color="auto"/>
              <w:bottom w:val="single" w:sz="8" w:space="0" w:color="auto"/>
              <w:right w:val="single" w:sz="8" w:space="0" w:color="auto"/>
            </w:tcBorders>
            <w:shd w:val="clear" w:color="000000" w:fill="CCFFCC"/>
            <w:vAlign w:val="center"/>
            <w:hideMark/>
          </w:tcPr>
          <w:p w:rsidR="00D3476A" w:rsidRPr="00D3476A" w:rsidRDefault="00D3476A" w:rsidP="00D3476A">
            <w:pPr>
              <w:jc w:val="center"/>
              <w:rPr>
                <w:rFonts w:ascii="Lucida Bright" w:hAnsi="Lucida Bright" w:cs="Calibri"/>
                <w:b/>
                <w:bCs/>
                <w:sz w:val="18"/>
                <w:szCs w:val="18"/>
                <w:lang w:val="es-ES"/>
              </w:rPr>
            </w:pPr>
            <w:r w:rsidRPr="00D3476A">
              <w:rPr>
                <w:rFonts w:ascii="Lucida Bright" w:hAnsi="Lucida Bright" w:cs="Calibri"/>
                <w:b/>
                <w:bCs/>
                <w:sz w:val="18"/>
                <w:szCs w:val="18"/>
                <w:lang w:val="es-ES"/>
              </w:rPr>
              <w:t>Clasificación</w:t>
            </w:r>
            <w:r w:rsidRPr="00D3476A">
              <w:rPr>
                <w:rFonts w:ascii="Lucida Bright" w:hAnsi="Lucida Bright" w:cs="Calibri"/>
                <w:b/>
                <w:bCs/>
                <w:sz w:val="18"/>
                <w:szCs w:val="18"/>
                <w:lang w:val="es-ES"/>
              </w:rPr>
              <w:br/>
              <w:t>Funcional</w:t>
            </w:r>
          </w:p>
        </w:tc>
        <w:tc>
          <w:tcPr>
            <w:tcW w:w="5140" w:type="dxa"/>
            <w:tcBorders>
              <w:top w:val="nil"/>
              <w:left w:val="nil"/>
              <w:bottom w:val="single" w:sz="8" w:space="0" w:color="auto"/>
              <w:right w:val="single" w:sz="8" w:space="0" w:color="auto"/>
            </w:tcBorders>
            <w:shd w:val="clear" w:color="000000" w:fill="CCFFCC"/>
            <w:noWrap/>
            <w:vAlign w:val="center"/>
            <w:hideMark/>
          </w:tcPr>
          <w:p w:rsidR="00D3476A" w:rsidRPr="00D3476A" w:rsidRDefault="00D3476A" w:rsidP="00D3476A">
            <w:pPr>
              <w:jc w:val="center"/>
              <w:rPr>
                <w:rFonts w:ascii="Lucida Bright" w:hAnsi="Lucida Bright" w:cs="Calibri"/>
                <w:b/>
                <w:bCs/>
                <w:sz w:val="18"/>
                <w:szCs w:val="18"/>
                <w:lang w:val="es-ES"/>
              </w:rPr>
            </w:pPr>
            <w:r w:rsidRPr="00D3476A">
              <w:rPr>
                <w:rFonts w:ascii="Lucida Bright" w:hAnsi="Lucida Bright" w:cs="Calibri"/>
                <w:b/>
                <w:bCs/>
                <w:sz w:val="18"/>
                <w:szCs w:val="18"/>
                <w:lang w:val="es-ES"/>
              </w:rPr>
              <w:t>Descripción</w:t>
            </w:r>
          </w:p>
        </w:tc>
        <w:tc>
          <w:tcPr>
            <w:tcW w:w="860" w:type="dxa"/>
            <w:vMerge/>
            <w:tcBorders>
              <w:top w:val="single" w:sz="12" w:space="0" w:color="auto"/>
              <w:left w:val="single" w:sz="8" w:space="0" w:color="auto"/>
              <w:bottom w:val="single" w:sz="8" w:space="0" w:color="000000"/>
              <w:right w:val="single" w:sz="8" w:space="0" w:color="auto"/>
            </w:tcBorders>
            <w:vAlign w:val="center"/>
            <w:hideMark/>
          </w:tcPr>
          <w:p w:rsidR="00D3476A" w:rsidRPr="00D3476A" w:rsidRDefault="00D3476A" w:rsidP="00D3476A">
            <w:pPr>
              <w:rPr>
                <w:rFonts w:ascii="Lucida Bright" w:hAnsi="Lucida Bright" w:cs="Calibri"/>
                <w:b/>
                <w:bCs/>
                <w:sz w:val="18"/>
                <w:szCs w:val="18"/>
                <w:lang w:val="es-ES"/>
              </w:rPr>
            </w:pPr>
          </w:p>
        </w:tc>
        <w:tc>
          <w:tcPr>
            <w:tcW w:w="1460" w:type="dxa"/>
            <w:vMerge/>
            <w:tcBorders>
              <w:top w:val="single" w:sz="12" w:space="0" w:color="auto"/>
              <w:left w:val="single" w:sz="8" w:space="0" w:color="auto"/>
              <w:bottom w:val="single" w:sz="8" w:space="0" w:color="000000"/>
              <w:right w:val="single" w:sz="12" w:space="0" w:color="auto"/>
            </w:tcBorders>
            <w:vAlign w:val="center"/>
            <w:hideMark/>
          </w:tcPr>
          <w:p w:rsidR="00D3476A" w:rsidRPr="00D3476A" w:rsidRDefault="00D3476A" w:rsidP="00D3476A">
            <w:pPr>
              <w:rPr>
                <w:rFonts w:ascii="Lucida Bright" w:hAnsi="Lucida Bright" w:cs="Calibri"/>
                <w:b/>
                <w:bCs/>
                <w:sz w:val="18"/>
                <w:szCs w:val="18"/>
                <w:lang w:val="es-ES"/>
              </w:rPr>
            </w:pP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Instalaciones de ayudas a la navegación</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0104</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Instalaciones de ayudas visuales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0105</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Instalaciones de ayudas radioeléctricas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0106</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Instalaciones de gestión y explotación</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02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Accesos marítimos: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0201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Dragados de primer establecimiento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0203</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Esclusas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75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1,33%</w:t>
            </w:r>
          </w:p>
        </w:tc>
      </w:tr>
      <w:tr w:rsidR="00D3476A" w:rsidRPr="00D3476A" w:rsidTr="00D3476A">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0205</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Obras permanentes de encauzamiento y defensa de</w:t>
            </w:r>
            <w:r w:rsidRPr="00D3476A">
              <w:rPr>
                <w:rFonts w:ascii="Lucida Bright" w:hAnsi="Lucida Bright" w:cs="Calibri"/>
                <w:sz w:val="18"/>
                <w:szCs w:val="18"/>
                <w:lang w:val="es-ES"/>
              </w:rPr>
              <w:br/>
              <w:t>márgenes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2,86%</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03</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Obras de abrigo y defensa:</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0301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Diques y obras de abrigo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0303</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Escollera de protección de recintos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2,50%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04</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Obras de atraque:</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0401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Muelles de fábrica</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2,50%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0402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xml:space="preserve">Muelles de </w:t>
            </w:r>
            <w:r w:rsidR="003F24D6" w:rsidRPr="00D3476A">
              <w:rPr>
                <w:rFonts w:ascii="Lucida Bright" w:hAnsi="Lucida Bright" w:cs="Calibri"/>
                <w:sz w:val="18"/>
                <w:szCs w:val="18"/>
                <w:lang w:val="es-ES"/>
              </w:rPr>
              <w:t>hormigón</w:t>
            </w:r>
            <w:r w:rsidRPr="00D3476A">
              <w:rPr>
                <w:rFonts w:ascii="Lucida Bright" w:hAnsi="Lucida Bright" w:cs="Calibri"/>
                <w:sz w:val="18"/>
                <w:szCs w:val="18"/>
                <w:lang w:val="es-ES"/>
              </w:rPr>
              <w:t xml:space="preserve"> armado y metálicos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3,33%</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0403</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Defensas y elementos de amarre</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0404</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Obras complementarias para atraque</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6,70%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0405</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Pantalanes flotantes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0406</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Boyas de amarre</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6,70%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05</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Instalaciones para reparación de barcos: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0501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Diques secos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2,50%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0502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Varaderos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3,33%</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0503</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Diques flotantes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06</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Edificaciones: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0601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Tinglados, almacenes y depósitos para mercancías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2,86%</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0602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Estaciones marítimas, naves y lonjas de pesca</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2,86%</w:t>
            </w:r>
          </w:p>
        </w:tc>
      </w:tr>
      <w:tr w:rsidR="00D3476A" w:rsidRPr="00D3476A" w:rsidTr="00D3476A">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0603</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Almacenes, talleres, garajes y oficinas, y casetas de pesca, armadores y similares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0604</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Viviendas y otros edificios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0605</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Edificaciones menores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0606</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Módulos y pequeñas construcciones prefabricadas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5,88%</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0607</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Elementos fijos de soporte de ayudas a la navegación</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2,86%</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lastRenderedPageBreak/>
              <w:t>07</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Instalaciones generales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0701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Instalaciones, conducciones y alumbrado exterior:</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ind w:firstLineChars="100" w:firstLine="180"/>
              <w:rPr>
                <w:rFonts w:ascii="Lucida Bright" w:hAnsi="Lucida Bright" w:cs="Calibri"/>
                <w:sz w:val="18"/>
                <w:szCs w:val="18"/>
                <w:lang w:val="es-ES"/>
              </w:rPr>
            </w:pPr>
            <w:r w:rsidRPr="00D3476A">
              <w:rPr>
                <w:rFonts w:ascii="Lucida Bright" w:hAnsi="Lucida Bright" w:cs="Calibri"/>
                <w:sz w:val="18"/>
                <w:szCs w:val="18"/>
                <w:lang w:val="es-ES"/>
              </w:rPr>
              <w:t>&gt; Subestaciones e instalaciones eléctricas, redes de distribución de energía eléctrica</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5,88%</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ind w:firstLineChars="100" w:firstLine="180"/>
              <w:rPr>
                <w:rFonts w:ascii="Lucida Bright" w:hAnsi="Lucida Bright" w:cs="Calibri"/>
                <w:sz w:val="18"/>
                <w:szCs w:val="18"/>
                <w:lang w:val="es-ES"/>
              </w:rPr>
            </w:pPr>
            <w:r w:rsidRPr="00D3476A">
              <w:rPr>
                <w:rFonts w:ascii="Lucida Bright" w:hAnsi="Lucida Bright" w:cs="Calibri"/>
                <w:sz w:val="18"/>
                <w:szCs w:val="18"/>
                <w:lang w:val="es-ES"/>
              </w:rPr>
              <w:t>&gt; Resto de elementos del epígrafe 0701</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5,88%</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0702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Cerramientos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5,88%</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0703</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Otras instalaciones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17</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5,88%</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08</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Pavimentos, calzadas y vías de circulación</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0801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Vías férreas y estaciones de clasificación</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w:t>
            </w:r>
          </w:p>
        </w:tc>
      </w:tr>
      <w:tr w:rsidR="00D3476A" w:rsidRPr="00D3476A" w:rsidTr="00D3476A">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0802</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Pavimentos en muelles y zonas de manipulación y depósito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6,70%</w:t>
            </w:r>
          </w:p>
        </w:tc>
      </w:tr>
      <w:tr w:rsidR="00D3476A" w:rsidRPr="00D3476A" w:rsidTr="00D3476A">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0803</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Caminos, zonas de circulación y aparcamiento,</w:t>
            </w:r>
            <w:r w:rsidRPr="00D3476A">
              <w:rPr>
                <w:rFonts w:ascii="Lucida Bright" w:hAnsi="Lucida Bright" w:cs="Calibri"/>
                <w:sz w:val="18"/>
                <w:szCs w:val="18"/>
                <w:lang w:val="es-ES"/>
              </w:rPr>
              <w:br/>
              <w:t>depósitos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6,50%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0804</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Puentes de fábrica</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2,22%</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0805</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Puentes metálicos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2,86%</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0806</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Túneles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35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2,86%</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09</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Equipos de manipulación de mercancías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0901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Cargaderos e instalaciones especiales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0902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Grúas de pórtico y porta contenedores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0903</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Grúas automóviles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r>
      <w:tr w:rsidR="00D3476A" w:rsidRPr="00D3476A" w:rsidTr="00D3476A">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0904</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Carretillas, tractores, remolques y tolvas, cintas y</w:t>
            </w:r>
            <w:r w:rsidRPr="00D3476A">
              <w:rPr>
                <w:rFonts w:ascii="Lucida Bright" w:hAnsi="Lucida Bright" w:cs="Calibri"/>
                <w:sz w:val="18"/>
                <w:szCs w:val="18"/>
                <w:lang w:val="es-ES"/>
              </w:rPr>
              <w:br/>
              <w:t>equipo ligero: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ind w:firstLineChars="100" w:firstLine="180"/>
              <w:rPr>
                <w:rFonts w:ascii="Lucida Bright" w:hAnsi="Lucida Bright" w:cs="Calibri"/>
                <w:sz w:val="18"/>
                <w:szCs w:val="18"/>
                <w:lang w:val="es-ES"/>
              </w:rPr>
            </w:pPr>
            <w:r w:rsidRPr="00D3476A">
              <w:rPr>
                <w:rFonts w:ascii="Lucida Bright" w:hAnsi="Lucida Bright" w:cs="Calibri"/>
                <w:sz w:val="18"/>
                <w:szCs w:val="18"/>
                <w:lang w:val="es-ES"/>
              </w:rPr>
              <w:t>&gt; Tractores, autocamiones y remolques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ind w:firstLineChars="100" w:firstLine="180"/>
              <w:rPr>
                <w:rFonts w:ascii="Lucida Bright" w:hAnsi="Lucida Bright" w:cs="Calibri"/>
                <w:sz w:val="18"/>
                <w:szCs w:val="18"/>
                <w:lang w:val="es-ES"/>
              </w:rPr>
            </w:pPr>
            <w:r w:rsidRPr="00D3476A">
              <w:rPr>
                <w:rFonts w:ascii="Lucida Bright" w:hAnsi="Lucida Bright" w:cs="Calibri"/>
                <w:sz w:val="18"/>
                <w:szCs w:val="18"/>
                <w:lang w:val="es-ES"/>
              </w:rPr>
              <w:t>&gt; Resto epígrafe 0904</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10</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Material flotante</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1001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Cabrias y grúas flotantes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1002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Dragas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1003</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Remolcadores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1004</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Gánguiles, gabarras y barcazas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4%</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1005</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Equipo auxiliar y equipo de buzos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1006</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Embarcaciones de servicio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6,70%</w:t>
            </w:r>
          </w:p>
        </w:tc>
      </w:tr>
      <w:tr w:rsidR="00D3476A" w:rsidRPr="00D3476A" w:rsidTr="00D3476A">
        <w:trPr>
          <w:trHeight w:val="48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1007</w:t>
            </w:r>
          </w:p>
        </w:tc>
        <w:tc>
          <w:tcPr>
            <w:tcW w:w="5140" w:type="dxa"/>
            <w:tcBorders>
              <w:top w:val="nil"/>
              <w:left w:val="nil"/>
              <w:bottom w:val="nil"/>
              <w:right w:val="single" w:sz="4" w:space="0" w:color="auto"/>
            </w:tcBorders>
            <w:shd w:val="clear" w:color="auto" w:fill="auto"/>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Elementos comunes de soporte flotante de ayudas a la navegación</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6,70%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11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Equipos de transporte</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1101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Automóviles y motocicletas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6,25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16%</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1102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Camiones y furgonetas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6,25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16%</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12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Material ferroviario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1201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Locomotoras y tractores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6,70%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1202</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Vagones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lastRenderedPageBreak/>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13</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Equipo de taller</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1301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Equipo de taller</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14</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7,10%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14</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Mobiliario y enseres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1401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Mobiliario y enseres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15</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Material diverso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1501</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Material diverso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ind w:firstLineChars="100" w:firstLine="180"/>
              <w:rPr>
                <w:rFonts w:ascii="Lucida Bright" w:hAnsi="Lucida Bright" w:cs="Calibri"/>
                <w:sz w:val="18"/>
                <w:szCs w:val="18"/>
                <w:lang w:val="es-ES"/>
              </w:rPr>
            </w:pPr>
            <w:r w:rsidRPr="00D3476A">
              <w:rPr>
                <w:rFonts w:ascii="Lucida Bright" w:hAnsi="Lucida Bright" w:cs="Calibri"/>
                <w:sz w:val="18"/>
                <w:szCs w:val="18"/>
                <w:lang w:val="es-ES"/>
              </w:rPr>
              <w:t>&gt; Mobiliario urbano, árboles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6,67</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ind w:firstLineChars="100" w:firstLine="180"/>
              <w:rPr>
                <w:rFonts w:ascii="Lucida Bright" w:hAnsi="Lucida Bright" w:cs="Calibri"/>
                <w:sz w:val="18"/>
                <w:szCs w:val="18"/>
                <w:lang w:val="es-ES"/>
              </w:rPr>
            </w:pPr>
            <w:r w:rsidRPr="00D3476A">
              <w:rPr>
                <w:rFonts w:ascii="Lucida Bright" w:hAnsi="Lucida Bright" w:cs="Calibri"/>
                <w:sz w:val="18"/>
                <w:szCs w:val="18"/>
                <w:lang w:val="es-ES"/>
              </w:rPr>
              <w:t>&gt; Equipos de oficina, material de laboratorio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6,67</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ind w:firstLineChars="100" w:firstLine="180"/>
              <w:rPr>
                <w:rFonts w:ascii="Lucida Bright" w:hAnsi="Lucida Bright" w:cs="Calibri"/>
                <w:sz w:val="18"/>
                <w:szCs w:val="18"/>
                <w:lang w:val="es-ES"/>
              </w:rPr>
            </w:pPr>
            <w:r w:rsidRPr="00D3476A">
              <w:rPr>
                <w:rFonts w:ascii="Lucida Bright" w:hAnsi="Lucida Bright" w:cs="Calibri"/>
                <w:sz w:val="18"/>
                <w:szCs w:val="18"/>
                <w:lang w:val="es-ES"/>
              </w:rPr>
              <w:t>&gt; Equipos para radiocomunicaciones, radioteléfonos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20%</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ind w:firstLineChars="100" w:firstLine="180"/>
              <w:rPr>
                <w:rFonts w:ascii="Lucida Bright" w:hAnsi="Lucida Bright" w:cs="Calibri"/>
                <w:sz w:val="18"/>
                <w:szCs w:val="18"/>
                <w:lang w:val="es-ES"/>
              </w:rPr>
            </w:pPr>
            <w:r w:rsidRPr="00D3476A">
              <w:rPr>
                <w:rFonts w:ascii="Lucida Bright" w:hAnsi="Lucida Bright" w:cs="Calibri"/>
                <w:sz w:val="18"/>
                <w:szCs w:val="18"/>
                <w:lang w:val="es-ES"/>
              </w:rPr>
              <w:t>&gt; Equipos médicos asistenciales</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6,67</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15%</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 </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00"/>
        </w:trPr>
        <w:tc>
          <w:tcPr>
            <w:tcW w:w="1460" w:type="dxa"/>
            <w:tcBorders>
              <w:top w:val="nil"/>
              <w:left w:val="single" w:sz="12" w:space="0" w:color="auto"/>
              <w:bottom w:val="nil"/>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b/>
                <w:bCs/>
                <w:sz w:val="18"/>
                <w:szCs w:val="18"/>
                <w:lang w:val="es-ES"/>
              </w:rPr>
            </w:pPr>
            <w:r w:rsidRPr="00D3476A">
              <w:rPr>
                <w:rFonts w:ascii="Lucida Bright" w:hAnsi="Lucida Bright" w:cs="Calibri"/>
                <w:b/>
                <w:bCs/>
                <w:sz w:val="18"/>
                <w:szCs w:val="18"/>
                <w:lang w:val="es-ES"/>
              </w:rPr>
              <w:t>16</w:t>
            </w:r>
          </w:p>
        </w:tc>
        <w:tc>
          <w:tcPr>
            <w:tcW w:w="5140" w:type="dxa"/>
            <w:tcBorders>
              <w:top w:val="nil"/>
              <w:left w:val="nil"/>
              <w:bottom w:val="nil"/>
              <w:right w:val="single" w:sz="4" w:space="0" w:color="auto"/>
            </w:tcBorders>
            <w:shd w:val="clear" w:color="auto" w:fill="auto"/>
            <w:noWrap/>
            <w:vAlign w:val="center"/>
            <w:hideMark/>
          </w:tcPr>
          <w:p w:rsidR="00D3476A" w:rsidRPr="00D3476A" w:rsidRDefault="00D3476A" w:rsidP="00D3476A">
            <w:pPr>
              <w:rPr>
                <w:rFonts w:ascii="Lucida Bright" w:hAnsi="Lucida Bright" w:cs="Calibri"/>
                <w:b/>
                <w:bCs/>
                <w:sz w:val="18"/>
                <w:szCs w:val="18"/>
                <w:lang w:val="es-ES"/>
              </w:rPr>
            </w:pPr>
            <w:r w:rsidRPr="00D3476A">
              <w:rPr>
                <w:rFonts w:ascii="Lucida Bright" w:hAnsi="Lucida Bright" w:cs="Calibri"/>
                <w:b/>
                <w:bCs/>
                <w:sz w:val="18"/>
                <w:szCs w:val="18"/>
                <w:lang w:val="es-ES"/>
              </w:rPr>
              <w:t>Equipo informático</w:t>
            </w:r>
          </w:p>
        </w:tc>
        <w:tc>
          <w:tcPr>
            <w:tcW w:w="860" w:type="dxa"/>
            <w:tcBorders>
              <w:top w:val="nil"/>
              <w:left w:val="nil"/>
              <w:bottom w:val="nil"/>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c>
          <w:tcPr>
            <w:tcW w:w="1460" w:type="dxa"/>
            <w:tcBorders>
              <w:top w:val="nil"/>
              <w:left w:val="nil"/>
              <w:bottom w:val="nil"/>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 </w:t>
            </w:r>
          </w:p>
        </w:tc>
      </w:tr>
      <w:tr w:rsidR="00D3476A" w:rsidRPr="00D3476A" w:rsidTr="00D3476A">
        <w:trPr>
          <w:trHeight w:val="315"/>
        </w:trPr>
        <w:tc>
          <w:tcPr>
            <w:tcW w:w="1460" w:type="dxa"/>
            <w:tcBorders>
              <w:top w:val="nil"/>
              <w:left w:val="single" w:sz="12" w:space="0" w:color="auto"/>
              <w:bottom w:val="single" w:sz="12" w:space="0" w:color="auto"/>
              <w:right w:val="single" w:sz="4" w:space="0" w:color="auto"/>
            </w:tcBorders>
            <w:shd w:val="clear" w:color="auto" w:fill="auto"/>
            <w:noWrap/>
            <w:vAlign w:val="center"/>
            <w:hideMark/>
          </w:tcPr>
          <w:p w:rsidR="00D3476A" w:rsidRPr="00D3476A" w:rsidRDefault="00D3476A" w:rsidP="00D3476A">
            <w:pPr>
              <w:jc w:val="right"/>
              <w:rPr>
                <w:rFonts w:ascii="Lucida Bright" w:hAnsi="Lucida Bright" w:cs="Calibri"/>
                <w:sz w:val="18"/>
                <w:szCs w:val="18"/>
                <w:lang w:val="es-ES"/>
              </w:rPr>
            </w:pPr>
            <w:r w:rsidRPr="00D3476A">
              <w:rPr>
                <w:rFonts w:ascii="Lucida Bright" w:hAnsi="Lucida Bright" w:cs="Calibri"/>
                <w:sz w:val="18"/>
                <w:szCs w:val="18"/>
                <w:lang w:val="es-ES"/>
              </w:rPr>
              <w:t>1601</w:t>
            </w:r>
          </w:p>
        </w:tc>
        <w:tc>
          <w:tcPr>
            <w:tcW w:w="5140" w:type="dxa"/>
            <w:tcBorders>
              <w:top w:val="nil"/>
              <w:left w:val="nil"/>
              <w:bottom w:val="single" w:sz="12" w:space="0" w:color="auto"/>
              <w:right w:val="single" w:sz="4" w:space="0" w:color="auto"/>
            </w:tcBorders>
            <w:shd w:val="clear" w:color="auto" w:fill="auto"/>
            <w:vAlign w:val="center"/>
            <w:hideMark/>
          </w:tcPr>
          <w:p w:rsidR="00D3476A" w:rsidRPr="00D3476A" w:rsidRDefault="00D3476A" w:rsidP="00D3476A">
            <w:pPr>
              <w:rPr>
                <w:rFonts w:ascii="Lucida Bright" w:hAnsi="Lucida Bright" w:cs="Calibri"/>
                <w:sz w:val="18"/>
                <w:szCs w:val="18"/>
                <w:lang w:val="es-ES"/>
              </w:rPr>
            </w:pPr>
            <w:r w:rsidRPr="00D3476A">
              <w:rPr>
                <w:rFonts w:ascii="Lucida Bright" w:hAnsi="Lucida Bright" w:cs="Calibri"/>
                <w:sz w:val="18"/>
                <w:szCs w:val="18"/>
                <w:lang w:val="es-ES"/>
              </w:rPr>
              <w:t xml:space="preserve">Equipo </w:t>
            </w:r>
            <w:r w:rsidR="003F24D6" w:rsidRPr="00D3476A">
              <w:rPr>
                <w:rFonts w:ascii="Lucida Bright" w:hAnsi="Lucida Bright" w:cs="Calibri"/>
                <w:sz w:val="18"/>
                <w:szCs w:val="18"/>
                <w:lang w:val="es-ES"/>
              </w:rPr>
              <w:t>informático</w:t>
            </w:r>
            <w:r w:rsidRPr="00D3476A">
              <w:rPr>
                <w:rFonts w:ascii="Lucida Bright" w:hAnsi="Lucida Bright" w:cs="Calibri"/>
                <w:sz w:val="18"/>
                <w:szCs w:val="18"/>
                <w:lang w:val="es-ES"/>
              </w:rPr>
              <w:t xml:space="preserve"> (hardware)</w:t>
            </w:r>
          </w:p>
        </w:tc>
        <w:tc>
          <w:tcPr>
            <w:tcW w:w="860" w:type="dxa"/>
            <w:tcBorders>
              <w:top w:val="nil"/>
              <w:left w:val="nil"/>
              <w:bottom w:val="single" w:sz="12" w:space="0" w:color="auto"/>
              <w:right w:val="single" w:sz="4"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5</w:t>
            </w:r>
          </w:p>
        </w:tc>
        <w:tc>
          <w:tcPr>
            <w:tcW w:w="1460" w:type="dxa"/>
            <w:tcBorders>
              <w:top w:val="nil"/>
              <w:left w:val="nil"/>
              <w:bottom w:val="single" w:sz="12" w:space="0" w:color="auto"/>
              <w:right w:val="single" w:sz="12" w:space="0" w:color="auto"/>
            </w:tcBorders>
            <w:shd w:val="clear" w:color="auto" w:fill="auto"/>
            <w:noWrap/>
            <w:vAlign w:val="center"/>
            <w:hideMark/>
          </w:tcPr>
          <w:p w:rsidR="00D3476A" w:rsidRPr="00D3476A" w:rsidRDefault="00D3476A" w:rsidP="00D3476A">
            <w:pPr>
              <w:jc w:val="center"/>
              <w:rPr>
                <w:rFonts w:ascii="Lucida Bright" w:hAnsi="Lucida Bright" w:cs="Calibri"/>
                <w:sz w:val="18"/>
                <w:szCs w:val="18"/>
                <w:lang w:val="es-ES"/>
              </w:rPr>
            </w:pPr>
            <w:r w:rsidRPr="00D3476A">
              <w:rPr>
                <w:rFonts w:ascii="Lucida Bright" w:hAnsi="Lucida Bright" w:cs="Calibri"/>
                <w:sz w:val="18"/>
                <w:szCs w:val="18"/>
                <w:lang w:val="es-ES"/>
              </w:rPr>
              <w:t>20%</w:t>
            </w:r>
          </w:p>
        </w:tc>
      </w:tr>
    </w:tbl>
    <w:p w:rsidR="00234116" w:rsidRDefault="00234116" w:rsidP="00234116">
      <w:pPr>
        <w:jc w:val="both"/>
        <w:rPr>
          <w:rFonts w:ascii="NewBaskerville" w:hAnsi="NewBaskerville"/>
        </w:rPr>
      </w:pPr>
    </w:p>
    <w:p w:rsidR="00D3476A" w:rsidRDefault="00D3476A" w:rsidP="00D3476A">
      <w:pPr>
        <w:ind w:firstLine="567"/>
        <w:jc w:val="both"/>
        <w:rPr>
          <w:rFonts w:ascii="NewBaskerville" w:hAnsi="NewBaskerville"/>
        </w:rPr>
      </w:pPr>
    </w:p>
    <w:p w:rsidR="008E090B" w:rsidRDefault="008E090B" w:rsidP="00D3476A">
      <w:pPr>
        <w:ind w:firstLine="567"/>
        <w:jc w:val="both"/>
        <w:rPr>
          <w:rFonts w:ascii="NewBaskerville" w:hAnsi="NewBaskerville"/>
        </w:rPr>
      </w:pPr>
    </w:p>
    <w:p w:rsidR="002C4355" w:rsidRPr="006C6932" w:rsidRDefault="00BA6314" w:rsidP="00BA6314">
      <w:pPr>
        <w:pStyle w:val="Prrafodelista"/>
        <w:numPr>
          <w:ilvl w:val="0"/>
          <w:numId w:val="3"/>
        </w:numPr>
        <w:spacing w:after="120"/>
        <w:jc w:val="both"/>
        <w:rPr>
          <w:rFonts w:ascii="NewBaskerville" w:hAnsi="NewBaskerville"/>
          <w:bCs/>
        </w:rPr>
      </w:pPr>
      <w:r w:rsidRPr="006C6932">
        <w:rPr>
          <w:rFonts w:ascii="NewBaskerville" w:hAnsi="NewBaskerville"/>
          <w:bCs/>
        </w:rPr>
        <w:t xml:space="preserve"> </w:t>
      </w:r>
      <w:r w:rsidR="002C4355" w:rsidRPr="006C6932">
        <w:rPr>
          <w:rFonts w:ascii="NewBaskerville" w:hAnsi="NewBaskerville"/>
          <w:bCs/>
        </w:rPr>
        <w:t>Inversiones inmobiliarias</w:t>
      </w:r>
    </w:p>
    <w:p w:rsidR="002C4355" w:rsidRPr="006C6932" w:rsidRDefault="002C4355">
      <w:pPr>
        <w:pStyle w:val="Sangra3detindependiente"/>
        <w:tabs>
          <w:tab w:val="center" w:pos="1843"/>
        </w:tabs>
        <w:rPr>
          <w:rFonts w:ascii="NewBaskerville" w:hAnsi="NewBaskerville"/>
          <w:bCs/>
          <w:sz w:val="20"/>
          <w:szCs w:val="20"/>
        </w:rPr>
      </w:pPr>
      <w:r w:rsidRPr="006C6932">
        <w:rPr>
          <w:rFonts w:ascii="NewBaskerville" w:hAnsi="NewBaskerville"/>
          <w:bCs/>
          <w:sz w:val="20"/>
          <w:szCs w:val="20"/>
        </w:rPr>
        <w:t>Las concesiones y autorizaciones de ocupación temporal del dominio público portuario cumplen las condiciones establecidas en la NRV 8ª “Arrendamientos y otras operaciones de naturaleza similar” para ser calificadas contablemente como arrendamientos operativos. Por ello se han clasificado como inversiones inmobiliarias los bienes otorgados en concesión o autorización o que sean susceptibles de serlo, en el curso normal de las operaciones propias y habituales de la Autoridad Portuaria por ser la finalidad natural de estos bienes su puesta a disposición de terceros para la realización por parte de estos de actividades comerciales o industriales, con independencia de que por circunstancias coyunturales los mismos puedan encontrarse desocupados o ser explotados directamente por la Autoridad Portuaria. En estos casos la Autoridad Portuaria actúa como arrendador si bien no se transfieren al concesionario todos los riesgos y beneficios inherentes a la propiedad del activo objeto del contrato por tratarse de bienes de dominio público. No se reclasifican como inversiones inmobiliarias aquellos activos no corrientes que, a pesar de encontrarse concesionados o con autorización de ocupación temporal</w:t>
      </w:r>
      <w:r w:rsidR="008E090B">
        <w:rPr>
          <w:rFonts w:ascii="NewBaskerville" w:hAnsi="NewBaskerville"/>
          <w:bCs/>
          <w:sz w:val="20"/>
          <w:szCs w:val="20"/>
        </w:rPr>
        <w:t>,</w:t>
      </w:r>
      <w:r w:rsidRPr="006C6932">
        <w:rPr>
          <w:rFonts w:ascii="NewBaskerville" w:hAnsi="NewBaskerville"/>
          <w:bCs/>
          <w:sz w:val="20"/>
          <w:szCs w:val="20"/>
        </w:rPr>
        <w:t xml:space="preserve"> no tengan como finalidad su puesta a disposición de terceros para su explotación económica, ni los elementos concesionados o autorizados parcialmente.</w:t>
      </w:r>
    </w:p>
    <w:p w:rsidR="002C4355" w:rsidRPr="006C6932" w:rsidRDefault="002C4355">
      <w:pPr>
        <w:pStyle w:val="Sangra3detindependiente"/>
        <w:tabs>
          <w:tab w:val="center" w:pos="1843"/>
        </w:tabs>
        <w:rPr>
          <w:rFonts w:ascii="NewBaskerville" w:hAnsi="NewBaskerville"/>
          <w:sz w:val="20"/>
          <w:szCs w:val="20"/>
        </w:rPr>
      </w:pPr>
    </w:p>
    <w:p w:rsidR="002C4355" w:rsidRDefault="002C4355">
      <w:pPr>
        <w:pStyle w:val="Sangra3detindependiente"/>
        <w:tabs>
          <w:tab w:val="center" w:pos="1843"/>
        </w:tabs>
        <w:rPr>
          <w:rFonts w:ascii="NewBaskerville" w:hAnsi="NewBaskerville"/>
          <w:bCs/>
          <w:sz w:val="20"/>
          <w:szCs w:val="20"/>
        </w:rPr>
      </w:pPr>
      <w:r w:rsidRPr="006C6932">
        <w:rPr>
          <w:rFonts w:ascii="NewBaskerville" w:hAnsi="NewBaskerville"/>
          <w:bCs/>
          <w:sz w:val="20"/>
          <w:szCs w:val="20"/>
        </w:rPr>
        <w:t>Los activos en curso se mantienen dentro del inmovilizado material hasta su finalización. A partir de este momento, con carácter general dichos bienes se inc</w:t>
      </w:r>
      <w:r w:rsidR="0035398A" w:rsidRPr="006C6932">
        <w:rPr>
          <w:rFonts w:ascii="NewBaskerville" w:hAnsi="NewBaskerville"/>
          <w:bCs/>
          <w:sz w:val="20"/>
          <w:szCs w:val="20"/>
        </w:rPr>
        <w:t>orporan al inmovilizado en el epígrafe correspondiente</w:t>
      </w:r>
      <w:r w:rsidRPr="006C6932">
        <w:rPr>
          <w:rFonts w:ascii="NewBaskerville" w:hAnsi="NewBaskerville"/>
          <w:bCs/>
          <w:sz w:val="20"/>
          <w:szCs w:val="20"/>
        </w:rPr>
        <w:t xml:space="preserve"> hasta que se decida ponerlos a disposición de terceros en concesión o autorización</w:t>
      </w:r>
      <w:r w:rsidR="003E2475">
        <w:rPr>
          <w:rFonts w:ascii="NewBaskerville" w:hAnsi="NewBaskerville"/>
          <w:bCs/>
          <w:sz w:val="20"/>
          <w:szCs w:val="20"/>
        </w:rPr>
        <w:t>, cuando</w:t>
      </w:r>
      <w:r w:rsidRPr="006C6932">
        <w:rPr>
          <w:rFonts w:ascii="NewBaskerville" w:hAnsi="NewBaskerville"/>
          <w:bCs/>
          <w:sz w:val="20"/>
          <w:szCs w:val="20"/>
        </w:rPr>
        <w:t xml:space="preserve"> pasan a inversiones inmobiliarias.</w:t>
      </w:r>
    </w:p>
    <w:p w:rsidR="006375A3" w:rsidRDefault="006375A3">
      <w:pPr>
        <w:pStyle w:val="Sangra3detindependiente"/>
        <w:tabs>
          <w:tab w:val="center" w:pos="1843"/>
        </w:tabs>
        <w:rPr>
          <w:rFonts w:ascii="NewBaskerville" w:hAnsi="NewBaskerville"/>
          <w:bCs/>
          <w:sz w:val="20"/>
          <w:szCs w:val="20"/>
        </w:rPr>
      </w:pPr>
    </w:p>
    <w:p w:rsidR="006375A3" w:rsidRPr="006C6932" w:rsidRDefault="006375A3">
      <w:pPr>
        <w:pStyle w:val="Sangra3detindependiente"/>
        <w:tabs>
          <w:tab w:val="center" w:pos="1843"/>
        </w:tabs>
        <w:rPr>
          <w:rFonts w:ascii="NewBaskerville" w:hAnsi="NewBaskerville"/>
          <w:sz w:val="20"/>
          <w:szCs w:val="20"/>
        </w:rPr>
      </w:pPr>
      <w:r>
        <w:rPr>
          <w:rFonts w:ascii="NewBaskerville" w:hAnsi="NewBaskerville"/>
          <w:bCs/>
          <w:sz w:val="20"/>
          <w:szCs w:val="20"/>
        </w:rPr>
        <w:t xml:space="preserve">Los activos </w:t>
      </w:r>
      <w:r w:rsidR="003E59EB">
        <w:rPr>
          <w:rFonts w:ascii="NewBaskerville" w:hAnsi="NewBaskerville"/>
          <w:bCs/>
          <w:sz w:val="20"/>
          <w:szCs w:val="20"/>
        </w:rPr>
        <w:t>correspondientes a obras e instalaciones no desmontables de concesiones cuya fecha de extinción es incierta, ya sea por</w:t>
      </w:r>
      <w:r w:rsidR="00582B49">
        <w:rPr>
          <w:rFonts w:ascii="NewBaskerville" w:hAnsi="NewBaskerville"/>
          <w:bCs/>
          <w:sz w:val="20"/>
          <w:szCs w:val="20"/>
        </w:rPr>
        <w:t xml:space="preserve"> una futura</w:t>
      </w:r>
      <w:r w:rsidR="003E59EB">
        <w:rPr>
          <w:rFonts w:ascii="NewBaskerville" w:hAnsi="NewBaskerville"/>
          <w:bCs/>
          <w:sz w:val="20"/>
          <w:szCs w:val="20"/>
        </w:rPr>
        <w:t xml:space="preserve"> </w:t>
      </w:r>
      <w:r w:rsidR="00582B49">
        <w:rPr>
          <w:rFonts w:ascii="NewBaskerville" w:hAnsi="NewBaskerville"/>
          <w:bCs/>
          <w:sz w:val="20"/>
          <w:szCs w:val="20"/>
        </w:rPr>
        <w:t xml:space="preserve">confirmación por </w:t>
      </w:r>
      <w:r w:rsidR="003E59EB">
        <w:rPr>
          <w:rFonts w:ascii="NewBaskerville" w:hAnsi="NewBaskerville"/>
          <w:bCs/>
          <w:sz w:val="20"/>
          <w:szCs w:val="20"/>
        </w:rPr>
        <w:t>resolución judicial, administrativa o sim</w:t>
      </w:r>
      <w:r w:rsidR="00463C9F">
        <w:rPr>
          <w:rFonts w:ascii="NewBaskerville" w:hAnsi="NewBaskerville"/>
          <w:bCs/>
          <w:sz w:val="20"/>
          <w:szCs w:val="20"/>
        </w:rPr>
        <w:t>ilar, pero que la Entidad enti</w:t>
      </w:r>
      <w:r w:rsidR="003E59EB">
        <w:rPr>
          <w:rFonts w:ascii="NewBaskerville" w:hAnsi="NewBaskerville"/>
          <w:bCs/>
          <w:sz w:val="20"/>
          <w:szCs w:val="20"/>
        </w:rPr>
        <w:t>ende que se ha producido y optado por el mantenimiento de los activos</w:t>
      </w:r>
      <w:r w:rsidR="00582B49">
        <w:rPr>
          <w:rFonts w:ascii="NewBaskerville" w:hAnsi="NewBaskerville"/>
          <w:bCs/>
          <w:sz w:val="20"/>
          <w:szCs w:val="20"/>
        </w:rPr>
        <w:t xml:space="preserve">. Y cuya confirmación daría lugar a la reversión de estos activos. </w:t>
      </w:r>
      <w:r w:rsidR="00853F1A">
        <w:rPr>
          <w:rFonts w:ascii="NewBaskerville" w:hAnsi="NewBaskerville"/>
          <w:bCs/>
          <w:sz w:val="20"/>
          <w:szCs w:val="20"/>
        </w:rPr>
        <w:t>Se tratarán como activos contingentes no reconociéndose en los estados contables,</w:t>
      </w:r>
      <w:r w:rsidR="00CE0591">
        <w:rPr>
          <w:rFonts w:ascii="NewBaskerville" w:hAnsi="NewBaskerville"/>
          <w:bCs/>
          <w:sz w:val="20"/>
          <w:szCs w:val="20"/>
        </w:rPr>
        <w:t xml:space="preserve"> e</w:t>
      </w:r>
      <w:r w:rsidR="00853F1A">
        <w:rPr>
          <w:rFonts w:ascii="NewBaskerville" w:hAnsi="NewBaskerville"/>
          <w:bCs/>
          <w:sz w:val="20"/>
          <w:szCs w:val="20"/>
        </w:rPr>
        <w:t xml:space="preserve"> informando en </w:t>
      </w:r>
      <w:r w:rsidR="00CE0591">
        <w:rPr>
          <w:rFonts w:ascii="NewBaskerville" w:hAnsi="NewBaskerville"/>
          <w:bCs/>
          <w:sz w:val="20"/>
          <w:szCs w:val="20"/>
        </w:rPr>
        <w:lastRenderedPageBreak/>
        <w:t xml:space="preserve">la </w:t>
      </w:r>
      <w:r w:rsidR="00853F1A">
        <w:rPr>
          <w:rFonts w:ascii="NewBaskerville" w:hAnsi="NewBaskerville"/>
          <w:bCs/>
          <w:sz w:val="20"/>
          <w:szCs w:val="20"/>
        </w:rPr>
        <w:t>Memoria cuando sea probable la entrada de beneficios económicos</w:t>
      </w:r>
      <w:r w:rsidR="00CE0591">
        <w:rPr>
          <w:rFonts w:ascii="NewBaskerville" w:hAnsi="NewBaskerville"/>
          <w:bCs/>
          <w:sz w:val="20"/>
          <w:szCs w:val="20"/>
        </w:rPr>
        <w:t>,</w:t>
      </w:r>
      <w:r w:rsidR="00853F1A">
        <w:rPr>
          <w:rFonts w:ascii="NewBaskerville" w:hAnsi="NewBaskerville"/>
          <w:bCs/>
          <w:sz w:val="20"/>
          <w:szCs w:val="20"/>
        </w:rPr>
        <w:t xml:space="preserve"> proporcionando una breve descripción de su naturaleza</w:t>
      </w:r>
      <w:r w:rsidR="00CE0591">
        <w:rPr>
          <w:rFonts w:ascii="NewBaskerville" w:hAnsi="NewBaskerville"/>
          <w:bCs/>
          <w:sz w:val="20"/>
          <w:szCs w:val="20"/>
        </w:rPr>
        <w:t xml:space="preserve"> y una estimación de sus efectos financieros.</w:t>
      </w:r>
    </w:p>
    <w:p w:rsidR="002C4355" w:rsidRPr="006C6932" w:rsidRDefault="002C4355">
      <w:pPr>
        <w:tabs>
          <w:tab w:val="center" w:pos="1843"/>
          <w:tab w:val="center" w:pos="5671"/>
          <w:tab w:val="center" w:pos="7797"/>
        </w:tabs>
        <w:ind w:firstLine="540"/>
        <w:jc w:val="both"/>
        <w:rPr>
          <w:rFonts w:ascii="NewBaskerville" w:hAnsi="NewBaskerville"/>
          <w:bCs/>
        </w:rPr>
      </w:pPr>
    </w:p>
    <w:p w:rsidR="002C4355" w:rsidRDefault="002C4355" w:rsidP="0060409F">
      <w:pPr>
        <w:tabs>
          <w:tab w:val="center" w:pos="1843"/>
          <w:tab w:val="center" w:pos="5671"/>
          <w:tab w:val="center" w:pos="7797"/>
        </w:tabs>
        <w:ind w:firstLine="540"/>
        <w:jc w:val="both"/>
        <w:rPr>
          <w:rFonts w:ascii="NewBaskerville" w:hAnsi="NewBaskerville"/>
          <w:bCs/>
        </w:rPr>
      </w:pPr>
      <w:r w:rsidRPr="006C6932">
        <w:rPr>
          <w:rFonts w:ascii="NewBaskerville" w:hAnsi="NewBaskerville"/>
          <w:bCs/>
        </w:rPr>
        <w:t>Las inversiones inmobiliarias se amortizan por el método de amortización lineal en los mismos plazo</w:t>
      </w:r>
      <w:r w:rsidR="0060409F" w:rsidRPr="006C6932">
        <w:rPr>
          <w:rFonts w:ascii="NewBaskerville" w:hAnsi="NewBaskerville"/>
          <w:bCs/>
        </w:rPr>
        <w:t>s que el inmovilizado material.</w:t>
      </w:r>
    </w:p>
    <w:p w:rsidR="006E464E" w:rsidRPr="006C6932" w:rsidRDefault="006E464E" w:rsidP="0060409F">
      <w:pPr>
        <w:tabs>
          <w:tab w:val="center" w:pos="1843"/>
          <w:tab w:val="center" w:pos="5671"/>
          <w:tab w:val="center" w:pos="7797"/>
        </w:tabs>
        <w:ind w:firstLine="540"/>
        <w:jc w:val="both"/>
        <w:rPr>
          <w:rFonts w:ascii="NewBaskerville" w:hAnsi="NewBaskerville"/>
          <w:bCs/>
        </w:rPr>
      </w:pPr>
    </w:p>
    <w:p w:rsidR="00994232" w:rsidRPr="006C6932" w:rsidRDefault="002C4355" w:rsidP="00BA6314">
      <w:pPr>
        <w:pStyle w:val="Prrafodelista"/>
        <w:numPr>
          <w:ilvl w:val="0"/>
          <w:numId w:val="41"/>
        </w:numPr>
        <w:spacing w:after="120"/>
        <w:jc w:val="both"/>
        <w:rPr>
          <w:rFonts w:ascii="NewBaskerville" w:hAnsi="NewBaskerville"/>
          <w:bCs/>
        </w:rPr>
      </w:pPr>
      <w:r w:rsidRPr="006C6932">
        <w:rPr>
          <w:rFonts w:ascii="NewBaskerville" w:hAnsi="NewBaskerville"/>
          <w:bCs/>
        </w:rPr>
        <w:t>Deterioro del valor de los activos no financieros</w:t>
      </w:r>
      <w:r w:rsidR="00994232" w:rsidRPr="006C6932">
        <w:rPr>
          <w:rFonts w:ascii="NewBaskerville" w:hAnsi="NewBaskerville"/>
          <w:bCs/>
        </w:rPr>
        <w:t xml:space="preserve"> sujetos a amortización o depreciación</w:t>
      </w:r>
    </w:p>
    <w:p w:rsidR="00994232" w:rsidRPr="006C6932" w:rsidRDefault="00994232" w:rsidP="00994232">
      <w:pPr>
        <w:tabs>
          <w:tab w:val="center" w:pos="1843"/>
          <w:tab w:val="center" w:pos="5671"/>
          <w:tab w:val="center" w:pos="7797"/>
        </w:tabs>
        <w:ind w:firstLine="567"/>
        <w:jc w:val="both"/>
        <w:rPr>
          <w:rFonts w:ascii="NewBaskerville" w:hAnsi="NewBaskerville"/>
          <w:bCs/>
        </w:rPr>
      </w:pPr>
      <w:r w:rsidRPr="006C6932">
        <w:rPr>
          <w:rFonts w:ascii="NewBaskerville" w:hAnsi="NewBaskerville"/>
          <w:bCs/>
        </w:rPr>
        <w:t>La Autoridad Portuaria analiza la existencia de deterioro de sus activos de acuerdo con lo establecido en e</w:t>
      </w:r>
      <w:r w:rsidR="00D6197D" w:rsidRPr="006C6932">
        <w:rPr>
          <w:rFonts w:ascii="NewBaskerville" w:hAnsi="NewBaskerville"/>
          <w:bCs/>
        </w:rPr>
        <w:t>l Plan General de Contabilidad,</w:t>
      </w:r>
      <w:r w:rsidRPr="006C6932">
        <w:rPr>
          <w:rFonts w:ascii="NewBaskerville" w:hAnsi="NewBaskerville"/>
          <w:bCs/>
        </w:rPr>
        <w:t xml:space="preserve"> en la resolución de ICAC de 18 de setiembre de 2013 </w:t>
      </w:r>
      <w:r w:rsidR="00D6197D" w:rsidRPr="006C6932">
        <w:rPr>
          <w:rFonts w:ascii="NewBaskerville" w:hAnsi="NewBaskerville"/>
          <w:bCs/>
        </w:rPr>
        <w:t xml:space="preserve">ya </w:t>
      </w:r>
      <w:r w:rsidRPr="006C6932">
        <w:rPr>
          <w:rFonts w:ascii="NewBaskerville" w:hAnsi="NewBaskerville"/>
          <w:bCs/>
        </w:rPr>
        <w:t>que según lo establecido en su norma primera resulta de aplicación para los activos</w:t>
      </w:r>
      <w:r w:rsidR="00E36D30">
        <w:rPr>
          <w:rFonts w:ascii="NewBaskerville" w:hAnsi="NewBaskerville"/>
          <w:bCs/>
        </w:rPr>
        <w:t xml:space="preserve"> generadores de efectivo de esta Entidad </w:t>
      </w:r>
      <w:r w:rsidR="00D6197D" w:rsidRPr="006C6932">
        <w:rPr>
          <w:rFonts w:ascii="NewBaskerville" w:hAnsi="NewBaskerville"/>
          <w:bCs/>
        </w:rPr>
        <w:t>y la Orden EHA</w:t>
      </w:r>
      <w:r w:rsidR="003D4191">
        <w:rPr>
          <w:rFonts w:ascii="NewBaskerville" w:hAnsi="NewBaskerville"/>
          <w:bCs/>
        </w:rPr>
        <w:t>/</w:t>
      </w:r>
      <w:r w:rsidR="00D6197D" w:rsidRPr="006C6932">
        <w:rPr>
          <w:rFonts w:ascii="NewBaskerville" w:hAnsi="NewBaskerville"/>
          <w:bCs/>
        </w:rPr>
        <w:t>733/2010.</w:t>
      </w:r>
    </w:p>
    <w:p w:rsidR="002C4355" w:rsidRPr="006C6932" w:rsidRDefault="002C4355" w:rsidP="00790062">
      <w:pPr>
        <w:tabs>
          <w:tab w:val="center" w:pos="1843"/>
          <w:tab w:val="center" w:pos="5671"/>
          <w:tab w:val="center" w:pos="7797"/>
        </w:tabs>
        <w:jc w:val="both"/>
        <w:rPr>
          <w:rFonts w:ascii="NewBaskerville" w:hAnsi="NewBaskerville"/>
          <w:bCs/>
        </w:rPr>
      </w:pPr>
    </w:p>
    <w:p w:rsidR="004C7DAF" w:rsidRPr="006C6932" w:rsidRDefault="002C4355">
      <w:pPr>
        <w:tabs>
          <w:tab w:val="center" w:pos="1843"/>
          <w:tab w:val="center" w:pos="5671"/>
          <w:tab w:val="center" w:pos="7797"/>
        </w:tabs>
        <w:ind w:firstLine="567"/>
        <w:jc w:val="both"/>
        <w:rPr>
          <w:rFonts w:ascii="NewBaskerville" w:hAnsi="NewBaskerville"/>
          <w:bCs/>
        </w:rPr>
      </w:pPr>
      <w:r w:rsidRPr="006C6932">
        <w:rPr>
          <w:rFonts w:ascii="NewBaskerville" w:hAnsi="NewBaskerville"/>
          <w:bCs/>
        </w:rPr>
        <w:t>Al menos al cierre del ejercicio, la Entidad evalúa si existen indicios de que algún activo no corriente pueda estar deteriorado</w:t>
      </w:r>
      <w:r w:rsidR="004C7DAF" w:rsidRPr="006C6932">
        <w:rPr>
          <w:rFonts w:ascii="NewBaskerville" w:hAnsi="NewBaskerville"/>
          <w:bCs/>
        </w:rPr>
        <w:t xml:space="preserve"> en particular si</w:t>
      </w:r>
      <w:r w:rsidR="007E4000">
        <w:rPr>
          <w:rFonts w:ascii="NewBaskerville" w:hAnsi="NewBaskerville"/>
          <w:bCs/>
        </w:rPr>
        <w:t>:</w:t>
      </w:r>
      <w:r w:rsidR="004C7DAF" w:rsidRPr="006C6932">
        <w:rPr>
          <w:rFonts w:ascii="NewBaskerville" w:hAnsi="NewBaskerville"/>
          <w:bCs/>
        </w:rPr>
        <w:t xml:space="preserve">  </w:t>
      </w:r>
    </w:p>
    <w:p w:rsidR="00D6197D" w:rsidRPr="006C6932" w:rsidRDefault="00D6197D">
      <w:pPr>
        <w:tabs>
          <w:tab w:val="center" w:pos="1843"/>
          <w:tab w:val="center" w:pos="5671"/>
          <w:tab w:val="center" w:pos="7797"/>
        </w:tabs>
        <w:ind w:firstLine="567"/>
        <w:jc w:val="both"/>
        <w:rPr>
          <w:rFonts w:ascii="NewBaskerville" w:hAnsi="NewBaskerville"/>
          <w:bCs/>
        </w:rPr>
      </w:pPr>
    </w:p>
    <w:p w:rsidR="004C7DAF" w:rsidRPr="006C6932" w:rsidRDefault="004C7DAF" w:rsidP="005D0B44">
      <w:pPr>
        <w:numPr>
          <w:ilvl w:val="0"/>
          <w:numId w:val="10"/>
        </w:numPr>
        <w:tabs>
          <w:tab w:val="center" w:pos="1134"/>
          <w:tab w:val="center" w:pos="5671"/>
          <w:tab w:val="center" w:pos="7797"/>
        </w:tabs>
        <w:ind w:left="1134" w:hanging="283"/>
        <w:jc w:val="both"/>
        <w:rPr>
          <w:rFonts w:ascii="NewBaskerville" w:hAnsi="NewBaskerville"/>
          <w:bCs/>
        </w:rPr>
      </w:pPr>
      <w:r w:rsidRPr="006C6932">
        <w:rPr>
          <w:rFonts w:ascii="NewBaskerville" w:hAnsi="NewBaskerville"/>
          <w:bCs/>
        </w:rPr>
        <w:t xml:space="preserve">Hay </w:t>
      </w:r>
      <w:r w:rsidR="008155BC" w:rsidRPr="006C6932">
        <w:rPr>
          <w:rFonts w:ascii="NewBaskerville" w:hAnsi="NewBaskerville"/>
          <w:bCs/>
        </w:rPr>
        <w:t>cambios significativos en el entorno tecnológico, regulatorio, legal o económicos</w:t>
      </w:r>
      <w:r w:rsidR="0035398A" w:rsidRPr="006C6932">
        <w:rPr>
          <w:rFonts w:ascii="NewBaskerville" w:hAnsi="NewBaskerville"/>
          <w:bCs/>
        </w:rPr>
        <w:t xml:space="preserve"> que tengan una incidencia n</w:t>
      </w:r>
      <w:r w:rsidRPr="006C6932">
        <w:rPr>
          <w:rFonts w:ascii="NewBaskerville" w:hAnsi="NewBaskerville"/>
          <w:bCs/>
        </w:rPr>
        <w:t>egativa sobre la empresa.</w:t>
      </w:r>
    </w:p>
    <w:p w:rsidR="008E58B8" w:rsidRPr="006C6932" w:rsidRDefault="004C7DAF" w:rsidP="005D0B44">
      <w:pPr>
        <w:numPr>
          <w:ilvl w:val="0"/>
          <w:numId w:val="10"/>
        </w:numPr>
        <w:tabs>
          <w:tab w:val="center" w:pos="1134"/>
          <w:tab w:val="center" w:pos="5671"/>
          <w:tab w:val="center" w:pos="7797"/>
        </w:tabs>
        <w:ind w:left="1134" w:hanging="283"/>
        <w:jc w:val="both"/>
        <w:rPr>
          <w:rFonts w:ascii="NewBaskerville" w:hAnsi="NewBaskerville"/>
          <w:bCs/>
        </w:rPr>
      </w:pPr>
      <w:r w:rsidRPr="006C6932">
        <w:rPr>
          <w:rFonts w:ascii="NewBaskerville" w:hAnsi="NewBaskerville"/>
          <w:bCs/>
        </w:rPr>
        <w:t>Disminución significativa de su valor razonable superior a la esperada por su uso normal.</w:t>
      </w:r>
    </w:p>
    <w:p w:rsidR="004C7DAF" w:rsidRPr="006C6932" w:rsidRDefault="004C7DAF" w:rsidP="005D0B44">
      <w:pPr>
        <w:numPr>
          <w:ilvl w:val="0"/>
          <w:numId w:val="10"/>
        </w:numPr>
        <w:tabs>
          <w:tab w:val="center" w:pos="1134"/>
          <w:tab w:val="center" w:pos="5671"/>
          <w:tab w:val="center" w:pos="7797"/>
        </w:tabs>
        <w:ind w:left="1134" w:hanging="283"/>
        <w:jc w:val="both"/>
        <w:rPr>
          <w:rFonts w:ascii="NewBaskerville" w:hAnsi="NewBaskerville"/>
          <w:bCs/>
        </w:rPr>
      </w:pPr>
      <w:r w:rsidRPr="006C6932">
        <w:rPr>
          <w:rFonts w:ascii="NewBaskerville" w:hAnsi="NewBaskerville"/>
          <w:bCs/>
        </w:rPr>
        <w:t>Evidencia de obsolescencia, cambios en el rendimiento</w:t>
      </w:r>
      <w:r w:rsidR="00752472" w:rsidRPr="006C6932">
        <w:rPr>
          <w:rFonts w:ascii="NewBaskerville" w:hAnsi="NewBaskerville"/>
          <w:bCs/>
        </w:rPr>
        <w:t xml:space="preserve"> o deterioro físico, no previstos a través de la amortización.</w:t>
      </w:r>
    </w:p>
    <w:p w:rsidR="00320CB8" w:rsidRPr="006C6932" w:rsidRDefault="00320CB8" w:rsidP="005D0B44">
      <w:pPr>
        <w:numPr>
          <w:ilvl w:val="0"/>
          <w:numId w:val="10"/>
        </w:numPr>
        <w:tabs>
          <w:tab w:val="center" w:pos="1134"/>
          <w:tab w:val="center" w:pos="5671"/>
          <w:tab w:val="center" w:pos="7797"/>
        </w:tabs>
        <w:ind w:left="1134" w:hanging="283"/>
        <w:jc w:val="both"/>
        <w:rPr>
          <w:rFonts w:ascii="NewBaskerville" w:hAnsi="NewBaskerville"/>
          <w:bCs/>
        </w:rPr>
      </w:pPr>
      <w:r w:rsidRPr="006C6932">
        <w:rPr>
          <w:rFonts w:ascii="NewBaskerville" w:hAnsi="NewBaskerville"/>
          <w:bCs/>
        </w:rPr>
        <w:t>Cambios significativos en la demanda o la forma de utilización del activo que tengan influencia relevante y negativa sobre la empresa.</w:t>
      </w:r>
    </w:p>
    <w:p w:rsidR="00320CB8" w:rsidRPr="006C6932" w:rsidRDefault="00320CB8" w:rsidP="00320CB8">
      <w:pPr>
        <w:tabs>
          <w:tab w:val="center" w:pos="1134"/>
          <w:tab w:val="center" w:pos="5671"/>
          <w:tab w:val="center" w:pos="7797"/>
        </w:tabs>
        <w:ind w:left="1134"/>
        <w:jc w:val="both"/>
        <w:rPr>
          <w:rFonts w:ascii="NewBaskerville" w:hAnsi="NewBaskerville"/>
          <w:bCs/>
        </w:rPr>
      </w:pPr>
    </w:p>
    <w:p w:rsidR="002C4355" w:rsidRPr="006C6932" w:rsidRDefault="00523CD1" w:rsidP="00523CD1">
      <w:pPr>
        <w:tabs>
          <w:tab w:val="center" w:pos="1843"/>
          <w:tab w:val="center" w:pos="5671"/>
          <w:tab w:val="center" w:pos="7797"/>
        </w:tabs>
        <w:ind w:firstLine="567"/>
        <w:jc w:val="both"/>
        <w:rPr>
          <w:rFonts w:ascii="NewBaskerville" w:hAnsi="NewBaskerville"/>
          <w:bCs/>
        </w:rPr>
      </w:pPr>
      <w:r w:rsidRPr="006C6932">
        <w:rPr>
          <w:rFonts w:ascii="NewBaskerville" w:hAnsi="NewBaskerville"/>
          <w:bCs/>
        </w:rPr>
        <w:t xml:space="preserve">  Se produce una pérdida </w:t>
      </w:r>
      <w:r w:rsidR="006010B3" w:rsidRPr="006C6932">
        <w:rPr>
          <w:rFonts w:ascii="NewBaskerville" w:hAnsi="NewBaskerville"/>
          <w:bCs/>
        </w:rPr>
        <w:t>por deterioro de valor cuando su valor contable supere a su importe recuperable, entendiendo éste como el mayor importe entre su valor razonable menos los co</w:t>
      </w:r>
      <w:r w:rsidRPr="006C6932">
        <w:rPr>
          <w:rFonts w:ascii="NewBaskerville" w:hAnsi="NewBaskerville"/>
          <w:bCs/>
        </w:rPr>
        <w:t>stes de venta y su valor en uso</w:t>
      </w:r>
      <w:r w:rsidR="00D6197D" w:rsidRPr="006C6932">
        <w:rPr>
          <w:rFonts w:ascii="NewBaskerville" w:hAnsi="NewBaskerville"/>
          <w:bCs/>
        </w:rPr>
        <w:t>,</w:t>
      </w:r>
      <w:r w:rsidRPr="006C6932">
        <w:rPr>
          <w:rFonts w:ascii="NewBaskerville" w:hAnsi="NewBaskerville"/>
          <w:bCs/>
        </w:rPr>
        <w:t xml:space="preserve"> para los activos generadores de efectivo y el mayor valor entre el coste de reposición depreciado y el valor razonable menos los costes de venta</w:t>
      </w:r>
      <w:r w:rsidR="00D6197D" w:rsidRPr="006C6932">
        <w:rPr>
          <w:rFonts w:ascii="NewBaskerville" w:hAnsi="NewBaskerville"/>
          <w:bCs/>
        </w:rPr>
        <w:t>,</w:t>
      </w:r>
      <w:r w:rsidRPr="006C6932">
        <w:rPr>
          <w:rFonts w:ascii="NewBaskerville" w:hAnsi="NewBaskerville"/>
          <w:bCs/>
        </w:rPr>
        <w:t xml:space="preserve"> para los activos no generadores de efectivo.</w:t>
      </w:r>
    </w:p>
    <w:p w:rsidR="00D6197D" w:rsidRPr="006C6932" w:rsidRDefault="00D6197D" w:rsidP="00523CD1">
      <w:pPr>
        <w:tabs>
          <w:tab w:val="center" w:pos="1843"/>
          <w:tab w:val="center" w:pos="5671"/>
          <w:tab w:val="center" w:pos="7797"/>
        </w:tabs>
        <w:ind w:firstLine="567"/>
        <w:jc w:val="both"/>
        <w:rPr>
          <w:rFonts w:ascii="NewBaskerville" w:hAnsi="NewBaskerville"/>
          <w:bCs/>
        </w:rPr>
      </w:pPr>
    </w:p>
    <w:p w:rsidR="00E6742F" w:rsidRDefault="002C4355" w:rsidP="008A5BD6">
      <w:pPr>
        <w:tabs>
          <w:tab w:val="center" w:pos="1843"/>
          <w:tab w:val="center" w:pos="5671"/>
          <w:tab w:val="center" w:pos="7797"/>
        </w:tabs>
        <w:ind w:firstLine="567"/>
        <w:jc w:val="both"/>
        <w:rPr>
          <w:rFonts w:ascii="NewBaskerville" w:hAnsi="NewBaskerville"/>
          <w:bCs/>
        </w:rPr>
      </w:pPr>
      <w:r w:rsidRPr="006C6932">
        <w:rPr>
          <w:rFonts w:ascii="NewBaskerville" w:hAnsi="NewBaskerville"/>
          <w:bCs/>
        </w:rPr>
        <w:t>Las correcciones valorativas por deterioro y su reversión se contabilizan en la cuenta de pérdidas y ganancias. Las correcciones valorativas por deterioro se revierten cuando las circunstancias que las motivaron dejan de existir</w:t>
      </w:r>
      <w:r w:rsidR="00DF294E" w:rsidRPr="006C6932">
        <w:rPr>
          <w:rFonts w:ascii="NewBaskerville" w:hAnsi="NewBaskerville"/>
          <w:bCs/>
        </w:rPr>
        <w:t>, teniendo</w:t>
      </w:r>
      <w:r w:rsidRPr="006C6932">
        <w:rPr>
          <w:rFonts w:ascii="NewBaskerville" w:hAnsi="NewBaskerville"/>
          <w:bCs/>
        </w:rPr>
        <w:t xml:space="preserve"> como límite el valor contable del activo que figuraría si no se hubiera reconocido previamente el correspondiente deterioro del valor.</w:t>
      </w:r>
      <w:r w:rsidR="00790062" w:rsidRPr="006C6932">
        <w:rPr>
          <w:rFonts w:ascii="NewBaskerville" w:hAnsi="NewBaskerville"/>
          <w:bCs/>
        </w:rPr>
        <w:t xml:space="preserve"> La reversión de la pérdida por deterioro de valor se registra con abono a la cuenta de pérdidas y gana</w:t>
      </w:r>
      <w:r w:rsidR="00A60572" w:rsidRPr="006C6932">
        <w:rPr>
          <w:rFonts w:ascii="NewBaskerville" w:hAnsi="NewBaskerville"/>
          <w:bCs/>
        </w:rPr>
        <w:t>n</w:t>
      </w:r>
      <w:r w:rsidR="00790062" w:rsidRPr="006C6932">
        <w:rPr>
          <w:rFonts w:ascii="NewBaskerville" w:hAnsi="NewBaskerville"/>
          <w:bCs/>
        </w:rPr>
        <w:t>cias.</w:t>
      </w:r>
    </w:p>
    <w:p w:rsidR="00074175" w:rsidRPr="006C6932" w:rsidRDefault="00074175" w:rsidP="008A5BD6">
      <w:pPr>
        <w:tabs>
          <w:tab w:val="center" w:pos="1843"/>
          <w:tab w:val="center" w:pos="5671"/>
          <w:tab w:val="center" w:pos="7797"/>
        </w:tabs>
        <w:ind w:firstLine="567"/>
        <w:jc w:val="both"/>
        <w:rPr>
          <w:rFonts w:ascii="NewBaskerville" w:hAnsi="NewBaskerville"/>
          <w:bCs/>
        </w:rPr>
      </w:pPr>
    </w:p>
    <w:p w:rsidR="002C4355" w:rsidRPr="006C6932" w:rsidRDefault="002C4355" w:rsidP="00BA6314">
      <w:pPr>
        <w:numPr>
          <w:ilvl w:val="0"/>
          <w:numId w:val="41"/>
        </w:numPr>
        <w:spacing w:after="120"/>
        <w:ind w:left="567" w:hanging="283"/>
        <w:jc w:val="both"/>
        <w:rPr>
          <w:rFonts w:ascii="NewBaskerville" w:hAnsi="NewBaskerville"/>
          <w:bCs/>
        </w:rPr>
      </w:pPr>
      <w:r w:rsidRPr="006C6932">
        <w:rPr>
          <w:rFonts w:ascii="NewBaskerville" w:hAnsi="NewBaskerville"/>
          <w:bCs/>
        </w:rPr>
        <w:t>Arrendamientos</w:t>
      </w:r>
    </w:p>
    <w:p w:rsidR="002C4355" w:rsidRPr="006C6932" w:rsidRDefault="002C4355" w:rsidP="00074175">
      <w:pPr>
        <w:tabs>
          <w:tab w:val="center" w:pos="1843"/>
          <w:tab w:val="center" w:pos="5671"/>
          <w:tab w:val="center" w:pos="7797"/>
        </w:tabs>
        <w:spacing w:before="100"/>
        <w:ind w:firstLine="567"/>
        <w:jc w:val="both"/>
        <w:rPr>
          <w:rFonts w:ascii="NewBaskerville" w:hAnsi="NewBaskerville"/>
          <w:bCs/>
        </w:rPr>
      </w:pPr>
      <w:r w:rsidRPr="006C6932">
        <w:rPr>
          <w:rFonts w:ascii="NewBaskerville" w:hAnsi="NewBaskerville"/>
          <w:bCs/>
        </w:rPr>
        <w:t>Los ingresos derivados de los arrendam</w:t>
      </w:r>
      <w:r w:rsidR="002B5526" w:rsidRPr="006C6932">
        <w:rPr>
          <w:rFonts w:ascii="NewBaskerville" w:hAnsi="NewBaskerville"/>
          <w:bCs/>
        </w:rPr>
        <w:t>ientos operativos se reconocen como ingresos de forma lineal a lo largo del plazo de arrendamiento</w:t>
      </w:r>
      <w:r w:rsidR="0019630E" w:rsidRPr="006C6932">
        <w:rPr>
          <w:rFonts w:ascii="NewBaskerville" w:hAnsi="NewBaskerville"/>
          <w:bCs/>
        </w:rPr>
        <w:t>.</w:t>
      </w:r>
    </w:p>
    <w:p w:rsidR="007926F9" w:rsidRDefault="007926F9" w:rsidP="00396608">
      <w:pPr>
        <w:tabs>
          <w:tab w:val="center" w:pos="1843"/>
          <w:tab w:val="center" w:pos="5671"/>
          <w:tab w:val="center" w:pos="7797"/>
        </w:tabs>
        <w:ind w:firstLine="567"/>
        <w:jc w:val="both"/>
        <w:rPr>
          <w:bCs/>
        </w:rPr>
      </w:pPr>
    </w:p>
    <w:p w:rsidR="007C12D1" w:rsidRPr="00864153" w:rsidRDefault="002C4355" w:rsidP="00BA6314">
      <w:pPr>
        <w:numPr>
          <w:ilvl w:val="0"/>
          <w:numId w:val="41"/>
        </w:numPr>
        <w:spacing w:after="120"/>
        <w:ind w:left="567" w:hanging="283"/>
        <w:jc w:val="both"/>
        <w:rPr>
          <w:rFonts w:ascii="NewBaskerville" w:hAnsi="NewBaskerville"/>
          <w:bCs/>
        </w:rPr>
      </w:pPr>
      <w:r w:rsidRPr="00864153">
        <w:rPr>
          <w:rFonts w:ascii="NewBaskerville" w:hAnsi="NewBaskerville"/>
          <w:bCs/>
        </w:rPr>
        <w:t>Instrumentos financieros</w:t>
      </w:r>
    </w:p>
    <w:p w:rsidR="007C12D1" w:rsidRDefault="007C12D1" w:rsidP="00396608">
      <w:pPr>
        <w:tabs>
          <w:tab w:val="center" w:pos="1843"/>
          <w:tab w:val="center" w:pos="5671"/>
          <w:tab w:val="center" w:pos="7797"/>
        </w:tabs>
        <w:ind w:firstLine="567"/>
        <w:jc w:val="both"/>
        <w:rPr>
          <w:rFonts w:ascii="NewBaskerville" w:hAnsi="NewBaskerville"/>
          <w:bCs/>
        </w:rPr>
      </w:pPr>
      <w:r w:rsidRPr="00864153">
        <w:rPr>
          <w:rFonts w:ascii="NewBaskerville" w:hAnsi="NewBaskerville"/>
          <w:bCs/>
        </w:rPr>
        <w:t>Los instrumentos financieros se clasifican en el momento de su reconocimiento inicial</w:t>
      </w:r>
      <w:r w:rsidR="008F62CB" w:rsidRPr="00864153">
        <w:rPr>
          <w:rFonts w:ascii="NewBaskerville" w:hAnsi="NewBaskerville"/>
          <w:bCs/>
        </w:rPr>
        <w:t xml:space="preserve"> como un activo financiero, pasi</w:t>
      </w:r>
      <w:r w:rsidRPr="00864153">
        <w:rPr>
          <w:rFonts w:ascii="NewBaskerville" w:hAnsi="NewBaskerville"/>
          <w:bCs/>
        </w:rPr>
        <w:t>vo financiero o un instrumento de patrimonio de conformidad con sus características.</w:t>
      </w:r>
    </w:p>
    <w:p w:rsidR="00E36D30" w:rsidRDefault="00E36D30" w:rsidP="00396608">
      <w:pPr>
        <w:tabs>
          <w:tab w:val="center" w:pos="1843"/>
          <w:tab w:val="center" w:pos="5671"/>
          <w:tab w:val="center" w:pos="7797"/>
        </w:tabs>
        <w:ind w:firstLine="567"/>
        <w:jc w:val="both"/>
        <w:rPr>
          <w:rFonts w:ascii="NewBaskerville" w:hAnsi="NewBaskerville"/>
          <w:bCs/>
        </w:rPr>
      </w:pPr>
      <w:r>
        <w:rPr>
          <w:rFonts w:ascii="NewBaskerville" w:hAnsi="NewBaskerville"/>
          <w:bCs/>
        </w:rPr>
        <w:t xml:space="preserve">La Entidad reconocerá un instrumento financiero en su balance cuando se convierta en una parte obligada del contrato o negocio jurídico conforme a las disposiciones del mismo, bien como emisor o como </w:t>
      </w:r>
      <w:r w:rsidR="003F24D6">
        <w:rPr>
          <w:rFonts w:ascii="NewBaskerville" w:hAnsi="NewBaskerville"/>
          <w:bCs/>
        </w:rPr>
        <w:t>tenedor</w:t>
      </w:r>
      <w:r>
        <w:rPr>
          <w:rFonts w:ascii="NewBaskerville" w:hAnsi="NewBaskerville"/>
          <w:bCs/>
        </w:rPr>
        <w:t xml:space="preserve"> o adquiriente de aquél.</w:t>
      </w:r>
    </w:p>
    <w:p w:rsidR="007D5CD1" w:rsidRPr="00864153" w:rsidRDefault="007D5CD1" w:rsidP="00396608">
      <w:pPr>
        <w:tabs>
          <w:tab w:val="center" w:pos="1843"/>
          <w:tab w:val="center" w:pos="5671"/>
          <w:tab w:val="center" w:pos="7797"/>
        </w:tabs>
        <w:ind w:firstLine="567"/>
        <w:jc w:val="both"/>
        <w:rPr>
          <w:rFonts w:ascii="NewBaskerville" w:hAnsi="NewBaskerville"/>
          <w:bCs/>
        </w:rPr>
      </w:pPr>
      <w:r>
        <w:rPr>
          <w:rFonts w:ascii="NewBaskerville" w:hAnsi="NewBaskerville"/>
          <w:bCs/>
        </w:rPr>
        <w:lastRenderedPageBreak/>
        <w:t>La APB clasifica los instrumentos financieros en las diferentes categorías atendiendo a las características y a las intenciones del Departamento Económico-Financiero de la Entidad en el momento de su reconocimiento inicial.</w:t>
      </w:r>
    </w:p>
    <w:p w:rsidR="007926F9" w:rsidRPr="00072D1A" w:rsidRDefault="002C4355" w:rsidP="007F4E28">
      <w:pPr>
        <w:tabs>
          <w:tab w:val="center" w:pos="5671"/>
          <w:tab w:val="center" w:pos="7797"/>
        </w:tabs>
        <w:ind w:firstLine="568"/>
        <w:jc w:val="both"/>
      </w:pPr>
      <w:r w:rsidRPr="00072D1A">
        <w:t xml:space="preserve"> </w:t>
      </w:r>
    </w:p>
    <w:p w:rsidR="002C4355" w:rsidRPr="00864153" w:rsidRDefault="002C4355" w:rsidP="005D0B44">
      <w:pPr>
        <w:pStyle w:val="Sangra2detindependiente"/>
        <w:numPr>
          <w:ilvl w:val="0"/>
          <w:numId w:val="2"/>
        </w:numPr>
        <w:tabs>
          <w:tab w:val="clear" w:pos="1843"/>
          <w:tab w:val="clear" w:pos="5671"/>
          <w:tab w:val="clear" w:pos="7797"/>
        </w:tabs>
        <w:ind w:left="1134" w:hanging="283"/>
        <w:rPr>
          <w:rFonts w:ascii="NewBaskerville" w:hAnsi="NewBaskerville"/>
          <w:sz w:val="20"/>
        </w:rPr>
      </w:pPr>
      <w:r w:rsidRPr="00864153">
        <w:rPr>
          <w:rFonts w:ascii="NewBaskerville" w:hAnsi="NewBaskerville"/>
          <w:sz w:val="20"/>
        </w:rPr>
        <w:t>Activos financieros</w:t>
      </w:r>
    </w:p>
    <w:p w:rsidR="007D42E0" w:rsidRPr="00AE3B6A" w:rsidRDefault="00AE3B6A" w:rsidP="00ED7B5A">
      <w:pPr>
        <w:spacing w:before="240"/>
        <w:rPr>
          <w:rFonts w:ascii="NewBaskerville" w:hAnsi="NewBaskerville" w:cs="Arial"/>
          <w:u w:val="single"/>
        </w:rPr>
      </w:pPr>
      <w:r>
        <w:rPr>
          <w:rFonts w:ascii="NewBaskerville" w:hAnsi="NewBaskerville" w:cs="Arial"/>
          <w:u w:val="single"/>
        </w:rPr>
        <w:t>Activos financieros a coste amortizado.</w:t>
      </w:r>
    </w:p>
    <w:p w:rsidR="002C4355" w:rsidRPr="00072D1A" w:rsidRDefault="002C4355" w:rsidP="003B432F">
      <w:pPr>
        <w:pStyle w:val="Ttulo5"/>
        <w:ind w:left="709"/>
        <w:rPr>
          <w:sz w:val="20"/>
        </w:rPr>
      </w:pPr>
    </w:p>
    <w:p w:rsidR="000300BD" w:rsidRDefault="002C4355" w:rsidP="006A5525">
      <w:pPr>
        <w:pStyle w:val="Ttulo5"/>
        <w:rPr>
          <w:rFonts w:ascii="NewBaskerville" w:hAnsi="NewBaskerville"/>
          <w:sz w:val="20"/>
        </w:rPr>
      </w:pPr>
      <w:r w:rsidRPr="00AE3B6A">
        <w:rPr>
          <w:rFonts w:ascii="NewBaskerville" w:hAnsi="NewBaskerville"/>
          <w:sz w:val="20"/>
        </w:rPr>
        <w:t>En esta categoría se registran los créditos por operacion</w:t>
      </w:r>
      <w:r w:rsidR="00074175">
        <w:rPr>
          <w:rFonts w:ascii="NewBaskerville" w:hAnsi="NewBaskerville"/>
          <w:sz w:val="20"/>
        </w:rPr>
        <w:t>es comerciales y no comerciales:</w:t>
      </w:r>
    </w:p>
    <w:p w:rsidR="00074175" w:rsidRPr="00074175" w:rsidRDefault="00074175" w:rsidP="00074175"/>
    <w:p w:rsidR="00896485" w:rsidRDefault="00896485" w:rsidP="00074175">
      <w:pPr>
        <w:pStyle w:val="Ttulo5"/>
        <w:numPr>
          <w:ilvl w:val="0"/>
          <w:numId w:val="6"/>
        </w:numPr>
        <w:rPr>
          <w:rFonts w:ascii="NewBaskerville" w:hAnsi="NewBaskerville"/>
          <w:sz w:val="20"/>
        </w:rPr>
      </w:pPr>
      <w:r>
        <w:rPr>
          <w:rFonts w:ascii="NewBaskerville" w:hAnsi="NewBaskerville"/>
          <w:sz w:val="20"/>
        </w:rPr>
        <w:t>Crédi</w:t>
      </w:r>
      <w:r w:rsidR="003D4191">
        <w:rPr>
          <w:rFonts w:ascii="NewBaskerville" w:hAnsi="NewBaskerville"/>
          <w:sz w:val="20"/>
        </w:rPr>
        <w:t>tos por operaciones comerciales:</w:t>
      </w:r>
      <w:r>
        <w:rPr>
          <w:rFonts w:ascii="NewBaskerville" w:hAnsi="NewBaskerville"/>
          <w:sz w:val="20"/>
        </w:rPr>
        <w:t xml:space="preserve"> son aquellos </w:t>
      </w:r>
      <w:r w:rsidR="002C4355" w:rsidRPr="00AE3B6A">
        <w:rPr>
          <w:rFonts w:ascii="NewBaskerville" w:hAnsi="NewBaskerville"/>
          <w:sz w:val="20"/>
        </w:rPr>
        <w:t xml:space="preserve">activos financieros </w:t>
      </w:r>
      <w:r>
        <w:rPr>
          <w:rFonts w:ascii="NewBaskerville" w:hAnsi="NewBaskerville"/>
          <w:sz w:val="20"/>
        </w:rPr>
        <w:t>que se originan en la prestación de servicios por operaciones de tráfico de la Entidad con cobro aplazado.</w:t>
      </w:r>
    </w:p>
    <w:p w:rsidR="008E58B8" w:rsidRPr="00AE3B6A" w:rsidRDefault="00896485" w:rsidP="00074175">
      <w:pPr>
        <w:pStyle w:val="Ttulo5"/>
        <w:numPr>
          <w:ilvl w:val="0"/>
          <w:numId w:val="6"/>
        </w:numPr>
        <w:rPr>
          <w:rFonts w:ascii="NewBaskerville" w:hAnsi="NewBaskerville"/>
          <w:sz w:val="20"/>
        </w:rPr>
      </w:pPr>
      <w:r>
        <w:rPr>
          <w:rFonts w:ascii="NewBaskerville" w:hAnsi="NewBaskerville"/>
          <w:sz w:val="20"/>
        </w:rPr>
        <w:t>Créditos por operaciones no comerciales: son aquellos activos financieros que, no siendo instrumentos de patrimonio ni derivados, no tienen origen comercial y cuyos cobros son de cuantía determinada o determinable, que proceden de operaciones de préstamo o crédito concedidos por la Entidad</w:t>
      </w:r>
      <w:r w:rsidR="002C4355" w:rsidRPr="00AE3B6A">
        <w:rPr>
          <w:rFonts w:ascii="NewBaskerville" w:hAnsi="NewBaskerville"/>
          <w:sz w:val="20"/>
        </w:rPr>
        <w:t>.</w:t>
      </w:r>
    </w:p>
    <w:p w:rsidR="002C4355" w:rsidRPr="00AE3B6A" w:rsidRDefault="002C4355" w:rsidP="006A5525">
      <w:pPr>
        <w:pStyle w:val="Ttulo5"/>
        <w:rPr>
          <w:rFonts w:ascii="NewBaskerville" w:hAnsi="NewBaskerville"/>
          <w:sz w:val="20"/>
        </w:rPr>
      </w:pPr>
    </w:p>
    <w:p w:rsidR="002C4355" w:rsidRPr="00AE3B6A" w:rsidRDefault="002C4355" w:rsidP="006A5525">
      <w:pPr>
        <w:pStyle w:val="Ttulo5"/>
        <w:rPr>
          <w:rFonts w:ascii="NewBaskerville" w:hAnsi="NewBaskerville"/>
          <w:sz w:val="20"/>
        </w:rPr>
      </w:pPr>
      <w:r w:rsidRPr="00AE3B6A">
        <w:rPr>
          <w:rFonts w:ascii="NewBaskerville" w:hAnsi="NewBaskerville"/>
          <w:sz w:val="20"/>
        </w:rPr>
        <w:t>En su reconocimiento inicial en el balance, se registran por su valor razonable, que, salvo evidencia en contrario, es el precio de la transacción, que equivale al valor razonable de la contraprestación entregada más los costes de transacción que les sean directamente atribuibles.</w:t>
      </w:r>
    </w:p>
    <w:p w:rsidR="002C4355" w:rsidRPr="00AE3B6A" w:rsidRDefault="002C4355" w:rsidP="006A5525">
      <w:pPr>
        <w:rPr>
          <w:rFonts w:ascii="NewBaskerville" w:hAnsi="NewBaskerville" w:cs="Arial"/>
        </w:rPr>
      </w:pPr>
    </w:p>
    <w:p w:rsidR="007D42E0" w:rsidRDefault="001D192C" w:rsidP="006A5525">
      <w:pPr>
        <w:ind w:firstLine="426"/>
        <w:jc w:val="both"/>
      </w:pPr>
      <w:r w:rsidRPr="00AE3B6A">
        <w:rPr>
          <w:rFonts w:ascii="NewBaskerville" w:hAnsi="NewBaskerville"/>
        </w:rPr>
        <w:t>No obstante, los créditos por operaciones comerciales con vencimiento no superior a un año y que no tienen un tipo de interés contractual, así como los anticipos y créditos al personal,  se valoran por su valor nominal, ya que el efecto de no actualizar los flujos de efectivo no es significativo</w:t>
      </w:r>
      <w:r w:rsidRPr="00072D1A">
        <w:t>.</w:t>
      </w:r>
    </w:p>
    <w:p w:rsidR="001D6131" w:rsidRDefault="001D6131" w:rsidP="006A5525">
      <w:pPr>
        <w:ind w:firstLine="426"/>
        <w:jc w:val="both"/>
      </w:pPr>
    </w:p>
    <w:p w:rsidR="00B35FCD" w:rsidRDefault="00890019" w:rsidP="006A5525">
      <w:pPr>
        <w:ind w:firstLine="426"/>
        <w:jc w:val="both"/>
        <w:rPr>
          <w:rFonts w:ascii="NewBaskerville" w:hAnsi="NewBaskerville"/>
        </w:rPr>
      </w:pPr>
      <w:r>
        <w:rPr>
          <w:rFonts w:ascii="NewBaskerville" w:hAnsi="NewBaskerville"/>
        </w:rPr>
        <w:t>Posteriormente, los activos incluidos en esta categoría se valorarán por su coste amortizado. Los intereses devengados se contabilizarán en la cuenta de pérdidas y ganancias, aplicando el método del tipo de interés efectivo.</w:t>
      </w:r>
    </w:p>
    <w:p w:rsidR="00890019" w:rsidRDefault="00890019" w:rsidP="006A5525">
      <w:pPr>
        <w:ind w:firstLine="426"/>
        <w:jc w:val="both"/>
        <w:rPr>
          <w:rFonts w:ascii="NewBaskerville" w:hAnsi="NewBaskerville"/>
        </w:rPr>
      </w:pPr>
    </w:p>
    <w:p w:rsidR="00890019" w:rsidRPr="00B35FCD" w:rsidRDefault="00890019" w:rsidP="006A5525">
      <w:pPr>
        <w:ind w:firstLine="426"/>
        <w:jc w:val="both"/>
        <w:rPr>
          <w:rFonts w:ascii="NewBaskerville" w:hAnsi="NewBaskerville"/>
        </w:rPr>
      </w:pPr>
      <w:r>
        <w:rPr>
          <w:rFonts w:ascii="NewBaskerville" w:hAnsi="NewBaskerville"/>
        </w:rPr>
        <w:t>No obstante, los créditos de acuerdo con lo dispuesto anteriormente se valoren inicialmente por su valor nominal, continuarán valorándose por dicho importe, salvo que se hubieran deteriorado.</w:t>
      </w:r>
    </w:p>
    <w:p w:rsidR="001D6131" w:rsidRPr="00072D1A" w:rsidRDefault="001D6131" w:rsidP="006A5525">
      <w:pPr>
        <w:ind w:firstLine="426"/>
        <w:jc w:val="both"/>
        <w:rPr>
          <w:rFonts w:cs="Arial"/>
        </w:rPr>
      </w:pPr>
    </w:p>
    <w:p w:rsidR="001F2D6C" w:rsidRDefault="001F2D6C" w:rsidP="006A5525">
      <w:pPr>
        <w:rPr>
          <w:rFonts w:ascii="NewBaskerville" w:hAnsi="NewBaskerville" w:cs="Arial"/>
          <w:color w:val="000000"/>
          <w:u w:val="single"/>
        </w:rPr>
      </w:pPr>
      <w:r w:rsidRPr="006A5525">
        <w:rPr>
          <w:rFonts w:ascii="NewBaskerville" w:hAnsi="NewBaskerville" w:cs="Arial"/>
          <w:color w:val="000000"/>
          <w:u w:val="single"/>
        </w:rPr>
        <w:t>Intereses recibidos de activos financieros</w:t>
      </w:r>
    </w:p>
    <w:p w:rsidR="006A5525" w:rsidRDefault="006A5525" w:rsidP="003B432F">
      <w:pPr>
        <w:pStyle w:val="Ttulo5"/>
        <w:ind w:left="709"/>
        <w:rPr>
          <w:sz w:val="20"/>
        </w:rPr>
      </w:pPr>
    </w:p>
    <w:p w:rsidR="001F2D6C" w:rsidRPr="006A5525" w:rsidRDefault="001F2D6C" w:rsidP="006A5525">
      <w:pPr>
        <w:pStyle w:val="Ttulo5"/>
        <w:rPr>
          <w:rFonts w:ascii="NewBaskerville" w:hAnsi="NewBaskerville"/>
          <w:sz w:val="20"/>
        </w:rPr>
      </w:pPr>
      <w:r w:rsidRPr="006A5525">
        <w:rPr>
          <w:rFonts w:ascii="NewBaskerville" w:hAnsi="NewBaskerville"/>
          <w:sz w:val="20"/>
        </w:rPr>
        <w:t>Los intereses de activos financieros devengados con posterioridad al momento de la adquisición se reconocen como ingresos en la cuenta de pérdidas y ganancias. Los intereses se reconocen utilizando el método del tipo de interés efectivo.</w:t>
      </w:r>
    </w:p>
    <w:p w:rsidR="002918E7" w:rsidRPr="006A5525" w:rsidRDefault="002918E7" w:rsidP="006A5525">
      <w:pPr>
        <w:rPr>
          <w:rFonts w:ascii="NewBaskerville" w:hAnsi="NewBaskerville"/>
        </w:rPr>
      </w:pPr>
    </w:p>
    <w:p w:rsidR="001F2D6C" w:rsidRPr="006A5525" w:rsidRDefault="001F2D6C" w:rsidP="006A5525">
      <w:pPr>
        <w:pStyle w:val="Ttulo5"/>
        <w:rPr>
          <w:rFonts w:ascii="NewBaskerville" w:hAnsi="NewBaskerville"/>
          <w:sz w:val="20"/>
        </w:rPr>
      </w:pPr>
      <w:r w:rsidRPr="006A5525">
        <w:rPr>
          <w:rFonts w:ascii="NewBaskerville" w:hAnsi="NewBaskerville"/>
          <w:sz w:val="20"/>
        </w:rPr>
        <w:t>A estos efectos, en la valoración inicial de los activos financieros se registran de forma independiente, atendiendo a su vencimiento, el importe de los intereses explícitos devengados y no vencidos en dicho momento. Se entiende por intereses explícitos aquellos que se obtienen de aplicar el tipo de interés contract</w:t>
      </w:r>
      <w:r w:rsidR="00267551" w:rsidRPr="006A5525">
        <w:rPr>
          <w:rFonts w:ascii="NewBaskerville" w:hAnsi="NewBaskerville"/>
          <w:sz w:val="20"/>
        </w:rPr>
        <w:t>ual del instrumento financiero.</w:t>
      </w:r>
    </w:p>
    <w:p w:rsidR="00EE5732" w:rsidRDefault="00EE5732" w:rsidP="00EE5732"/>
    <w:p w:rsidR="008A5BD6" w:rsidRPr="000F36F8" w:rsidRDefault="001F2D6C" w:rsidP="000F36F8">
      <w:pPr>
        <w:widowControl w:val="0"/>
        <w:autoSpaceDE w:val="0"/>
        <w:autoSpaceDN w:val="0"/>
        <w:adjustRightInd w:val="0"/>
        <w:spacing w:before="240"/>
        <w:ind w:left="142"/>
        <w:rPr>
          <w:rFonts w:ascii="NewBaskerville" w:hAnsi="NewBaskerville" w:cs="Arial"/>
          <w:color w:val="000000"/>
          <w:u w:val="single"/>
        </w:rPr>
      </w:pPr>
      <w:r w:rsidRPr="000F36F8">
        <w:rPr>
          <w:rFonts w:ascii="NewBaskerville" w:hAnsi="NewBaskerville" w:cs="Arial"/>
          <w:color w:val="000000"/>
          <w:u w:val="single"/>
        </w:rPr>
        <w:t>Deterioro del valor de los ac</w:t>
      </w:r>
      <w:r w:rsidR="00267551" w:rsidRPr="000F36F8">
        <w:rPr>
          <w:rFonts w:ascii="NewBaskerville" w:hAnsi="NewBaskerville" w:cs="Arial"/>
          <w:color w:val="000000"/>
          <w:u w:val="single"/>
        </w:rPr>
        <w:t>tivos financieros</w:t>
      </w:r>
    </w:p>
    <w:p w:rsidR="000A14A4" w:rsidRDefault="000A14A4" w:rsidP="000F36F8">
      <w:pPr>
        <w:widowControl w:val="0"/>
        <w:autoSpaceDE w:val="0"/>
        <w:autoSpaceDN w:val="0"/>
        <w:adjustRightInd w:val="0"/>
        <w:spacing w:before="240"/>
        <w:ind w:firstLine="567"/>
        <w:jc w:val="both"/>
        <w:rPr>
          <w:rFonts w:ascii="NewBaskerville" w:hAnsi="NewBaskerville"/>
        </w:rPr>
      </w:pPr>
      <w:r>
        <w:rPr>
          <w:rFonts w:ascii="NewBaskerville" w:hAnsi="NewBaskerville"/>
        </w:rPr>
        <w:t>A fecha de cierre, se han efectuado por la Entidad las correcciones valorativas necesarias, siempre que exista evidencia de que el valor de un activo financiero se ha deteriorado como resultado de un</w:t>
      </w:r>
      <w:r w:rsidR="003E2475">
        <w:rPr>
          <w:rFonts w:ascii="NewBaskerville" w:hAnsi="NewBaskerville"/>
        </w:rPr>
        <w:t>o</w:t>
      </w:r>
      <w:r>
        <w:rPr>
          <w:rFonts w:ascii="NewBaskerville" w:hAnsi="NewBaskerville"/>
        </w:rPr>
        <w:t xml:space="preserve"> o más eventos que hayan ocurrido después de su reconocimiento inicial y que </w:t>
      </w:r>
      <w:r>
        <w:rPr>
          <w:rFonts w:ascii="NewBaskerville" w:hAnsi="NewBaskerville"/>
        </w:rPr>
        <w:lastRenderedPageBreak/>
        <w:t>ocasionen una reducción o retraso en los flujos de efectivo futuros.</w:t>
      </w:r>
    </w:p>
    <w:p w:rsidR="00262737" w:rsidRDefault="00A7426D" w:rsidP="000F36F8">
      <w:pPr>
        <w:widowControl w:val="0"/>
        <w:autoSpaceDE w:val="0"/>
        <w:autoSpaceDN w:val="0"/>
        <w:adjustRightInd w:val="0"/>
        <w:spacing w:before="240"/>
        <w:ind w:firstLine="567"/>
        <w:jc w:val="both"/>
        <w:rPr>
          <w:rFonts w:ascii="NewBaskerville" w:hAnsi="NewBaskerville"/>
        </w:rPr>
      </w:pPr>
      <w:r w:rsidRPr="000F36F8">
        <w:rPr>
          <w:rFonts w:ascii="NewBaskerville" w:hAnsi="NewBaskerville"/>
        </w:rPr>
        <w:t>El valor en libros de los activos financieros se corrige por la Entidad con cargo a la cuenta de pérdidas y ganancias cuando existe una evidencia objetiva de que se ha producido una pérdida por deterioro</w:t>
      </w:r>
      <w:r w:rsidR="00262737">
        <w:rPr>
          <w:rFonts w:ascii="NewBaskerville" w:hAnsi="NewBaskerville"/>
        </w:rPr>
        <w:t>.</w:t>
      </w:r>
    </w:p>
    <w:p w:rsidR="00262737" w:rsidRDefault="00262737" w:rsidP="00262737">
      <w:pPr>
        <w:widowControl w:val="0"/>
        <w:autoSpaceDE w:val="0"/>
        <w:autoSpaceDN w:val="0"/>
        <w:adjustRightInd w:val="0"/>
        <w:ind w:firstLine="567"/>
        <w:jc w:val="both"/>
        <w:rPr>
          <w:rFonts w:ascii="NewBaskerville" w:hAnsi="NewBaskerville"/>
        </w:rPr>
      </w:pPr>
    </w:p>
    <w:p w:rsidR="001F2D6C" w:rsidRPr="00262737" w:rsidRDefault="001F2D6C" w:rsidP="00262737">
      <w:pPr>
        <w:ind w:firstLine="567"/>
        <w:jc w:val="both"/>
        <w:rPr>
          <w:rFonts w:ascii="NewBaskerville" w:hAnsi="NewBaskerville"/>
        </w:rPr>
      </w:pPr>
      <w:r w:rsidRPr="00262737">
        <w:rPr>
          <w:rFonts w:ascii="NewBaskerville" w:hAnsi="NewBaskerville"/>
        </w:rPr>
        <w:t>Para determinar las pérdidas por deterioro de los activos financieros, la Entidad evalúa las posibles pérdidas tanto de los activos individuales como de los grupos de activos con cara</w:t>
      </w:r>
      <w:r w:rsidR="00262737">
        <w:rPr>
          <w:rFonts w:ascii="NewBaskerville" w:hAnsi="NewBaskerville"/>
        </w:rPr>
        <w:t xml:space="preserve">cterísticas de riesgo similares </w:t>
      </w:r>
      <w:r w:rsidR="003E2475">
        <w:rPr>
          <w:rFonts w:ascii="NewBaskerville" w:hAnsi="NewBaskerville"/>
        </w:rPr>
        <w:t>que</w:t>
      </w:r>
      <w:r w:rsidR="00262737">
        <w:rPr>
          <w:rFonts w:ascii="NewBaskerville" w:hAnsi="NewBaskerville"/>
        </w:rPr>
        <w:t xml:space="preserve"> result</w:t>
      </w:r>
      <w:r w:rsidR="003E2475">
        <w:rPr>
          <w:rFonts w:ascii="NewBaskerville" w:hAnsi="NewBaskerville"/>
        </w:rPr>
        <w:t>en</w:t>
      </w:r>
      <w:r w:rsidR="00262737">
        <w:rPr>
          <w:rFonts w:ascii="NewBaskerville" w:hAnsi="NewBaskerville"/>
        </w:rPr>
        <w:t xml:space="preserve"> de uno o más eventos que hayan ocurrido después </w:t>
      </w:r>
      <w:r w:rsidR="006D2A63">
        <w:rPr>
          <w:rFonts w:ascii="NewBaskerville" w:hAnsi="NewBaskerville"/>
        </w:rPr>
        <w:t>d</w:t>
      </w:r>
      <w:r w:rsidR="00262737">
        <w:rPr>
          <w:rFonts w:ascii="NewBaskerville" w:hAnsi="NewBaskerville"/>
        </w:rPr>
        <w:t>e su reconocimiento inicial.</w:t>
      </w:r>
    </w:p>
    <w:p w:rsidR="001F2D6C" w:rsidRPr="000F36F8" w:rsidRDefault="001F2D6C" w:rsidP="000F36F8">
      <w:pPr>
        <w:pStyle w:val="Ttulo5"/>
        <w:rPr>
          <w:rFonts w:ascii="NewBaskerville" w:hAnsi="NewBaskerville"/>
          <w:sz w:val="20"/>
        </w:rPr>
      </w:pPr>
      <w:r w:rsidRPr="000F36F8">
        <w:rPr>
          <w:rFonts w:ascii="NewBaskerville" w:hAnsi="NewBaskerville"/>
          <w:sz w:val="20"/>
        </w:rPr>
        <w:t xml:space="preserve">  </w:t>
      </w:r>
    </w:p>
    <w:p w:rsidR="006D2A63" w:rsidRPr="000F36F8" w:rsidRDefault="00311954" w:rsidP="006D2A63">
      <w:pPr>
        <w:ind w:firstLine="567"/>
        <w:jc w:val="both"/>
        <w:rPr>
          <w:rFonts w:ascii="NewBaskerville" w:hAnsi="NewBaskerville"/>
        </w:rPr>
      </w:pPr>
      <w:r>
        <w:rPr>
          <w:rFonts w:ascii="NewBaskerville" w:hAnsi="NewBaskerville"/>
        </w:rPr>
        <w:t xml:space="preserve">Para la categoría de activos financieros a coste amortizado, créditos por operaciones comerciales, </w:t>
      </w:r>
      <w:r w:rsidR="006D2A63">
        <w:rPr>
          <w:rFonts w:ascii="NewBaskerville" w:hAnsi="NewBaskerville"/>
        </w:rPr>
        <w:t>y s</w:t>
      </w:r>
      <w:r w:rsidR="006D2A63" w:rsidRPr="000F36F8">
        <w:rPr>
          <w:rFonts w:ascii="NewBaskerville" w:hAnsi="NewBaskerville"/>
        </w:rPr>
        <w:t xml:space="preserve">iguiendo las instrucciones emitidas por Puertos del Estado para el sistema portuario, se realiza una dotación para insolvencias en función de la antigüedad de la deuda y la tipología de la </w:t>
      </w:r>
      <w:r w:rsidR="003E2475">
        <w:rPr>
          <w:rFonts w:ascii="NewBaskerville" w:hAnsi="NewBaskerville"/>
        </w:rPr>
        <w:t>misma</w:t>
      </w:r>
      <w:r w:rsidR="006D2A63" w:rsidRPr="000F36F8">
        <w:rPr>
          <w:rFonts w:ascii="NewBaskerville" w:hAnsi="NewBaskerville"/>
        </w:rPr>
        <w:t xml:space="preserve"> según sea tasa o tarifa. Además atendiendo a casos específicos en los que existe evidencia de impago o el deudor se encuentra en concurso de acreedores se efectúan las correspondientes dotaciones.</w:t>
      </w:r>
    </w:p>
    <w:p w:rsidR="00311954" w:rsidRDefault="00311954" w:rsidP="000F36F8">
      <w:pPr>
        <w:ind w:firstLine="567"/>
        <w:jc w:val="both"/>
        <w:rPr>
          <w:rFonts w:ascii="NewBaskerville" w:hAnsi="NewBaskerville"/>
        </w:rPr>
      </w:pPr>
    </w:p>
    <w:p w:rsidR="007D3E06" w:rsidRDefault="006D2A63" w:rsidP="000F36F8">
      <w:pPr>
        <w:ind w:firstLine="567"/>
        <w:jc w:val="both"/>
        <w:rPr>
          <w:rFonts w:ascii="NewBaskerville" w:hAnsi="NewBaskerville"/>
        </w:rPr>
      </w:pPr>
      <w:r>
        <w:rPr>
          <w:rFonts w:ascii="NewBaskerville" w:hAnsi="NewBaskerville"/>
        </w:rPr>
        <w:t>En activos financieros a coste amortizado l</w:t>
      </w:r>
      <w:r w:rsidR="001F2D6C" w:rsidRPr="000F36F8">
        <w:rPr>
          <w:rFonts w:ascii="NewBaskerville" w:hAnsi="NewBaskerville"/>
        </w:rPr>
        <w:t xml:space="preserve">a reversión de las correcciones valorativas por deterioro se registra en la cuenta de pérdidas y ganancias, con el límite del valor en libros </w:t>
      </w:r>
      <w:r w:rsidR="00311954">
        <w:rPr>
          <w:rFonts w:ascii="NewBaskerville" w:hAnsi="NewBaskerville"/>
        </w:rPr>
        <w:t>del activo que estaría reconocido</w:t>
      </w:r>
      <w:r w:rsidR="001F2D6C" w:rsidRPr="000F36F8">
        <w:rPr>
          <w:rFonts w:ascii="NewBaskerville" w:hAnsi="NewBaskerville"/>
        </w:rPr>
        <w:t xml:space="preserve"> en la fecha de reversión si no se hubiera r</w:t>
      </w:r>
      <w:r w:rsidR="00311954">
        <w:rPr>
          <w:rFonts w:ascii="NewBaskerville" w:hAnsi="NewBaskerville"/>
        </w:rPr>
        <w:t>egistrado el deterioro de valor</w:t>
      </w:r>
      <w:r>
        <w:rPr>
          <w:rFonts w:ascii="NewBaskerville" w:hAnsi="NewBaskerville"/>
        </w:rPr>
        <w:t>.</w:t>
      </w:r>
    </w:p>
    <w:p w:rsidR="002C4355" w:rsidRPr="00072D1A" w:rsidRDefault="002C4355" w:rsidP="002918E7">
      <w:pPr>
        <w:ind w:left="709"/>
        <w:jc w:val="both"/>
      </w:pPr>
    </w:p>
    <w:p w:rsidR="002C4355" w:rsidRDefault="002C4355" w:rsidP="002918E7">
      <w:pPr>
        <w:pStyle w:val="Sangra2detindependiente"/>
        <w:numPr>
          <w:ilvl w:val="0"/>
          <w:numId w:val="2"/>
        </w:numPr>
        <w:ind w:left="709"/>
        <w:rPr>
          <w:rFonts w:ascii="NewBaskerville" w:hAnsi="NewBaskerville"/>
          <w:sz w:val="20"/>
        </w:rPr>
      </w:pPr>
      <w:r w:rsidRPr="00ED7B5A">
        <w:rPr>
          <w:rFonts w:ascii="NewBaskerville" w:hAnsi="NewBaskerville"/>
          <w:sz w:val="20"/>
        </w:rPr>
        <w:t>Pasivos financieros</w:t>
      </w:r>
    </w:p>
    <w:p w:rsidR="00074175" w:rsidRPr="00ED7B5A" w:rsidRDefault="00074175" w:rsidP="00074175">
      <w:pPr>
        <w:pStyle w:val="Sangra2detindependiente"/>
        <w:ind w:left="709" w:firstLine="0"/>
        <w:rPr>
          <w:rFonts w:ascii="NewBaskerville" w:hAnsi="NewBaskerville"/>
          <w:sz w:val="20"/>
        </w:rPr>
      </w:pPr>
    </w:p>
    <w:p w:rsidR="002C4355" w:rsidRPr="00ED7B5A" w:rsidRDefault="00525F4B" w:rsidP="00ED7B5A">
      <w:pPr>
        <w:widowControl w:val="0"/>
        <w:autoSpaceDE w:val="0"/>
        <w:spacing w:before="240"/>
        <w:rPr>
          <w:rFonts w:ascii="NewBaskerville" w:hAnsi="NewBaskerville" w:cs="Arial"/>
          <w:color w:val="000000"/>
          <w:u w:val="single"/>
        </w:rPr>
      </w:pPr>
      <w:r>
        <w:rPr>
          <w:rFonts w:ascii="NewBaskerville" w:hAnsi="NewBaskerville" w:cs="Arial"/>
          <w:color w:val="000000"/>
          <w:u w:val="single"/>
        </w:rPr>
        <w:t>Pasivos financieros a coste amortizado.</w:t>
      </w:r>
    </w:p>
    <w:p w:rsidR="002C4355" w:rsidRPr="00072D1A" w:rsidRDefault="002C4355" w:rsidP="002918E7">
      <w:pPr>
        <w:pStyle w:val="Ttulo5"/>
        <w:ind w:left="709"/>
        <w:rPr>
          <w:sz w:val="20"/>
        </w:rPr>
      </w:pPr>
    </w:p>
    <w:p w:rsidR="002C4355" w:rsidRDefault="000300BD" w:rsidP="00525F4B">
      <w:pPr>
        <w:pStyle w:val="Ttulo5"/>
        <w:rPr>
          <w:rFonts w:ascii="NewBaskerville" w:hAnsi="NewBaskerville"/>
          <w:sz w:val="20"/>
        </w:rPr>
      </w:pPr>
      <w:r>
        <w:rPr>
          <w:rFonts w:ascii="NewBaskerville" w:hAnsi="NewBaskerville"/>
          <w:sz w:val="20"/>
        </w:rPr>
        <w:t>Con carácter general, se incluyen en esta categoría los débitos por operaciones comerciales y los débitos</w:t>
      </w:r>
      <w:r w:rsidR="00074175">
        <w:rPr>
          <w:rFonts w:ascii="NewBaskerville" w:hAnsi="NewBaskerville"/>
          <w:sz w:val="20"/>
        </w:rPr>
        <w:t xml:space="preserve"> por operaciones no comerciales:</w:t>
      </w:r>
    </w:p>
    <w:p w:rsidR="000300BD" w:rsidRPr="00074175" w:rsidRDefault="00410426" w:rsidP="00074175">
      <w:pPr>
        <w:pStyle w:val="Prrafodelista"/>
        <w:numPr>
          <w:ilvl w:val="0"/>
          <w:numId w:val="6"/>
        </w:numPr>
        <w:jc w:val="both"/>
        <w:rPr>
          <w:rFonts w:ascii="NewBaskerville" w:hAnsi="NewBaskerville"/>
        </w:rPr>
      </w:pPr>
      <w:r w:rsidRPr="00074175">
        <w:rPr>
          <w:rFonts w:ascii="NewBaskerville" w:hAnsi="NewBaskerville"/>
        </w:rPr>
        <w:t xml:space="preserve">Débitos por operaciones comerciales: son aquellos pasivos financieros que se originan en la compra de bienes y servicios por operaciones de tráfico </w:t>
      </w:r>
      <w:r w:rsidR="00F45BF6" w:rsidRPr="00074175">
        <w:rPr>
          <w:rFonts w:ascii="NewBaskerville" w:hAnsi="NewBaskerville"/>
        </w:rPr>
        <w:t>de la Entidad con pago aplazado.</w:t>
      </w:r>
    </w:p>
    <w:p w:rsidR="00410426" w:rsidRPr="00074175" w:rsidRDefault="00410426" w:rsidP="00074175">
      <w:pPr>
        <w:pStyle w:val="Prrafodelista"/>
        <w:numPr>
          <w:ilvl w:val="0"/>
          <w:numId w:val="6"/>
        </w:numPr>
        <w:jc w:val="both"/>
        <w:rPr>
          <w:rFonts w:ascii="NewBaskerville" w:hAnsi="NewBaskerville"/>
        </w:rPr>
      </w:pPr>
      <w:r w:rsidRPr="00074175">
        <w:rPr>
          <w:rFonts w:ascii="NewBaskerville" w:hAnsi="NewBaskerville"/>
        </w:rPr>
        <w:t>Débitos por operaciones no comerciales: son aquellos pasivos financieros que, no siendo instrumentos derivados, no tienen origen comercial, sino que proceden de operaciones de préstamo o crédito recibidos por la empresa.</w:t>
      </w:r>
    </w:p>
    <w:p w:rsidR="002C4355" w:rsidRPr="00525F4B" w:rsidRDefault="002C4355" w:rsidP="00525F4B">
      <w:pPr>
        <w:rPr>
          <w:rFonts w:ascii="NewBaskerville" w:hAnsi="NewBaskerville"/>
        </w:rPr>
      </w:pPr>
    </w:p>
    <w:p w:rsidR="002C4355" w:rsidRDefault="002C4355" w:rsidP="00525F4B">
      <w:pPr>
        <w:pStyle w:val="Ttulo5"/>
        <w:rPr>
          <w:rFonts w:ascii="NewBaskerville" w:hAnsi="NewBaskerville"/>
          <w:sz w:val="20"/>
        </w:rPr>
      </w:pPr>
      <w:r w:rsidRPr="00525F4B">
        <w:rPr>
          <w:rFonts w:ascii="NewBaskerville" w:hAnsi="NewBaskerville"/>
          <w:sz w:val="20"/>
        </w:rPr>
        <w:t>En su reconocimiento inicial en el balance, se registran por su valor razonable, que, salvo evidencia en contrario, es el precio de la transacción, que equivale al valor razonable de la contraprestación recibida ajustado por los costes de transacción que les</w:t>
      </w:r>
      <w:r w:rsidR="001F2D6C" w:rsidRPr="00525F4B">
        <w:rPr>
          <w:rFonts w:ascii="NewBaskerville" w:hAnsi="NewBaskerville"/>
          <w:sz w:val="20"/>
        </w:rPr>
        <w:t xml:space="preserve"> sean directamente atribuibles.</w:t>
      </w:r>
    </w:p>
    <w:p w:rsidR="00417100" w:rsidRPr="00417100" w:rsidRDefault="00417100" w:rsidP="00417100"/>
    <w:p w:rsidR="00417100" w:rsidRPr="00525F4B" w:rsidRDefault="00417100" w:rsidP="00417100">
      <w:pPr>
        <w:pStyle w:val="Ttulo5"/>
        <w:rPr>
          <w:rFonts w:ascii="NewBaskerville" w:hAnsi="NewBaskerville"/>
          <w:sz w:val="20"/>
        </w:rPr>
      </w:pPr>
      <w:r w:rsidRPr="00525F4B">
        <w:rPr>
          <w:rFonts w:ascii="NewBaskerville" w:hAnsi="NewBaskerville"/>
          <w:sz w:val="20"/>
        </w:rPr>
        <w:t>No obstante, los débitos por operaciones comerciales con vencimiento no superior a un año y que no tengan un tipo de interés contractual, cuyo importe se espera pagar en el corto plazo, se valoran por su valor nominal, cuando el efecto de no actualizar los flujos de efectivo no es significativo.</w:t>
      </w:r>
    </w:p>
    <w:p w:rsidR="001F2D6C" w:rsidRPr="00525F4B" w:rsidRDefault="001F2D6C" w:rsidP="00525F4B">
      <w:pPr>
        <w:rPr>
          <w:rFonts w:ascii="NewBaskerville" w:hAnsi="NewBaskerville"/>
        </w:rPr>
      </w:pPr>
    </w:p>
    <w:p w:rsidR="002C4355" w:rsidRPr="00525F4B" w:rsidRDefault="002C4355" w:rsidP="00525F4B">
      <w:pPr>
        <w:pStyle w:val="Ttulo5"/>
        <w:rPr>
          <w:rFonts w:ascii="NewBaskerville" w:hAnsi="NewBaskerville"/>
          <w:sz w:val="20"/>
        </w:rPr>
      </w:pPr>
      <w:r w:rsidRPr="00525F4B">
        <w:rPr>
          <w:rFonts w:ascii="NewBaskerville" w:hAnsi="NewBaskerville"/>
          <w:sz w:val="20"/>
        </w:rPr>
        <w:t>Tras su reconocimiento inicial, estos pasivos financieros se valoran por su coste amortizado. Los intereses devengados se contabilizan en la cuenta de pérdidas y ganancias, aplicando el método del tipo de interés efectivo.</w:t>
      </w:r>
    </w:p>
    <w:p w:rsidR="002C4355" w:rsidRPr="00525F4B" w:rsidRDefault="002C4355" w:rsidP="00525F4B">
      <w:pPr>
        <w:rPr>
          <w:rFonts w:ascii="NewBaskerville" w:hAnsi="NewBaskerville"/>
        </w:rPr>
      </w:pPr>
    </w:p>
    <w:p w:rsidR="003B432F" w:rsidRPr="00525F4B" w:rsidRDefault="002C4355" w:rsidP="00525F4B">
      <w:pPr>
        <w:pStyle w:val="Ttulo5"/>
        <w:rPr>
          <w:rFonts w:ascii="NewBaskerville" w:hAnsi="NewBaskerville"/>
          <w:sz w:val="20"/>
        </w:rPr>
      </w:pPr>
      <w:r w:rsidRPr="00525F4B">
        <w:rPr>
          <w:rFonts w:ascii="NewBaskerville" w:hAnsi="NewBaskerville"/>
          <w:sz w:val="20"/>
        </w:rPr>
        <w:lastRenderedPageBreak/>
        <w:t xml:space="preserve">No obstante, los débitos con vencimiento no superior a un año </w:t>
      </w:r>
      <w:r w:rsidR="00417100">
        <w:rPr>
          <w:rFonts w:ascii="NewBaskerville" w:hAnsi="NewBaskerville"/>
          <w:sz w:val="20"/>
        </w:rPr>
        <w:t xml:space="preserve">descritos anteriormente que se valoren </w:t>
      </w:r>
      <w:r w:rsidR="003F24D6">
        <w:rPr>
          <w:rFonts w:ascii="NewBaskerville" w:hAnsi="NewBaskerville"/>
          <w:sz w:val="20"/>
        </w:rPr>
        <w:t>inicialmente</w:t>
      </w:r>
      <w:r w:rsidR="00417100">
        <w:rPr>
          <w:rFonts w:ascii="NewBaskerville" w:hAnsi="NewBaskerville"/>
          <w:sz w:val="20"/>
        </w:rPr>
        <w:t xml:space="preserve"> por su valor nominal, continuarán valorándose por dicho importe.</w:t>
      </w:r>
    </w:p>
    <w:p w:rsidR="00890019" w:rsidRDefault="00890019" w:rsidP="00890019"/>
    <w:p w:rsidR="002C4355" w:rsidRDefault="00890019" w:rsidP="00525F4B">
      <w:pPr>
        <w:rPr>
          <w:rFonts w:ascii="NewBaskerville" w:hAnsi="NewBaskerville"/>
          <w:u w:val="single"/>
        </w:rPr>
      </w:pPr>
      <w:r w:rsidRPr="00890019">
        <w:rPr>
          <w:rFonts w:ascii="NewBaskerville" w:hAnsi="NewBaskerville"/>
          <w:u w:val="single"/>
        </w:rPr>
        <w:t>Fianzas y depósitos entregado</w:t>
      </w:r>
      <w:r w:rsidR="003E2475">
        <w:rPr>
          <w:rFonts w:ascii="NewBaskerville" w:hAnsi="NewBaskerville"/>
          <w:u w:val="single"/>
        </w:rPr>
        <w:t>s</w:t>
      </w:r>
      <w:r w:rsidRPr="00890019">
        <w:rPr>
          <w:rFonts w:ascii="NewBaskerville" w:hAnsi="NewBaskerville"/>
          <w:u w:val="single"/>
        </w:rPr>
        <w:t xml:space="preserve"> y recibidos.</w:t>
      </w:r>
    </w:p>
    <w:p w:rsidR="00890019" w:rsidRDefault="00890019" w:rsidP="002918E7">
      <w:pPr>
        <w:ind w:left="709"/>
        <w:rPr>
          <w:rFonts w:ascii="NewBaskerville" w:hAnsi="NewBaskerville"/>
          <w:u w:val="single"/>
        </w:rPr>
      </w:pPr>
    </w:p>
    <w:p w:rsidR="00890019" w:rsidRDefault="00890019" w:rsidP="00525F4B">
      <w:pPr>
        <w:ind w:firstLine="426"/>
        <w:jc w:val="both"/>
        <w:rPr>
          <w:rFonts w:ascii="NewBaskerville" w:hAnsi="NewBaskerville"/>
        </w:rPr>
      </w:pPr>
      <w:r>
        <w:rPr>
          <w:rFonts w:ascii="NewBaskerville" w:hAnsi="NewBaskerville"/>
        </w:rPr>
        <w:t xml:space="preserve">Las fianzas y depósitos entregados o recibidos, teniendo en cuenta las prácticas habituales del sector económico específico en el que operan </w:t>
      </w:r>
      <w:r w:rsidR="003F24D6">
        <w:rPr>
          <w:rFonts w:ascii="NewBaskerville" w:hAnsi="NewBaskerville"/>
        </w:rPr>
        <w:t>los organismos</w:t>
      </w:r>
      <w:r>
        <w:rPr>
          <w:rFonts w:ascii="NewBaskerville" w:hAnsi="NewBaskerville"/>
        </w:rPr>
        <w:t xml:space="preserve"> públicos, la naturaleza y fines de dichas fianzas y depósitos, su actualización financiera tiene un efecto escasamente significativo. Por ello las fianzas y </w:t>
      </w:r>
      <w:r w:rsidR="003F24D6">
        <w:rPr>
          <w:rFonts w:ascii="NewBaskerville" w:hAnsi="NewBaskerville"/>
        </w:rPr>
        <w:t>depósitos</w:t>
      </w:r>
      <w:r>
        <w:rPr>
          <w:rFonts w:ascii="NewBaskerville" w:hAnsi="NewBaskerville"/>
        </w:rPr>
        <w:t xml:space="preserve"> recibidos o constituidos (tanto a corto como a largo plazo) se valorarán por su valor nominal.</w:t>
      </w:r>
    </w:p>
    <w:p w:rsidR="00890019" w:rsidRPr="00890019" w:rsidRDefault="00890019" w:rsidP="002918E7">
      <w:pPr>
        <w:ind w:left="709"/>
        <w:rPr>
          <w:rFonts w:ascii="NewBaskerville" w:hAnsi="NewBaskerville"/>
          <w:u w:val="single"/>
        </w:rPr>
      </w:pPr>
    </w:p>
    <w:p w:rsidR="002C4355" w:rsidRPr="0063644B" w:rsidRDefault="002C4355" w:rsidP="00074175">
      <w:pPr>
        <w:numPr>
          <w:ilvl w:val="0"/>
          <w:numId w:val="41"/>
        </w:numPr>
        <w:spacing w:after="120"/>
        <w:ind w:left="567" w:hanging="283"/>
        <w:jc w:val="both"/>
        <w:rPr>
          <w:rFonts w:ascii="NewBaskerville" w:hAnsi="NewBaskerville"/>
          <w:bCs/>
        </w:rPr>
      </w:pPr>
      <w:r w:rsidRPr="0063644B">
        <w:rPr>
          <w:rFonts w:ascii="NewBaskerville" w:hAnsi="NewBaskerville"/>
          <w:bCs/>
        </w:rPr>
        <w:t>Existencias</w:t>
      </w:r>
    </w:p>
    <w:p w:rsidR="002C4355" w:rsidRPr="0063644B" w:rsidRDefault="002C4355" w:rsidP="0063644B">
      <w:pPr>
        <w:tabs>
          <w:tab w:val="center" w:pos="1843"/>
          <w:tab w:val="center" w:pos="5671"/>
          <w:tab w:val="center" w:pos="7797"/>
        </w:tabs>
        <w:ind w:firstLine="568"/>
        <w:jc w:val="both"/>
        <w:rPr>
          <w:rFonts w:ascii="NewBaskerville" w:hAnsi="NewBaskerville"/>
          <w:bCs/>
        </w:rPr>
      </w:pPr>
      <w:r w:rsidRPr="0063644B">
        <w:rPr>
          <w:rFonts w:ascii="NewBaskerville" w:hAnsi="NewBaskerville"/>
          <w:bCs/>
        </w:rPr>
        <w:t>Los bienes comprendidos en las existencias se valoran inicialmente al precio de adquisición; los impuestos indirectos que gravan las existencias sólo se incluyen en el precio cuando no son directamente recuperables de la Hacienda Pública.</w:t>
      </w:r>
    </w:p>
    <w:p w:rsidR="002C4355" w:rsidRPr="0063644B" w:rsidRDefault="002C4355" w:rsidP="002918E7">
      <w:pPr>
        <w:tabs>
          <w:tab w:val="center" w:pos="1843"/>
          <w:tab w:val="center" w:pos="5671"/>
          <w:tab w:val="center" w:pos="7797"/>
        </w:tabs>
        <w:ind w:left="709" w:firstLine="568"/>
        <w:jc w:val="both"/>
        <w:rPr>
          <w:rFonts w:ascii="NewBaskerville" w:hAnsi="NewBaskerville"/>
        </w:rPr>
      </w:pPr>
    </w:p>
    <w:p w:rsidR="003B432F" w:rsidRPr="0063644B" w:rsidRDefault="002C4355" w:rsidP="00997D65">
      <w:pPr>
        <w:tabs>
          <w:tab w:val="center" w:pos="1843"/>
          <w:tab w:val="center" w:pos="5671"/>
          <w:tab w:val="center" w:pos="7797"/>
        </w:tabs>
        <w:ind w:firstLine="568"/>
        <w:jc w:val="both"/>
        <w:rPr>
          <w:rFonts w:ascii="NewBaskerville" w:hAnsi="NewBaskerville"/>
        </w:rPr>
      </w:pPr>
      <w:r w:rsidRPr="0063644B">
        <w:rPr>
          <w:rFonts w:ascii="NewBaskerville" w:hAnsi="NewBaskerville"/>
        </w:rPr>
        <w:t>El inventario de existencias se valora por e</w:t>
      </w:r>
      <w:r w:rsidR="00F45BF6">
        <w:rPr>
          <w:rFonts w:ascii="NewBaskerville" w:hAnsi="NewBaskerville"/>
        </w:rPr>
        <w:t>l método FIFO aplicándose a toda</w:t>
      </w:r>
      <w:r w:rsidRPr="0063644B">
        <w:rPr>
          <w:rFonts w:ascii="NewBaskerville" w:hAnsi="NewBaskerville"/>
        </w:rPr>
        <w:t>s las existencias</w:t>
      </w:r>
      <w:r w:rsidR="008A5BD6" w:rsidRPr="0063644B">
        <w:rPr>
          <w:rFonts w:ascii="NewBaskerville" w:hAnsi="NewBaskerville"/>
        </w:rPr>
        <w:t xml:space="preserve"> el mismo método de valoración.</w:t>
      </w:r>
    </w:p>
    <w:p w:rsidR="003B432F" w:rsidRDefault="003B432F" w:rsidP="008A5BD6">
      <w:pPr>
        <w:tabs>
          <w:tab w:val="center" w:pos="1843"/>
          <w:tab w:val="center" w:pos="5671"/>
          <w:tab w:val="center" w:pos="7797"/>
        </w:tabs>
        <w:ind w:firstLine="568"/>
        <w:jc w:val="both"/>
      </w:pPr>
    </w:p>
    <w:p w:rsidR="002C4355" w:rsidRPr="0063644B" w:rsidRDefault="002C4355" w:rsidP="00074175">
      <w:pPr>
        <w:pStyle w:val="Prrafodelista"/>
        <w:numPr>
          <w:ilvl w:val="0"/>
          <w:numId w:val="41"/>
        </w:numPr>
        <w:spacing w:after="120"/>
        <w:ind w:left="567" w:hanging="283"/>
        <w:jc w:val="both"/>
        <w:rPr>
          <w:rFonts w:ascii="NewBaskerville" w:hAnsi="NewBaskerville"/>
          <w:bCs/>
        </w:rPr>
      </w:pPr>
      <w:r w:rsidRPr="0063644B">
        <w:rPr>
          <w:rFonts w:ascii="NewBaskerville" w:hAnsi="NewBaskerville"/>
          <w:bCs/>
        </w:rPr>
        <w:t>Efectivo y otros activos líquidos equivalentes</w:t>
      </w:r>
    </w:p>
    <w:p w:rsidR="002C4355" w:rsidRPr="0063644B" w:rsidRDefault="002C4355">
      <w:pPr>
        <w:tabs>
          <w:tab w:val="center" w:pos="1843"/>
          <w:tab w:val="center" w:pos="5671"/>
          <w:tab w:val="center" w:pos="7797"/>
        </w:tabs>
        <w:ind w:firstLine="568"/>
        <w:jc w:val="both"/>
        <w:rPr>
          <w:rFonts w:ascii="NewBaskerville" w:hAnsi="NewBaskerville"/>
        </w:rPr>
      </w:pPr>
      <w:r w:rsidRPr="0063644B">
        <w:rPr>
          <w:rFonts w:ascii="NewBaskerville" w:hAnsi="NewBaskerville"/>
        </w:rPr>
        <w:t>Este epígrafe incluye el efectivo en caja, las cuentas corrientes bancarias y los depósitos y adquisiciones temporales de activos que cumplen con todos los siguientes requisitos:</w:t>
      </w:r>
    </w:p>
    <w:p w:rsidR="002C4355" w:rsidRPr="0063644B" w:rsidRDefault="002C4355" w:rsidP="00C86A95">
      <w:pPr>
        <w:widowControl w:val="0"/>
        <w:autoSpaceDE w:val="0"/>
        <w:autoSpaceDN w:val="0"/>
        <w:adjustRightInd w:val="0"/>
        <w:spacing w:before="120"/>
        <w:ind w:left="720" w:hanging="153"/>
        <w:jc w:val="both"/>
        <w:rPr>
          <w:rFonts w:ascii="NewBaskerville" w:hAnsi="NewBaskerville"/>
          <w:color w:val="000000"/>
        </w:rPr>
      </w:pPr>
      <w:r w:rsidRPr="0063644B">
        <w:rPr>
          <w:rFonts w:ascii="NewBaskerville" w:hAnsi="NewBaskerville"/>
        </w:rPr>
        <w:t>•</w:t>
      </w:r>
      <w:r w:rsidRPr="0063644B">
        <w:rPr>
          <w:rFonts w:ascii="NewBaskerville" w:hAnsi="NewBaskerville"/>
        </w:rPr>
        <w:tab/>
        <w:t>S</w:t>
      </w:r>
      <w:r w:rsidRPr="0063644B">
        <w:rPr>
          <w:rFonts w:ascii="NewBaskerville" w:hAnsi="NewBaskerville"/>
          <w:color w:val="000000"/>
        </w:rPr>
        <w:t xml:space="preserve">on convertibles en efectivo. </w:t>
      </w:r>
    </w:p>
    <w:p w:rsidR="002C4355" w:rsidRPr="0063644B" w:rsidRDefault="002C4355" w:rsidP="00C86A95">
      <w:pPr>
        <w:widowControl w:val="0"/>
        <w:autoSpaceDE w:val="0"/>
        <w:autoSpaceDN w:val="0"/>
        <w:adjustRightInd w:val="0"/>
        <w:spacing w:before="120"/>
        <w:ind w:left="720" w:hanging="153"/>
        <w:jc w:val="both"/>
        <w:rPr>
          <w:rFonts w:ascii="NewBaskerville" w:hAnsi="NewBaskerville"/>
          <w:color w:val="000000"/>
        </w:rPr>
      </w:pPr>
      <w:r w:rsidRPr="0063644B">
        <w:rPr>
          <w:rFonts w:ascii="NewBaskerville" w:hAnsi="NewBaskerville"/>
        </w:rPr>
        <w:t>•</w:t>
      </w:r>
      <w:r w:rsidRPr="0063644B">
        <w:rPr>
          <w:rFonts w:ascii="NewBaskerville" w:hAnsi="NewBaskerville"/>
        </w:rPr>
        <w:tab/>
      </w:r>
      <w:r w:rsidRPr="0063644B">
        <w:rPr>
          <w:rFonts w:ascii="NewBaskerville" w:hAnsi="NewBaskerville"/>
          <w:color w:val="000000"/>
        </w:rPr>
        <w:t>En el momento de su adquisición su vencimiento no era superior a tres meses.</w:t>
      </w:r>
    </w:p>
    <w:p w:rsidR="002C4355" w:rsidRPr="0063644B" w:rsidRDefault="002C4355" w:rsidP="00C86A95">
      <w:pPr>
        <w:widowControl w:val="0"/>
        <w:autoSpaceDE w:val="0"/>
        <w:autoSpaceDN w:val="0"/>
        <w:adjustRightInd w:val="0"/>
        <w:spacing w:before="120"/>
        <w:ind w:left="720" w:hanging="153"/>
        <w:jc w:val="both"/>
        <w:rPr>
          <w:rFonts w:ascii="NewBaskerville" w:hAnsi="NewBaskerville"/>
          <w:color w:val="000000"/>
        </w:rPr>
      </w:pPr>
      <w:r w:rsidRPr="0063644B">
        <w:rPr>
          <w:rFonts w:ascii="NewBaskerville" w:hAnsi="NewBaskerville"/>
        </w:rPr>
        <w:t>•</w:t>
      </w:r>
      <w:r w:rsidRPr="0063644B">
        <w:rPr>
          <w:rFonts w:ascii="NewBaskerville" w:hAnsi="NewBaskerville"/>
        </w:rPr>
        <w:tab/>
        <w:t>N</w:t>
      </w:r>
      <w:r w:rsidRPr="0063644B">
        <w:rPr>
          <w:rFonts w:ascii="NewBaskerville" w:hAnsi="NewBaskerville"/>
          <w:color w:val="000000"/>
        </w:rPr>
        <w:t>o están sujetos a un rie</w:t>
      </w:r>
      <w:r w:rsidR="00A60572" w:rsidRPr="0063644B">
        <w:rPr>
          <w:rFonts w:ascii="NewBaskerville" w:hAnsi="NewBaskerville"/>
          <w:color w:val="000000"/>
        </w:rPr>
        <w:t>s</w:t>
      </w:r>
      <w:r w:rsidRPr="0063644B">
        <w:rPr>
          <w:rFonts w:ascii="NewBaskerville" w:hAnsi="NewBaskerville"/>
          <w:color w:val="000000"/>
        </w:rPr>
        <w:t>go significativo de cambio de valor.</w:t>
      </w:r>
    </w:p>
    <w:p w:rsidR="00C86A95" w:rsidRDefault="002C4355" w:rsidP="00997D65">
      <w:pPr>
        <w:widowControl w:val="0"/>
        <w:autoSpaceDE w:val="0"/>
        <w:autoSpaceDN w:val="0"/>
        <w:adjustRightInd w:val="0"/>
        <w:spacing w:before="120"/>
        <w:ind w:left="720" w:hanging="153"/>
        <w:jc w:val="both"/>
        <w:rPr>
          <w:rFonts w:ascii="NewBaskerville" w:hAnsi="NewBaskerville"/>
          <w:color w:val="000000"/>
        </w:rPr>
      </w:pPr>
      <w:r w:rsidRPr="0063644B">
        <w:rPr>
          <w:rFonts w:ascii="NewBaskerville" w:hAnsi="NewBaskerville"/>
        </w:rPr>
        <w:t>•</w:t>
      </w:r>
      <w:r w:rsidRPr="0063644B">
        <w:rPr>
          <w:rFonts w:ascii="NewBaskerville" w:hAnsi="NewBaskerville"/>
        </w:rPr>
        <w:tab/>
        <w:t>F</w:t>
      </w:r>
      <w:r w:rsidRPr="0063644B">
        <w:rPr>
          <w:rFonts w:ascii="NewBaskerville" w:hAnsi="NewBaskerville"/>
          <w:color w:val="000000"/>
        </w:rPr>
        <w:t>orman parte de la política de gestión normal de tesorería de la Entidad.</w:t>
      </w:r>
    </w:p>
    <w:p w:rsidR="00074175" w:rsidRPr="0063644B" w:rsidRDefault="00074175" w:rsidP="00997D65">
      <w:pPr>
        <w:widowControl w:val="0"/>
        <w:autoSpaceDE w:val="0"/>
        <w:autoSpaceDN w:val="0"/>
        <w:adjustRightInd w:val="0"/>
        <w:spacing w:before="120"/>
        <w:ind w:left="720" w:hanging="153"/>
        <w:jc w:val="both"/>
        <w:rPr>
          <w:rFonts w:ascii="NewBaskerville" w:hAnsi="NewBaskerville"/>
          <w:color w:val="000000"/>
        </w:rPr>
      </w:pPr>
    </w:p>
    <w:p w:rsidR="002C4355" w:rsidRDefault="002C4355" w:rsidP="007D14D7">
      <w:pPr>
        <w:numPr>
          <w:ilvl w:val="0"/>
          <w:numId w:val="41"/>
        </w:numPr>
        <w:ind w:left="567" w:hanging="283"/>
        <w:jc w:val="both"/>
        <w:rPr>
          <w:rFonts w:ascii="NewBaskerville" w:hAnsi="NewBaskerville"/>
          <w:bCs/>
        </w:rPr>
      </w:pPr>
      <w:r w:rsidRPr="0063644B">
        <w:rPr>
          <w:rFonts w:ascii="NewBaskerville" w:hAnsi="NewBaskerville"/>
          <w:bCs/>
        </w:rPr>
        <w:t>Subvenciones de capital</w:t>
      </w:r>
      <w:r w:rsidR="00977F34" w:rsidRPr="0063644B">
        <w:rPr>
          <w:rFonts w:ascii="NewBaskerville" w:hAnsi="NewBaskerville"/>
          <w:bCs/>
        </w:rPr>
        <w:t>, donaciones y legados</w:t>
      </w:r>
    </w:p>
    <w:p w:rsidR="007D14D7" w:rsidRPr="0063644B" w:rsidRDefault="007D14D7" w:rsidP="007D14D7">
      <w:pPr>
        <w:ind w:left="567"/>
        <w:jc w:val="both"/>
        <w:rPr>
          <w:rFonts w:ascii="NewBaskerville" w:hAnsi="NewBaskerville"/>
          <w:bCs/>
        </w:rPr>
      </w:pPr>
    </w:p>
    <w:p w:rsidR="002C4355" w:rsidRPr="0063644B" w:rsidRDefault="007D14D7" w:rsidP="00083BB5">
      <w:pPr>
        <w:pStyle w:val="Ttulo5"/>
        <w:rPr>
          <w:rFonts w:ascii="NewBaskerville" w:hAnsi="NewBaskerville"/>
          <w:sz w:val="20"/>
        </w:rPr>
      </w:pPr>
      <w:r>
        <w:rPr>
          <w:rFonts w:ascii="NewBaskerville" w:hAnsi="NewBaskerville"/>
          <w:sz w:val="20"/>
        </w:rPr>
        <w:t xml:space="preserve">Las subvenciones de </w:t>
      </w:r>
      <w:r w:rsidR="002C4355" w:rsidRPr="0063644B">
        <w:rPr>
          <w:rFonts w:ascii="NewBaskerville" w:hAnsi="NewBaskerville"/>
          <w:sz w:val="20"/>
        </w:rPr>
        <w:t xml:space="preserve">carácter no reintegrables se </w:t>
      </w:r>
      <w:r>
        <w:rPr>
          <w:rFonts w:ascii="NewBaskerville" w:hAnsi="NewBaskerville"/>
          <w:sz w:val="20"/>
        </w:rPr>
        <w:t>valoran</w:t>
      </w:r>
      <w:r w:rsidR="002C4355" w:rsidRPr="0063644B">
        <w:rPr>
          <w:rFonts w:ascii="NewBaskerville" w:hAnsi="NewBaskerville"/>
          <w:sz w:val="20"/>
        </w:rPr>
        <w:t xml:space="preserve"> por el </w:t>
      </w:r>
      <w:r w:rsidR="004323C0">
        <w:rPr>
          <w:rFonts w:ascii="NewBaskerville" w:hAnsi="NewBaskerville"/>
          <w:sz w:val="20"/>
        </w:rPr>
        <w:t xml:space="preserve">valor razonable del </w:t>
      </w:r>
      <w:r w:rsidR="002C4355" w:rsidRPr="0063644B">
        <w:rPr>
          <w:rFonts w:ascii="NewBaskerville" w:hAnsi="NewBaskerville"/>
          <w:sz w:val="20"/>
        </w:rPr>
        <w:t>importe concedido,</w:t>
      </w:r>
      <w:r w:rsidR="00083BB5" w:rsidRPr="0063644B">
        <w:rPr>
          <w:rFonts w:ascii="NewBaskerville" w:hAnsi="NewBaskerville"/>
          <w:sz w:val="20"/>
        </w:rPr>
        <w:t xml:space="preserve"> </w:t>
      </w:r>
      <w:r w:rsidR="00A83A3C" w:rsidRPr="0063644B">
        <w:rPr>
          <w:rFonts w:ascii="NewBaskerville" w:hAnsi="NewBaskerville"/>
          <w:sz w:val="20"/>
        </w:rPr>
        <w:t>registrándose en el pat</w:t>
      </w:r>
      <w:r w:rsidR="00FA123B" w:rsidRPr="0063644B">
        <w:rPr>
          <w:rFonts w:ascii="NewBaskerville" w:hAnsi="NewBaskerville"/>
          <w:sz w:val="20"/>
        </w:rPr>
        <w:t>rimonio neto</w:t>
      </w:r>
      <w:r w:rsidR="00C14522">
        <w:rPr>
          <w:rFonts w:ascii="NewBaskerville" w:hAnsi="NewBaskerville"/>
          <w:sz w:val="20"/>
        </w:rPr>
        <w:t>, deducido el efecto impositivo,</w:t>
      </w:r>
      <w:r w:rsidR="00FA123B" w:rsidRPr="0063644B">
        <w:rPr>
          <w:rFonts w:ascii="NewBaskerville" w:hAnsi="NewBaskerville"/>
          <w:sz w:val="20"/>
        </w:rPr>
        <w:t xml:space="preserve"> cuando se obtienen. </w:t>
      </w:r>
      <w:r w:rsidR="00C14522">
        <w:rPr>
          <w:rFonts w:ascii="NewBaskerville" w:hAnsi="NewBaskerville"/>
          <w:sz w:val="20"/>
        </w:rPr>
        <w:t xml:space="preserve">Las ligadas al inmovilizado material se imputan como ingreso del ejercicio en proporción a la amortización </w:t>
      </w:r>
      <w:r w:rsidR="002C4355" w:rsidRPr="0063644B">
        <w:rPr>
          <w:rFonts w:ascii="NewBaskerville" w:hAnsi="NewBaskerville"/>
          <w:sz w:val="20"/>
        </w:rPr>
        <w:t>efectuada en el mismo periodo del activo financiado con dicha subvención</w:t>
      </w:r>
      <w:r w:rsidR="00C14522">
        <w:rPr>
          <w:rFonts w:ascii="NewBaskerville" w:hAnsi="NewBaskerville"/>
          <w:sz w:val="20"/>
        </w:rPr>
        <w:t>,</w:t>
      </w:r>
      <w:r w:rsidR="002C4355" w:rsidRPr="0063644B">
        <w:rPr>
          <w:rFonts w:ascii="NewBaskerville" w:hAnsi="NewBaskerville"/>
          <w:sz w:val="20"/>
        </w:rPr>
        <w:t xml:space="preserve"> o en su caso cuando se produzca su enajenación o baja en balance.</w:t>
      </w:r>
    </w:p>
    <w:p w:rsidR="002C4355" w:rsidRPr="0063644B" w:rsidRDefault="002C4355" w:rsidP="00FA123B">
      <w:pPr>
        <w:jc w:val="both"/>
        <w:rPr>
          <w:rFonts w:ascii="NewBaskerville" w:hAnsi="NewBaskerville"/>
        </w:rPr>
      </w:pPr>
    </w:p>
    <w:p w:rsidR="003B432F" w:rsidRDefault="002C4355" w:rsidP="00855D01">
      <w:pPr>
        <w:ind w:firstLine="540"/>
        <w:jc w:val="both"/>
        <w:rPr>
          <w:rFonts w:ascii="NewBaskerville" w:hAnsi="NewBaskerville"/>
        </w:rPr>
      </w:pPr>
      <w:r w:rsidRPr="0063644B">
        <w:rPr>
          <w:rFonts w:ascii="NewBaskerville" w:hAnsi="NewBaskerville"/>
        </w:rPr>
        <w:t>El devengo se reconoce simultáneamente al reconocimiento del pasivo por la certificación de obra.</w:t>
      </w:r>
    </w:p>
    <w:p w:rsidR="00306CAC" w:rsidRDefault="00306CAC" w:rsidP="00306CAC">
      <w:pPr>
        <w:ind w:firstLine="540"/>
        <w:jc w:val="both"/>
        <w:rPr>
          <w:rFonts w:ascii="NewBaskerville" w:hAnsi="NewBaskerville"/>
        </w:rPr>
      </w:pPr>
    </w:p>
    <w:p w:rsidR="00E02396" w:rsidRPr="0063644B" w:rsidRDefault="00306CAC" w:rsidP="00306CAC">
      <w:pPr>
        <w:ind w:firstLine="540"/>
        <w:jc w:val="both"/>
        <w:rPr>
          <w:rFonts w:ascii="NewBaskerville" w:hAnsi="NewBaskerville"/>
        </w:rPr>
      </w:pPr>
      <w:r>
        <w:rPr>
          <w:rFonts w:ascii="NewBaskerville" w:hAnsi="NewBaskerville"/>
        </w:rPr>
        <w:t xml:space="preserve">Las donaciones y legados concedidos para el establecimiento o estructura fija de la empresa (activos no corrientes) cuando no sean reintegrables se valoran por el valor razonable del bien recibido, atendiendo al efecto impositivo que pudiera corresponderles. Su imputación a resultados será similar a la descrita para las subvenciones.   </w:t>
      </w:r>
    </w:p>
    <w:p w:rsidR="001F2D6C" w:rsidRDefault="001F2D6C" w:rsidP="001F2D6C">
      <w:pPr>
        <w:ind w:firstLine="540"/>
      </w:pPr>
    </w:p>
    <w:p w:rsidR="00306CAC" w:rsidRDefault="00306CAC" w:rsidP="00306CAC">
      <w:pPr>
        <w:ind w:firstLine="540"/>
        <w:jc w:val="both"/>
        <w:rPr>
          <w:rFonts w:ascii="NewBaskerville" w:hAnsi="NewBaskerville"/>
        </w:rPr>
      </w:pPr>
      <w:r>
        <w:rPr>
          <w:rFonts w:ascii="NewBaskerville" w:hAnsi="NewBaskerville"/>
        </w:rPr>
        <w:t>En esta categoría se engloban los elementos adquiridos por reversión de concesiones, las adquisiciones a título lucrativo, y similares.</w:t>
      </w:r>
    </w:p>
    <w:p w:rsidR="00306CAC" w:rsidRDefault="00306CAC" w:rsidP="00306CAC">
      <w:pPr>
        <w:ind w:firstLine="540"/>
        <w:jc w:val="both"/>
        <w:rPr>
          <w:rFonts w:ascii="NewBaskerville" w:hAnsi="NewBaskerville"/>
        </w:rPr>
      </w:pPr>
    </w:p>
    <w:p w:rsidR="008A5BD6" w:rsidRPr="00306CAC" w:rsidRDefault="00981950" w:rsidP="00BA6314">
      <w:pPr>
        <w:numPr>
          <w:ilvl w:val="0"/>
          <w:numId w:val="41"/>
        </w:numPr>
        <w:spacing w:after="120"/>
        <w:ind w:left="567" w:hanging="283"/>
        <w:jc w:val="both"/>
        <w:rPr>
          <w:rFonts w:ascii="NewBaskerville" w:hAnsi="NewBaskerville"/>
          <w:bCs/>
        </w:rPr>
      </w:pPr>
      <w:r w:rsidRPr="00306CAC">
        <w:rPr>
          <w:rFonts w:ascii="NewBaskerville" w:hAnsi="NewBaskerville"/>
          <w:bCs/>
        </w:rPr>
        <w:t xml:space="preserve">Provisiones </w:t>
      </w:r>
    </w:p>
    <w:p w:rsidR="008A5BD6" w:rsidRPr="00306CAC" w:rsidRDefault="008A5BD6" w:rsidP="008A5BD6">
      <w:pPr>
        <w:pStyle w:val="Ttulo5"/>
        <w:rPr>
          <w:rFonts w:ascii="NewBaskerville" w:hAnsi="NewBaskerville"/>
          <w:sz w:val="20"/>
        </w:rPr>
      </w:pPr>
      <w:r w:rsidRPr="00306CAC">
        <w:rPr>
          <w:rFonts w:ascii="NewBaskerville" w:hAnsi="NewBaskerville"/>
          <w:sz w:val="20"/>
        </w:rPr>
        <w:lastRenderedPageBreak/>
        <w:t>Las provisiones se reconocen en el balance cuando la Entidad tiene una obligación actual, ya sea por una disposición legal, contractual o por una obligación implícita o tácita, surgida como consecuencia de sucesos pasados, que se estima probable que suponga una salida de recursos para su liquidación y que es cuantificable.</w:t>
      </w:r>
    </w:p>
    <w:p w:rsidR="008A5BD6" w:rsidRPr="00306CAC" w:rsidRDefault="008A5BD6" w:rsidP="008A5BD6">
      <w:pPr>
        <w:ind w:left="1065"/>
        <w:rPr>
          <w:rFonts w:ascii="NewBaskerville" w:hAnsi="NewBaskerville"/>
          <w:b/>
        </w:rPr>
      </w:pPr>
    </w:p>
    <w:p w:rsidR="002C4355" w:rsidRDefault="001F2D6C" w:rsidP="00E6742F">
      <w:pPr>
        <w:pStyle w:val="Ttulo5"/>
        <w:rPr>
          <w:rFonts w:ascii="NewBaskerville" w:hAnsi="NewBaskerville"/>
          <w:sz w:val="20"/>
        </w:rPr>
      </w:pPr>
      <w:r w:rsidRPr="00306CAC">
        <w:rPr>
          <w:rFonts w:ascii="NewBaskerville" w:hAnsi="NewBaskerville"/>
          <w:sz w:val="20"/>
        </w:rPr>
        <w:t>Las provisiones se valoran por el valor actual de la mejor estimación posible del importe necesario para cancelar o transferir a un tercero la obligación, registrándose los ajustes que surjan por la actualización de la provisión como un gasto financiero conforme se van devengando</w:t>
      </w:r>
      <w:r w:rsidR="000F3AD4" w:rsidRPr="00306CAC">
        <w:rPr>
          <w:rFonts w:ascii="NewBaskerville" w:hAnsi="NewBaskerville"/>
          <w:sz w:val="20"/>
        </w:rPr>
        <w:t xml:space="preserve">. </w:t>
      </w:r>
      <w:r w:rsidRPr="00306CAC">
        <w:rPr>
          <w:rFonts w:ascii="NewBaskerville" w:hAnsi="NewBaskerville"/>
          <w:sz w:val="20"/>
        </w:rPr>
        <w:t>Las provisiones se revisan a la fecha de cierre de cada balance y son ajustadas con el objetivo de reflejar la mejor estimación actual del pasivo correspondiente en cada momento.</w:t>
      </w:r>
    </w:p>
    <w:p w:rsidR="00306CAC" w:rsidRPr="00306CAC" w:rsidRDefault="00306CAC" w:rsidP="00306CAC"/>
    <w:p w:rsidR="002C4355" w:rsidRPr="00306CAC" w:rsidRDefault="002C4355" w:rsidP="00BA6314">
      <w:pPr>
        <w:numPr>
          <w:ilvl w:val="0"/>
          <w:numId w:val="41"/>
        </w:numPr>
        <w:spacing w:after="120"/>
        <w:ind w:left="567" w:hanging="283"/>
        <w:jc w:val="both"/>
        <w:rPr>
          <w:rFonts w:ascii="NewBaskerville" w:hAnsi="NewBaskerville"/>
          <w:bCs/>
        </w:rPr>
      </w:pPr>
      <w:r w:rsidRPr="00306CAC">
        <w:rPr>
          <w:rFonts w:ascii="NewBaskerville" w:hAnsi="NewBaskerville"/>
          <w:bCs/>
        </w:rPr>
        <w:t>Impuesto sobre sociedades</w:t>
      </w:r>
    </w:p>
    <w:p w:rsidR="00E74876" w:rsidRPr="00306CAC" w:rsidRDefault="00E74876" w:rsidP="00842F76">
      <w:pPr>
        <w:pStyle w:val="Ttulo5"/>
        <w:rPr>
          <w:rFonts w:ascii="NewBaskerville" w:hAnsi="NewBaskerville"/>
          <w:sz w:val="20"/>
        </w:rPr>
      </w:pPr>
      <w:r w:rsidRPr="00306CAC">
        <w:rPr>
          <w:rFonts w:ascii="NewBaskerville" w:hAnsi="NewBaskerville"/>
          <w:sz w:val="20"/>
        </w:rPr>
        <w:t>El gasto o ingreso por impuesto sobre beneficios comprende la parte relativa al gasto o ingreso por el impuesto corriente y la parte correspondiente al gasto e ingreso por impuesto diferido.</w:t>
      </w:r>
    </w:p>
    <w:p w:rsidR="00187A36" w:rsidRPr="00306CAC" w:rsidRDefault="00187A36" w:rsidP="00842F76">
      <w:pPr>
        <w:pStyle w:val="Ttulo5"/>
        <w:rPr>
          <w:rFonts w:ascii="NewBaskerville" w:hAnsi="NewBaskerville"/>
          <w:sz w:val="20"/>
        </w:rPr>
      </w:pPr>
    </w:p>
    <w:p w:rsidR="00E74876" w:rsidRPr="00306CAC" w:rsidRDefault="00E74876" w:rsidP="00842F76">
      <w:pPr>
        <w:pStyle w:val="Ttulo5"/>
        <w:rPr>
          <w:rFonts w:ascii="NewBaskerville" w:hAnsi="NewBaskerville"/>
          <w:sz w:val="20"/>
        </w:rPr>
      </w:pPr>
      <w:r w:rsidRPr="00306CAC">
        <w:rPr>
          <w:rFonts w:ascii="NewBaskerville" w:hAnsi="NewBaskerville"/>
          <w:sz w:val="20"/>
        </w:rPr>
        <w:t>El impuesto cor</w:t>
      </w:r>
      <w:r w:rsidR="00C116BF" w:rsidRPr="00306CAC">
        <w:rPr>
          <w:rFonts w:ascii="NewBaskerville" w:hAnsi="NewBaskerville"/>
          <w:sz w:val="20"/>
        </w:rPr>
        <w:t>riente es la cantidad que la Sociedad</w:t>
      </w:r>
      <w:r w:rsidRPr="00306CAC">
        <w:rPr>
          <w:rFonts w:ascii="NewBaskerville" w:hAnsi="NewBaskerville"/>
          <w:sz w:val="20"/>
        </w:rPr>
        <w:t xml:space="preserve"> satisface como consecuencia de las liquidaciones fiscales del impu</w:t>
      </w:r>
      <w:r w:rsidR="00EA5EEF" w:rsidRPr="00306CAC">
        <w:rPr>
          <w:rFonts w:ascii="NewBaskerville" w:hAnsi="NewBaskerville"/>
          <w:sz w:val="20"/>
        </w:rPr>
        <w:t>esto sobre el beneficio relativa</w:t>
      </w:r>
      <w:r w:rsidRPr="00306CAC">
        <w:rPr>
          <w:rFonts w:ascii="NewBaskerville" w:hAnsi="NewBaskerville"/>
          <w:sz w:val="20"/>
        </w:rPr>
        <w:t xml:space="preserve"> a un ejercicio. Las deducciones y otras ventajas fiscales en la cuota del impuesto, excluidas las retenciones y pagos a cuenta, así como las pérdidas fiscales</w:t>
      </w:r>
      <w:r w:rsidR="00842F76" w:rsidRPr="00306CAC">
        <w:rPr>
          <w:rFonts w:ascii="NewBaskerville" w:hAnsi="NewBaskerville"/>
          <w:sz w:val="20"/>
        </w:rPr>
        <w:t xml:space="preserve"> compensables de ejercicios anteriores y aplicadas efectivamente en éste, dan lugar a un menor importe del impuesto corriente.</w:t>
      </w:r>
    </w:p>
    <w:p w:rsidR="00187A36" w:rsidRPr="00306CAC" w:rsidRDefault="00187A36" w:rsidP="00187A36">
      <w:pPr>
        <w:rPr>
          <w:rFonts w:ascii="NewBaskerville" w:hAnsi="NewBaskerville"/>
        </w:rPr>
      </w:pPr>
    </w:p>
    <w:p w:rsidR="00187A36" w:rsidRPr="000D1AE5" w:rsidRDefault="00842F76" w:rsidP="000D1AE5">
      <w:pPr>
        <w:pStyle w:val="Ttulo5"/>
        <w:rPr>
          <w:rFonts w:ascii="NewBaskerville" w:hAnsi="NewBaskerville"/>
        </w:rPr>
      </w:pPr>
      <w:r w:rsidRPr="00306CAC">
        <w:rPr>
          <w:rFonts w:ascii="NewBaskerville" w:hAnsi="NewBaskerville"/>
          <w:sz w:val="20"/>
        </w:rPr>
        <w:t xml:space="preserve">El gasto o el ingreso por impuesto diferido se corresponde con el reconocimiento y la cancelación de los activos y pasivos por impuesto diferido. Estos incluyen las diferencias temporarias que se identifican como aquellos importes que se prevén pagaderos o recuperables derivados de las diferencias entre los importes en libros de los activos y pasivos y su valor fiscal, así como las bases imponibles negativas pendientes de compensación y los créditos por deducciones fiscales no aplicadas fiscalmente. </w:t>
      </w:r>
      <w:r w:rsidRPr="000D1AE5">
        <w:rPr>
          <w:rFonts w:ascii="NewBaskerville" w:hAnsi="NewBaskerville"/>
          <w:sz w:val="20"/>
        </w:rPr>
        <w:t>Dichos importes se registran aplicando a la diferencia temporaria o crédito que corresponda el tipo de gravamen al que se espera recuperarlos o liquidarlos.</w:t>
      </w:r>
    </w:p>
    <w:p w:rsidR="00187A36" w:rsidRPr="000D1AE5" w:rsidRDefault="00187A36" w:rsidP="00EB2BD6">
      <w:pPr>
        <w:pStyle w:val="Ttulo5"/>
        <w:rPr>
          <w:rFonts w:ascii="NewBaskerville" w:hAnsi="NewBaskerville"/>
          <w:sz w:val="20"/>
        </w:rPr>
      </w:pPr>
    </w:p>
    <w:p w:rsidR="00842F76" w:rsidRPr="000D1AE5" w:rsidRDefault="00187A36" w:rsidP="00EB2BD6">
      <w:pPr>
        <w:pStyle w:val="Ttulo5"/>
        <w:rPr>
          <w:rFonts w:ascii="NewBaskerville" w:hAnsi="NewBaskerville"/>
          <w:sz w:val="20"/>
        </w:rPr>
      </w:pPr>
      <w:r w:rsidRPr="000D1AE5">
        <w:rPr>
          <w:rFonts w:ascii="NewBaskerville" w:hAnsi="NewBaskerville"/>
          <w:sz w:val="20"/>
        </w:rPr>
        <w:t>S</w:t>
      </w:r>
      <w:r w:rsidR="00842F76" w:rsidRPr="000D1AE5">
        <w:rPr>
          <w:rFonts w:ascii="NewBaskerville" w:hAnsi="NewBaskerville"/>
          <w:sz w:val="20"/>
        </w:rPr>
        <w:t>e reconocen pasivos por impuestos diferidos para todas las diferencias temporarias imponibles, excepto aquellas derivadas del reconocimiento inicial de fondos de comercio o de otros activos y pasivos en una operación que no afecta ni al resultado fiscal ni al resultado contable y no es una combinación de negocios</w:t>
      </w:r>
      <w:r w:rsidR="00EB2BD6" w:rsidRPr="000D1AE5">
        <w:rPr>
          <w:rFonts w:ascii="NewBaskerville" w:hAnsi="NewBaskerville"/>
          <w:sz w:val="20"/>
        </w:rPr>
        <w:t>.</w:t>
      </w:r>
    </w:p>
    <w:p w:rsidR="00EB2BD6" w:rsidRPr="000D1AE5" w:rsidRDefault="00EB2BD6" w:rsidP="00EB2BD6">
      <w:pPr>
        <w:pStyle w:val="Ttulo5"/>
        <w:rPr>
          <w:rFonts w:ascii="NewBaskerville" w:hAnsi="NewBaskerville"/>
          <w:sz w:val="20"/>
        </w:rPr>
      </w:pPr>
    </w:p>
    <w:p w:rsidR="00EB2BD6" w:rsidRPr="000D1AE5" w:rsidRDefault="00EB2BD6" w:rsidP="00EB2BD6">
      <w:pPr>
        <w:pStyle w:val="Ttulo5"/>
        <w:rPr>
          <w:rFonts w:ascii="NewBaskerville" w:hAnsi="NewBaskerville"/>
          <w:sz w:val="20"/>
        </w:rPr>
      </w:pPr>
      <w:r w:rsidRPr="000D1AE5">
        <w:rPr>
          <w:rFonts w:ascii="NewBaskerville" w:hAnsi="NewBaskerville"/>
          <w:sz w:val="20"/>
        </w:rPr>
        <w:t xml:space="preserve">Por su parte, los activos por impuestos diferidos sólo se reconocen en la medida en que se considere probable que la </w:t>
      </w:r>
      <w:r w:rsidR="003D4191">
        <w:rPr>
          <w:rFonts w:ascii="NewBaskerville" w:hAnsi="NewBaskerville"/>
          <w:sz w:val="20"/>
        </w:rPr>
        <w:t>Entidad</w:t>
      </w:r>
      <w:r w:rsidRPr="000D1AE5">
        <w:rPr>
          <w:rFonts w:ascii="NewBaskerville" w:hAnsi="NewBaskerville"/>
          <w:sz w:val="20"/>
        </w:rPr>
        <w:t xml:space="preserve"> vaya a disponer de ganancias fiscales futuras contra las que poder hacerlos efectivos.</w:t>
      </w:r>
    </w:p>
    <w:p w:rsidR="00427604" w:rsidRPr="000D1AE5" w:rsidRDefault="00427604" w:rsidP="00427604">
      <w:pPr>
        <w:rPr>
          <w:rFonts w:ascii="NewBaskerville" w:hAnsi="NewBaskerville"/>
        </w:rPr>
      </w:pPr>
    </w:p>
    <w:p w:rsidR="00427604" w:rsidRPr="000D1AE5" w:rsidRDefault="00427604" w:rsidP="00EE5732">
      <w:pPr>
        <w:pStyle w:val="Ttulo5"/>
        <w:rPr>
          <w:rFonts w:ascii="NewBaskerville" w:hAnsi="NewBaskerville"/>
          <w:sz w:val="20"/>
        </w:rPr>
      </w:pPr>
      <w:r w:rsidRPr="000D1AE5">
        <w:rPr>
          <w:rFonts w:ascii="NewBaskerville" w:hAnsi="NewBaskerville"/>
          <w:sz w:val="20"/>
        </w:rPr>
        <w:t>Los activos y pasivos por impuestos diferidos, originados por operaciones con cargos o abonos directos en cuentas de patrimonio, se contabilizan también con contrapartida en patrimonio neto.</w:t>
      </w:r>
    </w:p>
    <w:p w:rsidR="00427604" w:rsidRPr="000D1AE5" w:rsidRDefault="00427604" w:rsidP="00427604">
      <w:pPr>
        <w:pStyle w:val="Ttulo5"/>
        <w:rPr>
          <w:rFonts w:ascii="NewBaskerville" w:hAnsi="NewBaskerville"/>
          <w:sz w:val="20"/>
        </w:rPr>
      </w:pPr>
    </w:p>
    <w:p w:rsidR="00427604" w:rsidRDefault="00427604" w:rsidP="00427604">
      <w:pPr>
        <w:pStyle w:val="Ttulo5"/>
        <w:rPr>
          <w:sz w:val="20"/>
        </w:rPr>
      </w:pPr>
      <w:r w:rsidRPr="000D1AE5">
        <w:rPr>
          <w:rFonts w:ascii="NewBaskerville" w:hAnsi="NewBaskerville"/>
          <w:sz w:val="20"/>
        </w:rPr>
        <w:t xml:space="preserve"> En cada cierre contable se reconsideran los activos por impuestos diferidos registrados, efectuándose las oportunas correcciones a los mismos en la medida en que existan dudas sobre su recuperación futura. Asimismo, en cada cierre se evalúan los activos por impuestos diferidos no registrados en balance y éstos son objeto de reconocimiento en la medida en que pase a ser probable su recuperación con beneficios fiscales futuros</w:t>
      </w:r>
      <w:r w:rsidRPr="00427604">
        <w:rPr>
          <w:sz w:val="20"/>
        </w:rPr>
        <w:t>.</w:t>
      </w:r>
    </w:p>
    <w:p w:rsidR="000D1AE5" w:rsidRDefault="000D1AE5" w:rsidP="000D1AE5"/>
    <w:p w:rsidR="002C4355" w:rsidRPr="00980CC9" w:rsidRDefault="002C4355" w:rsidP="00BA6314">
      <w:pPr>
        <w:numPr>
          <w:ilvl w:val="0"/>
          <w:numId w:val="41"/>
        </w:numPr>
        <w:spacing w:after="120"/>
        <w:ind w:left="567" w:hanging="283"/>
        <w:jc w:val="both"/>
        <w:rPr>
          <w:rFonts w:ascii="NewBaskerville" w:hAnsi="NewBaskerville"/>
          <w:bCs/>
        </w:rPr>
      </w:pPr>
      <w:r w:rsidRPr="00980CC9">
        <w:rPr>
          <w:rFonts w:ascii="NewBaskerville" w:hAnsi="NewBaskerville"/>
          <w:bCs/>
        </w:rPr>
        <w:t>Clasificación de los activos y pasivos entre corrientes y no corrientes</w:t>
      </w:r>
    </w:p>
    <w:p w:rsidR="002C4355" w:rsidRPr="00980CC9" w:rsidRDefault="002C4355">
      <w:pPr>
        <w:pStyle w:val="Ttulo5"/>
        <w:rPr>
          <w:rFonts w:ascii="NewBaskerville" w:hAnsi="NewBaskerville"/>
          <w:sz w:val="20"/>
        </w:rPr>
      </w:pPr>
      <w:r w:rsidRPr="00980CC9">
        <w:rPr>
          <w:rFonts w:ascii="NewBaskerville" w:hAnsi="NewBaskerville"/>
          <w:sz w:val="20"/>
        </w:rPr>
        <w:lastRenderedPageBreak/>
        <w:t>Los activos y pasivos se presentan en el balance clasificados entre corrientes y no corrientes. A estos efectos, los activos y pasivos se clasifican como corrientes cuando están vinculados al ciclo normal de explotación de la Entidad y se esperan vender, consumir, realizar o liquidar en e</w:t>
      </w:r>
      <w:r w:rsidR="0087395A" w:rsidRPr="00980CC9">
        <w:rPr>
          <w:rFonts w:ascii="NewBaskerville" w:hAnsi="NewBaskerville"/>
          <w:sz w:val="20"/>
        </w:rPr>
        <w:t>l transcurso del mismo. Los activos y pasivos no corrientes no vinculados al ciclo normal de explotación</w:t>
      </w:r>
      <w:r w:rsidRPr="00980CC9">
        <w:rPr>
          <w:rFonts w:ascii="NewBaskerville" w:hAnsi="NewBaskerville"/>
          <w:sz w:val="20"/>
        </w:rPr>
        <w:t xml:space="preserve"> </w:t>
      </w:r>
      <w:r w:rsidR="0087395A" w:rsidRPr="00980CC9">
        <w:rPr>
          <w:rFonts w:ascii="NewBaskerville" w:hAnsi="NewBaskerville"/>
          <w:sz w:val="20"/>
        </w:rPr>
        <w:t>cuyo</w:t>
      </w:r>
      <w:r w:rsidRPr="00980CC9">
        <w:rPr>
          <w:rFonts w:ascii="NewBaskerville" w:hAnsi="NewBaskerville"/>
          <w:sz w:val="20"/>
        </w:rPr>
        <w:t xml:space="preserve"> vencimiento, enajenación o </w:t>
      </w:r>
      <w:r w:rsidR="0087395A" w:rsidRPr="00980CC9">
        <w:rPr>
          <w:rFonts w:ascii="NewBaskerville" w:hAnsi="NewBaskerville"/>
          <w:sz w:val="20"/>
        </w:rPr>
        <w:t>extinción</w:t>
      </w:r>
      <w:r w:rsidRPr="00980CC9">
        <w:rPr>
          <w:rFonts w:ascii="NewBaskerville" w:hAnsi="NewBaskerville"/>
          <w:sz w:val="20"/>
        </w:rPr>
        <w:t xml:space="preserve"> se espera que se produz</w:t>
      </w:r>
      <w:r w:rsidR="0087395A" w:rsidRPr="00980CC9">
        <w:rPr>
          <w:rFonts w:ascii="NewBaskerville" w:hAnsi="NewBaskerville"/>
          <w:sz w:val="20"/>
        </w:rPr>
        <w:t>ca en el plazo máximo de un año, contado a partir del cierre del ejercicio,</w:t>
      </w:r>
      <w:r w:rsidRPr="00980CC9">
        <w:rPr>
          <w:rFonts w:ascii="NewBaskerville" w:hAnsi="NewBaskerville"/>
          <w:sz w:val="20"/>
        </w:rPr>
        <w:t xml:space="preserve"> </w:t>
      </w:r>
      <w:r w:rsidR="0087395A" w:rsidRPr="00980CC9">
        <w:rPr>
          <w:rFonts w:ascii="NewBaskerville" w:hAnsi="NewBaskerville"/>
          <w:sz w:val="20"/>
        </w:rPr>
        <w:t>se reclasifican en corrientes en la parte que les corresponda.</w:t>
      </w:r>
    </w:p>
    <w:p w:rsidR="0087395A" w:rsidRPr="00980CC9" w:rsidRDefault="0087395A" w:rsidP="0087395A">
      <w:pPr>
        <w:rPr>
          <w:rFonts w:ascii="NewBaskerville" w:hAnsi="NewBaskerville"/>
        </w:rPr>
      </w:pPr>
    </w:p>
    <w:p w:rsidR="0087395A" w:rsidRPr="00980CC9" w:rsidRDefault="0087395A" w:rsidP="00EE5732">
      <w:pPr>
        <w:pStyle w:val="Ttulo5"/>
        <w:rPr>
          <w:rFonts w:ascii="NewBaskerville" w:hAnsi="NewBaskerville"/>
          <w:sz w:val="20"/>
        </w:rPr>
      </w:pPr>
      <w:r w:rsidRPr="00980CC9">
        <w:rPr>
          <w:rFonts w:ascii="NewBaskerville" w:hAnsi="NewBaskerville"/>
          <w:sz w:val="20"/>
        </w:rPr>
        <w:t>Los demás elementos se clasifican como no corrientes.</w:t>
      </w:r>
    </w:p>
    <w:p w:rsidR="002C4355" w:rsidRPr="00980CC9" w:rsidRDefault="002C4355">
      <w:pPr>
        <w:rPr>
          <w:rFonts w:ascii="NewBaskerville" w:hAnsi="NewBaskerville"/>
        </w:rPr>
      </w:pPr>
    </w:p>
    <w:p w:rsidR="003C7842" w:rsidRDefault="002C4355" w:rsidP="00997D65">
      <w:pPr>
        <w:pStyle w:val="Ttulo5"/>
        <w:rPr>
          <w:rFonts w:ascii="NewBaskerville" w:hAnsi="NewBaskerville"/>
          <w:sz w:val="20"/>
        </w:rPr>
      </w:pPr>
      <w:r w:rsidRPr="00980CC9">
        <w:rPr>
          <w:rFonts w:ascii="NewBaskerville" w:hAnsi="NewBaskerville"/>
          <w:sz w:val="20"/>
        </w:rPr>
        <w:t xml:space="preserve">El ciclo normal de explotación es </w:t>
      </w:r>
      <w:r w:rsidR="0087395A" w:rsidRPr="00980CC9">
        <w:rPr>
          <w:rFonts w:ascii="NewBaskerville" w:hAnsi="NewBaskerville"/>
          <w:sz w:val="20"/>
        </w:rPr>
        <w:t>de</w:t>
      </w:r>
      <w:r w:rsidRPr="00980CC9">
        <w:rPr>
          <w:rFonts w:ascii="NewBaskerville" w:hAnsi="NewBaskerville"/>
          <w:sz w:val="20"/>
        </w:rPr>
        <w:t xml:space="preserve"> un año.</w:t>
      </w:r>
    </w:p>
    <w:p w:rsidR="00401838" w:rsidRPr="00401838" w:rsidRDefault="00401838" w:rsidP="00401838"/>
    <w:p w:rsidR="00C20D30" w:rsidRPr="00980CC9" w:rsidRDefault="00C20D30" w:rsidP="00BA6314">
      <w:pPr>
        <w:numPr>
          <w:ilvl w:val="0"/>
          <w:numId w:val="41"/>
        </w:numPr>
        <w:spacing w:after="120"/>
        <w:ind w:left="567" w:hanging="283"/>
        <w:jc w:val="both"/>
        <w:rPr>
          <w:rFonts w:ascii="NewBaskerville" w:hAnsi="NewBaskerville"/>
          <w:bCs/>
        </w:rPr>
      </w:pPr>
      <w:r w:rsidRPr="00980CC9">
        <w:rPr>
          <w:rFonts w:ascii="NewBaskerville" w:hAnsi="NewBaskerville"/>
          <w:bCs/>
        </w:rPr>
        <w:t xml:space="preserve"> Medioambiente</w:t>
      </w:r>
    </w:p>
    <w:p w:rsidR="00443495" w:rsidRPr="00980CC9" w:rsidRDefault="00C20D30" w:rsidP="00443495">
      <w:pPr>
        <w:tabs>
          <w:tab w:val="center" w:pos="5671"/>
          <w:tab w:val="center" w:pos="7797"/>
        </w:tabs>
        <w:ind w:firstLine="568"/>
        <w:jc w:val="both"/>
        <w:rPr>
          <w:rFonts w:ascii="NewBaskerville" w:hAnsi="NewBaskerville"/>
        </w:rPr>
      </w:pPr>
      <w:r w:rsidRPr="00980CC9">
        <w:rPr>
          <w:rFonts w:ascii="NewBaskerville" w:hAnsi="NewBaskerville"/>
        </w:rPr>
        <w:t>La entidad realiza operaciones cuyo propósito principal es prevenir, reducir o reparar el daño que como resultado de sus actividades pueda producir sobre el medioambiente.</w:t>
      </w:r>
      <w:r w:rsidR="00443495" w:rsidRPr="00980CC9">
        <w:rPr>
          <w:rFonts w:ascii="NewBaskerville" w:hAnsi="NewBaskerville"/>
        </w:rPr>
        <w:t xml:space="preserve"> Los gastos medioambientales se consideran gastos de explotación del ejercicio en el que se devengan y se incorporan a la cuenta de pérdidas y ganancias en la partida correspondiente.</w:t>
      </w:r>
    </w:p>
    <w:p w:rsidR="00443495" w:rsidRPr="00980CC9" w:rsidRDefault="00443495" w:rsidP="00443495">
      <w:pPr>
        <w:tabs>
          <w:tab w:val="center" w:pos="5671"/>
          <w:tab w:val="center" w:pos="7797"/>
        </w:tabs>
        <w:ind w:firstLine="568"/>
        <w:jc w:val="both"/>
        <w:rPr>
          <w:rFonts w:ascii="NewBaskerville" w:hAnsi="NewBaskerville"/>
        </w:rPr>
      </w:pPr>
    </w:p>
    <w:p w:rsidR="008D4ADA" w:rsidRPr="00980CC9" w:rsidRDefault="00443495" w:rsidP="00997D65">
      <w:pPr>
        <w:tabs>
          <w:tab w:val="center" w:pos="5671"/>
          <w:tab w:val="center" w:pos="7797"/>
        </w:tabs>
        <w:ind w:firstLine="568"/>
        <w:jc w:val="both"/>
        <w:rPr>
          <w:rFonts w:ascii="NewBaskerville" w:hAnsi="NewBaskerville"/>
        </w:rPr>
      </w:pPr>
      <w:r w:rsidRPr="00980CC9">
        <w:rPr>
          <w:rFonts w:ascii="NewBaskerville" w:hAnsi="NewBaskerville"/>
        </w:rPr>
        <w:t>Los elementos del inmovilizado material adquiridos con el objeto de ser utilizados de forma duradera en su actividad y cuya finalidad principal es la minim</w:t>
      </w:r>
      <w:r w:rsidR="00A60572" w:rsidRPr="00980CC9">
        <w:rPr>
          <w:rFonts w:ascii="NewBaskerville" w:hAnsi="NewBaskerville"/>
        </w:rPr>
        <w:t>iz</w:t>
      </w:r>
      <w:r w:rsidRPr="00980CC9">
        <w:rPr>
          <w:rFonts w:ascii="NewBaskerville" w:hAnsi="NewBaskerville"/>
        </w:rPr>
        <w:t>ación del impacto medioambiental y su protección y m</w:t>
      </w:r>
      <w:r w:rsidR="00EC42BF" w:rsidRPr="00980CC9">
        <w:rPr>
          <w:rFonts w:ascii="NewBaskerville" w:hAnsi="NewBaskerville"/>
        </w:rPr>
        <w:t>ejora se reconocen como activos según las norm</w:t>
      </w:r>
      <w:r w:rsidR="00981950" w:rsidRPr="00980CC9">
        <w:rPr>
          <w:rFonts w:ascii="NewBaskerville" w:hAnsi="NewBaskerville"/>
        </w:rPr>
        <w:t xml:space="preserve">as detalladas en el apartado </w:t>
      </w:r>
      <w:r w:rsidR="00567F58" w:rsidRPr="00980CC9">
        <w:rPr>
          <w:rFonts w:ascii="NewBaskerville" w:hAnsi="NewBaskerville"/>
        </w:rPr>
        <w:t>4</w:t>
      </w:r>
      <w:r w:rsidR="00981950" w:rsidRPr="00980CC9">
        <w:rPr>
          <w:rFonts w:ascii="NewBaskerville" w:hAnsi="NewBaskerville"/>
        </w:rPr>
        <w:t>.b</w:t>
      </w:r>
    </w:p>
    <w:p w:rsidR="00D65F94" w:rsidRPr="00072D1A" w:rsidRDefault="00D65F94">
      <w:pPr>
        <w:tabs>
          <w:tab w:val="center" w:pos="5671"/>
          <w:tab w:val="center" w:pos="7797"/>
        </w:tabs>
        <w:ind w:left="851" w:hanging="284"/>
        <w:jc w:val="both"/>
        <w:rPr>
          <w:bCs/>
        </w:rPr>
      </w:pPr>
    </w:p>
    <w:p w:rsidR="002C4355" w:rsidRPr="00BF1854" w:rsidRDefault="002C4355" w:rsidP="00BA6314">
      <w:pPr>
        <w:numPr>
          <w:ilvl w:val="0"/>
          <w:numId w:val="41"/>
        </w:numPr>
        <w:spacing w:after="120"/>
        <w:ind w:left="567" w:hanging="283"/>
        <w:jc w:val="both"/>
        <w:rPr>
          <w:rFonts w:ascii="NewBaskerville" w:hAnsi="NewBaskerville"/>
          <w:bCs/>
        </w:rPr>
      </w:pPr>
      <w:r w:rsidRPr="00BF1854">
        <w:rPr>
          <w:rFonts w:ascii="NewBaskerville" w:hAnsi="NewBaskerville"/>
          <w:bCs/>
        </w:rPr>
        <w:t>Ingresos y gastos</w:t>
      </w:r>
    </w:p>
    <w:p w:rsidR="002C4355" w:rsidRPr="00BF1854" w:rsidRDefault="002C4355">
      <w:pPr>
        <w:tabs>
          <w:tab w:val="center" w:pos="5671"/>
          <w:tab w:val="center" w:pos="7797"/>
        </w:tabs>
        <w:ind w:firstLine="568"/>
        <w:jc w:val="both"/>
        <w:rPr>
          <w:rFonts w:ascii="NewBaskerville" w:hAnsi="NewBaskerville"/>
        </w:rPr>
      </w:pPr>
      <w:r w:rsidRPr="00BF1854">
        <w:rPr>
          <w:rFonts w:ascii="NewBaskerville" w:hAnsi="NewBaskerville"/>
        </w:rPr>
        <w:t>Los ingresos y gastos se imputan en función del momento de adquisición real de los bienes y de la prestación de los servicios con independencia del momento en que se produce la corriente monetaria o financiera derivada de ellos.</w:t>
      </w:r>
    </w:p>
    <w:p w:rsidR="00083E35" w:rsidRPr="00072D1A" w:rsidRDefault="00083E35">
      <w:pPr>
        <w:tabs>
          <w:tab w:val="center" w:pos="5671"/>
          <w:tab w:val="center" w:pos="7797"/>
        </w:tabs>
        <w:ind w:firstLine="568"/>
        <w:jc w:val="both"/>
      </w:pPr>
    </w:p>
    <w:p w:rsidR="002C4355" w:rsidRPr="00BF1854" w:rsidRDefault="001E4D8C">
      <w:pPr>
        <w:tabs>
          <w:tab w:val="center" w:pos="5671"/>
          <w:tab w:val="center" w:pos="7797"/>
        </w:tabs>
        <w:ind w:firstLine="568"/>
        <w:jc w:val="both"/>
        <w:rPr>
          <w:rFonts w:ascii="NewBaskerville" w:hAnsi="NewBaskerville"/>
        </w:rPr>
      </w:pPr>
      <w:r w:rsidRPr="00BF1854">
        <w:rPr>
          <w:rFonts w:ascii="NewBaskerville" w:hAnsi="NewBaskerville"/>
        </w:rPr>
        <w:t>Dado que el vigente</w:t>
      </w:r>
      <w:r w:rsidR="002C4355" w:rsidRPr="00BF1854">
        <w:rPr>
          <w:rFonts w:ascii="NewBaskerville" w:hAnsi="NewBaskerville"/>
        </w:rPr>
        <w:t xml:space="preserve"> </w:t>
      </w:r>
      <w:r w:rsidR="003D4191">
        <w:rPr>
          <w:rFonts w:ascii="NewBaskerville" w:hAnsi="NewBaskerville"/>
        </w:rPr>
        <w:t>p</w:t>
      </w:r>
      <w:r w:rsidR="002C4355" w:rsidRPr="00BF1854">
        <w:rPr>
          <w:rFonts w:ascii="NewBaskerville" w:hAnsi="NewBaskerville"/>
        </w:rPr>
        <w:t xml:space="preserve">lan </w:t>
      </w:r>
      <w:r w:rsidR="003D4191">
        <w:rPr>
          <w:rFonts w:ascii="NewBaskerville" w:hAnsi="NewBaskerville"/>
        </w:rPr>
        <w:t>g</w:t>
      </w:r>
      <w:r w:rsidR="002C4355" w:rsidRPr="00BF1854">
        <w:rPr>
          <w:rFonts w:ascii="NewBaskerville" w:hAnsi="NewBaskerville"/>
        </w:rPr>
        <w:t>eneral contable ha suprimido los gastos e ingresos de ejercicios anteriores, teniendo en cuenta el criterio de importancia relativa y que no se altera la imagen fiel</w:t>
      </w:r>
      <w:r w:rsidRPr="00BF1854">
        <w:rPr>
          <w:rFonts w:ascii="NewBaskerville" w:hAnsi="NewBaskerville"/>
        </w:rPr>
        <w:t>, dichos gastos e ingresos,</w:t>
      </w:r>
      <w:r w:rsidR="002C4355" w:rsidRPr="00BF1854">
        <w:rPr>
          <w:rFonts w:ascii="NewBaskerville" w:hAnsi="NewBaskerville"/>
        </w:rPr>
        <w:t xml:space="preserve"> se registran en el ejercicio corriente dentro de los correspondientes epígrafes por naturaleza del resultado de explotación o del resultado financiero.</w:t>
      </w:r>
    </w:p>
    <w:p w:rsidR="002C4355" w:rsidRPr="00BF1854" w:rsidRDefault="002C4355">
      <w:pPr>
        <w:tabs>
          <w:tab w:val="center" w:pos="5671"/>
          <w:tab w:val="center" w:pos="7797"/>
        </w:tabs>
        <w:jc w:val="both"/>
        <w:rPr>
          <w:rFonts w:ascii="NewBaskerville" w:hAnsi="NewBaskerville"/>
        </w:rPr>
      </w:pPr>
    </w:p>
    <w:p w:rsidR="002C4355" w:rsidRPr="00BF1854" w:rsidRDefault="009F28B8" w:rsidP="00E6742F">
      <w:pPr>
        <w:tabs>
          <w:tab w:val="center" w:pos="5671"/>
          <w:tab w:val="center" w:pos="7797"/>
        </w:tabs>
        <w:ind w:firstLine="568"/>
        <w:jc w:val="both"/>
        <w:rPr>
          <w:rFonts w:ascii="NewBaskerville" w:hAnsi="NewBaskerville"/>
        </w:rPr>
      </w:pPr>
      <w:r w:rsidRPr="00BF1854">
        <w:rPr>
          <w:rFonts w:ascii="NewBaskerville" w:hAnsi="NewBaskerville"/>
        </w:rPr>
        <w:t>L</w:t>
      </w:r>
      <w:r w:rsidR="002C4355" w:rsidRPr="00BF1854">
        <w:rPr>
          <w:rFonts w:ascii="NewBaskerville" w:hAnsi="NewBaskerville"/>
        </w:rPr>
        <w:t>a dotación de las provisiones contables</w:t>
      </w:r>
      <w:r w:rsidRPr="00BF1854">
        <w:rPr>
          <w:rFonts w:ascii="NewBaskerville" w:hAnsi="NewBaskerville"/>
        </w:rPr>
        <w:t xml:space="preserve"> por litigios de tarifas</w:t>
      </w:r>
      <w:r w:rsidR="002C4355" w:rsidRPr="00BF1854">
        <w:rPr>
          <w:rFonts w:ascii="NewBaskerville" w:hAnsi="NewBaskerville"/>
        </w:rPr>
        <w:t xml:space="preserve"> derivad</w:t>
      </w:r>
      <w:r w:rsidRPr="00BF1854">
        <w:rPr>
          <w:rFonts w:ascii="NewBaskerville" w:hAnsi="NewBaskerville"/>
        </w:rPr>
        <w:t>o</w:t>
      </w:r>
      <w:r w:rsidR="002C4355" w:rsidRPr="00BF1854">
        <w:rPr>
          <w:rFonts w:ascii="NewBaskerville" w:hAnsi="NewBaskerville"/>
        </w:rPr>
        <w:t xml:space="preserve">s de las sentencias del Tribunal Constitucional 116/2009 de 18 de mayo, 146/2009 de 15 de junio y 161/2009 de 29 de junio que impiden la </w:t>
      </w:r>
      <w:proofErr w:type="spellStart"/>
      <w:r w:rsidR="002C4355" w:rsidRPr="00BF1854">
        <w:rPr>
          <w:rFonts w:ascii="NewBaskerville" w:hAnsi="NewBaskerville"/>
        </w:rPr>
        <w:t>refacturación</w:t>
      </w:r>
      <w:proofErr w:type="spellEnd"/>
      <w:r w:rsidR="002C4355" w:rsidRPr="00BF1854">
        <w:rPr>
          <w:rFonts w:ascii="NewBaskerville" w:hAnsi="NewBaskerville"/>
        </w:rPr>
        <w:t xml:space="preserve"> de las liquidaciones recurridas, presenta las características de excepcionalidad y cuantía significativa exigidos en el Plan General Contable 2007 para que puedan dotarse con cargo a la partida “Otros resultados” del resultado de </w:t>
      </w:r>
      <w:r w:rsidR="008155BC" w:rsidRPr="00BF1854">
        <w:rPr>
          <w:rFonts w:ascii="NewBaskerville" w:hAnsi="NewBaskerville"/>
        </w:rPr>
        <w:t>explotación,</w:t>
      </w:r>
      <w:r w:rsidR="002C4355" w:rsidRPr="00BF1854">
        <w:rPr>
          <w:rFonts w:ascii="NewBaskerville" w:hAnsi="NewBaskerville"/>
        </w:rPr>
        <w:t xml:space="preserve"> gastos excepcionales. </w:t>
      </w:r>
    </w:p>
    <w:p w:rsidR="00472775" w:rsidRPr="00072D1A" w:rsidRDefault="00472775" w:rsidP="00997D65">
      <w:pPr>
        <w:tabs>
          <w:tab w:val="center" w:pos="5671"/>
          <w:tab w:val="center" w:pos="7797"/>
        </w:tabs>
        <w:jc w:val="both"/>
      </w:pPr>
    </w:p>
    <w:p w:rsidR="002C4355" w:rsidRDefault="002C4355" w:rsidP="00FC6682">
      <w:pPr>
        <w:numPr>
          <w:ilvl w:val="0"/>
          <w:numId w:val="41"/>
        </w:numPr>
        <w:ind w:left="567" w:hanging="283"/>
        <w:jc w:val="both"/>
        <w:rPr>
          <w:rFonts w:ascii="NewBaskerville" w:hAnsi="NewBaskerville"/>
          <w:bCs/>
        </w:rPr>
      </w:pPr>
      <w:r w:rsidRPr="00FC6682">
        <w:rPr>
          <w:rFonts w:ascii="NewBaskerville" w:hAnsi="NewBaskerville"/>
          <w:bCs/>
        </w:rPr>
        <w:t xml:space="preserve">Fondo de Compensación </w:t>
      </w:r>
      <w:proofErr w:type="spellStart"/>
      <w:r w:rsidRPr="00FC6682">
        <w:rPr>
          <w:rFonts w:ascii="NewBaskerville" w:hAnsi="NewBaskerville"/>
          <w:bCs/>
        </w:rPr>
        <w:t>Interportuario</w:t>
      </w:r>
      <w:proofErr w:type="spellEnd"/>
      <w:r w:rsidRPr="00FC6682">
        <w:rPr>
          <w:rFonts w:ascii="NewBaskerville" w:hAnsi="NewBaskerville"/>
          <w:bCs/>
        </w:rPr>
        <w:t xml:space="preserve"> y aportación al Ente Público Puertos del Estado</w:t>
      </w:r>
    </w:p>
    <w:p w:rsidR="00FC6682" w:rsidRPr="00FC6682" w:rsidRDefault="00FC6682" w:rsidP="00FC6682">
      <w:pPr>
        <w:ind w:left="567"/>
        <w:jc w:val="both"/>
        <w:rPr>
          <w:rFonts w:ascii="NewBaskerville" w:hAnsi="NewBaskerville"/>
          <w:bCs/>
        </w:rPr>
      </w:pPr>
    </w:p>
    <w:p w:rsidR="002C4355" w:rsidRPr="00FC6682" w:rsidRDefault="001E4D8C" w:rsidP="00F348FE">
      <w:pPr>
        <w:tabs>
          <w:tab w:val="center" w:pos="5671"/>
          <w:tab w:val="center" w:pos="7797"/>
        </w:tabs>
        <w:ind w:firstLine="568"/>
        <w:jc w:val="both"/>
        <w:rPr>
          <w:rFonts w:ascii="NewBaskerville" w:hAnsi="NewBaskerville"/>
        </w:rPr>
      </w:pPr>
      <w:r w:rsidRPr="00FC6682">
        <w:rPr>
          <w:rFonts w:ascii="NewBaskerville" w:hAnsi="NewBaskerville"/>
        </w:rPr>
        <w:t>El</w:t>
      </w:r>
      <w:r w:rsidR="00276F7D" w:rsidRPr="00FC6682">
        <w:rPr>
          <w:rFonts w:ascii="NewBaskerville" w:hAnsi="NewBaskerville"/>
        </w:rPr>
        <w:t xml:space="preserve"> </w:t>
      </w:r>
      <w:r w:rsidR="00B237A6" w:rsidRPr="00FC6682">
        <w:rPr>
          <w:rFonts w:ascii="NewBaskerville" w:hAnsi="NewBaskerville"/>
        </w:rPr>
        <w:t xml:space="preserve">TRLPEMM </w:t>
      </w:r>
      <w:r w:rsidR="00276F7D" w:rsidRPr="00FC6682">
        <w:rPr>
          <w:rFonts w:ascii="NewBaskerville" w:hAnsi="NewBaskerville"/>
        </w:rPr>
        <w:t xml:space="preserve">establece en el art 19 b la contribución de las Autoridades Portuarias a los recursos económicos del Ente Público Puertos del Estado y en el artículo 159 regula el Fondo de Compensación </w:t>
      </w:r>
      <w:proofErr w:type="spellStart"/>
      <w:r w:rsidR="00276F7D" w:rsidRPr="00FC6682">
        <w:rPr>
          <w:rFonts w:ascii="NewBaskerville" w:hAnsi="NewBaskerville"/>
        </w:rPr>
        <w:t>Interportuario</w:t>
      </w:r>
      <w:proofErr w:type="spellEnd"/>
      <w:r w:rsidR="00276F7D" w:rsidRPr="00FC6682">
        <w:rPr>
          <w:rFonts w:ascii="NewBaskerville" w:hAnsi="NewBaskerville"/>
        </w:rPr>
        <w:t>, que queda definido</w:t>
      </w:r>
      <w:r w:rsidR="007355D8" w:rsidRPr="00FC6682">
        <w:rPr>
          <w:rFonts w:ascii="NewBaskerville" w:hAnsi="NewBaskerville"/>
        </w:rPr>
        <w:t xml:space="preserve"> </w:t>
      </w:r>
      <w:r w:rsidR="00276F7D" w:rsidRPr="00FC6682">
        <w:rPr>
          <w:rFonts w:ascii="NewBaskerville" w:hAnsi="NewBaskerville"/>
        </w:rPr>
        <w:t xml:space="preserve">como instrumento de redistribución de recursos  del sistema portuario estatal, administrado por Puertos del Estado de conformidad con los acuerdos adoptados por el Comité de </w:t>
      </w:r>
      <w:r w:rsidR="003D4191">
        <w:rPr>
          <w:rFonts w:ascii="NewBaskerville" w:hAnsi="NewBaskerville"/>
        </w:rPr>
        <w:t>D</w:t>
      </w:r>
      <w:r w:rsidR="00276F7D" w:rsidRPr="00FC6682">
        <w:rPr>
          <w:rFonts w:ascii="NewBaskerville" w:hAnsi="NewBaskerville"/>
        </w:rPr>
        <w:t>istribución del Fondo.</w:t>
      </w:r>
      <w:r w:rsidR="00C963C8" w:rsidRPr="00FC6682">
        <w:rPr>
          <w:rFonts w:ascii="NewBaskerville" w:hAnsi="NewBaskerville"/>
        </w:rPr>
        <w:t xml:space="preserve"> </w:t>
      </w:r>
    </w:p>
    <w:p w:rsidR="005F35CD" w:rsidRDefault="005F35CD" w:rsidP="00F348FE">
      <w:pPr>
        <w:tabs>
          <w:tab w:val="center" w:pos="5671"/>
          <w:tab w:val="center" w:pos="7797"/>
        </w:tabs>
        <w:ind w:firstLine="568"/>
        <w:jc w:val="both"/>
      </w:pPr>
    </w:p>
    <w:p w:rsidR="002C4355" w:rsidRPr="00BF1854" w:rsidRDefault="002C4355" w:rsidP="005D0B44">
      <w:pPr>
        <w:numPr>
          <w:ilvl w:val="0"/>
          <w:numId w:val="2"/>
        </w:numPr>
        <w:tabs>
          <w:tab w:val="center" w:pos="5671"/>
          <w:tab w:val="center" w:pos="7797"/>
        </w:tabs>
        <w:jc w:val="both"/>
        <w:rPr>
          <w:rFonts w:ascii="NewBaskerville" w:hAnsi="NewBaskerville"/>
        </w:rPr>
      </w:pPr>
      <w:r w:rsidRPr="00BF1854">
        <w:rPr>
          <w:rFonts w:ascii="NewBaskerville" w:hAnsi="NewBaskerville"/>
        </w:rPr>
        <w:t>Aportación a Puertos del Estado</w:t>
      </w:r>
    </w:p>
    <w:p w:rsidR="002C4355" w:rsidRPr="00BF1854" w:rsidRDefault="002C4355">
      <w:pPr>
        <w:tabs>
          <w:tab w:val="center" w:pos="5671"/>
          <w:tab w:val="center" w:pos="7797"/>
        </w:tabs>
        <w:ind w:left="426"/>
        <w:jc w:val="both"/>
        <w:rPr>
          <w:rFonts w:ascii="NewBaskerville" w:hAnsi="NewBaskerville"/>
        </w:rPr>
      </w:pPr>
    </w:p>
    <w:p w:rsidR="002C4355" w:rsidRPr="00BF1854" w:rsidRDefault="002C4355">
      <w:pPr>
        <w:tabs>
          <w:tab w:val="center" w:pos="5671"/>
          <w:tab w:val="center" w:pos="7797"/>
        </w:tabs>
        <w:ind w:firstLine="567"/>
        <w:jc w:val="both"/>
        <w:rPr>
          <w:rFonts w:ascii="NewBaskerville" w:hAnsi="NewBaskerville"/>
        </w:rPr>
      </w:pPr>
      <w:r w:rsidRPr="00BF1854">
        <w:rPr>
          <w:rFonts w:ascii="NewBaskerville" w:hAnsi="NewBaskerville"/>
        </w:rPr>
        <w:lastRenderedPageBreak/>
        <w:t xml:space="preserve">La aportación a los recursos económicos de Puertos del Estado queda </w:t>
      </w:r>
      <w:r w:rsidR="008155BC" w:rsidRPr="00BF1854">
        <w:rPr>
          <w:rFonts w:ascii="NewBaskerville" w:hAnsi="NewBaskerville"/>
        </w:rPr>
        <w:t>fijada</w:t>
      </w:r>
      <w:r w:rsidR="001E4D8C" w:rsidRPr="00BF1854">
        <w:rPr>
          <w:rFonts w:ascii="NewBaskerville" w:hAnsi="NewBaskerville"/>
        </w:rPr>
        <w:t xml:space="preserve"> para la</w:t>
      </w:r>
      <w:r w:rsidRPr="00BF1854">
        <w:rPr>
          <w:rFonts w:ascii="NewBaskerville" w:hAnsi="NewBaskerville"/>
        </w:rPr>
        <w:t xml:space="preserve"> Autoridad Portuaria</w:t>
      </w:r>
      <w:r w:rsidR="001E4D8C" w:rsidRPr="00BF1854">
        <w:rPr>
          <w:rFonts w:ascii="NewBaskerville" w:hAnsi="NewBaskerville"/>
        </w:rPr>
        <w:t xml:space="preserve"> de Baleares</w:t>
      </w:r>
      <w:r w:rsidRPr="00BF1854">
        <w:rPr>
          <w:rFonts w:ascii="NewBaskerville" w:hAnsi="NewBaskerville"/>
        </w:rPr>
        <w:t xml:space="preserve"> en un 2 % de los ingresos devengados en concepto de tasas, calculadas sobre el cierre real del ejercicio anterior; esta aportación tiene la consideración de gasto de explotación.</w:t>
      </w:r>
    </w:p>
    <w:p w:rsidR="002C4355" w:rsidRPr="00BF1854" w:rsidRDefault="002C4355">
      <w:pPr>
        <w:tabs>
          <w:tab w:val="center" w:pos="5671"/>
          <w:tab w:val="center" w:pos="7797"/>
        </w:tabs>
        <w:ind w:firstLine="567"/>
        <w:jc w:val="both"/>
        <w:rPr>
          <w:rFonts w:ascii="NewBaskerville" w:hAnsi="NewBaskerville"/>
          <w:highlight w:val="yellow"/>
        </w:rPr>
      </w:pPr>
    </w:p>
    <w:p w:rsidR="002C4355" w:rsidRPr="00BF1854" w:rsidRDefault="002C4355" w:rsidP="005D0B44">
      <w:pPr>
        <w:numPr>
          <w:ilvl w:val="0"/>
          <w:numId w:val="2"/>
        </w:numPr>
        <w:tabs>
          <w:tab w:val="center" w:pos="5671"/>
          <w:tab w:val="center" w:pos="7797"/>
        </w:tabs>
        <w:jc w:val="both"/>
        <w:rPr>
          <w:rFonts w:ascii="NewBaskerville" w:hAnsi="NewBaskerville"/>
        </w:rPr>
      </w:pPr>
      <w:r w:rsidRPr="00BF1854">
        <w:rPr>
          <w:rFonts w:ascii="NewBaskerville" w:hAnsi="NewBaskerville"/>
        </w:rPr>
        <w:t xml:space="preserve">Fondo de Compensación </w:t>
      </w:r>
      <w:proofErr w:type="spellStart"/>
      <w:r w:rsidRPr="00BF1854">
        <w:rPr>
          <w:rFonts w:ascii="NewBaskerville" w:hAnsi="NewBaskerville"/>
        </w:rPr>
        <w:t>Interportuario</w:t>
      </w:r>
      <w:proofErr w:type="spellEnd"/>
      <w:r w:rsidRPr="00BF1854">
        <w:rPr>
          <w:rFonts w:ascii="NewBaskerville" w:hAnsi="NewBaskerville"/>
        </w:rPr>
        <w:t xml:space="preserve"> a aportar</w:t>
      </w:r>
    </w:p>
    <w:p w:rsidR="00095FD3" w:rsidRPr="00BF1854" w:rsidRDefault="00095FD3" w:rsidP="00095FD3">
      <w:pPr>
        <w:tabs>
          <w:tab w:val="center" w:pos="5671"/>
          <w:tab w:val="center" w:pos="7797"/>
        </w:tabs>
        <w:ind w:left="786"/>
        <w:jc w:val="both"/>
        <w:rPr>
          <w:rFonts w:ascii="NewBaskerville" w:hAnsi="NewBaskerville"/>
        </w:rPr>
      </w:pPr>
    </w:p>
    <w:p w:rsidR="002C4355" w:rsidRPr="00BF1854" w:rsidRDefault="00095FD3" w:rsidP="007F7DFA">
      <w:pPr>
        <w:tabs>
          <w:tab w:val="center" w:pos="5671"/>
          <w:tab w:val="center" w:pos="7797"/>
        </w:tabs>
        <w:ind w:firstLine="786"/>
        <w:jc w:val="both"/>
        <w:rPr>
          <w:rFonts w:ascii="NewBaskerville" w:hAnsi="NewBaskerville"/>
        </w:rPr>
      </w:pPr>
      <w:r w:rsidRPr="00BF1854">
        <w:rPr>
          <w:rFonts w:ascii="NewBaskerville" w:hAnsi="NewBaskerville"/>
        </w:rPr>
        <w:t xml:space="preserve">El apartado </w:t>
      </w:r>
      <w:r w:rsidR="007F7DFA" w:rsidRPr="00BF1854">
        <w:rPr>
          <w:rFonts w:ascii="NewBaskerville" w:hAnsi="NewBaskerville"/>
        </w:rPr>
        <w:t>3</w:t>
      </w:r>
      <w:r w:rsidRPr="00BF1854">
        <w:rPr>
          <w:rFonts w:ascii="NewBaskerville" w:hAnsi="NewBaskerville"/>
        </w:rPr>
        <w:t xml:space="preserve"> del art. 159 </w:t>
      </w:r>
      <w:r w:rsidR="001E4D8C" w:rsidRPr="00BF1854">
        <w:rPr>
          <w:rFonts w:ascii="NewBaskerville" w:hAnsi="NewBaskerville"/>
        </w:rPr>
        <w:t>del</w:t>
      </w:r>
      <w:r w:rsidR="007F7DFA" w:rsidRPr="00BF1854">
        <w:rPr>
          <w:rFonts w:ascii="NewBaskerville" w:hAnsi="NewBaskerville"/>
        </w:rPr>
        <w:t xml:space="preserve"> </w:t>
      </w:r>
      <w:r w:rsidR="0031074B" w:rsidRPr="00BF1854">
        <w:rPr>
          <w:rFonts w:ascii="NewBaskerville" w:hAnsi="NewBaskerville"/>
        </w:rPr>
        <w:t xml:space="preserve">TRLPEMM </w:t>
      </w:r>
      <w:r w:rsidR="007F7DFA" w:rsidRPr="00BF1854">
        <w:rPr>
          <w:rFonts w:ascii="NewBaskerville" w:hAnsi="NewBaskerville"/>
        </w:rPr>
        <w:t xml:space="preserve"> establece que:</w:t>
      </w:r>
    </w:p>
    <w:p w:rsidR="0031074B" w:rsidRPr="00BF1854" w:rsidRDefault="0031074B">
      <w:pPr>
        <w:tabs>
          <w:tab w:val="center" w:pos="5671"/>
          <w:tab w:val="center" w:pos="7797"/>
        </w:tabs>
        <w:ind w:firstLine="567"/>
        <w:jc w:val="both"/>
        <w:rPr>
          <w:rFonts w:ascii="NewBaskerville" w:hAnsi="NewBaskerville"/>
        </w:rPr>
      </w:pPr>
    </w:p>
    <w:p w:rsidR="002C4355" w:rsidRPr="00BF1854" w:rsidRDefault="002C4355">
      <w:pPr>
        <w:tabs>
          <w:tab w:val="center" w:pos="5671"/>
          <w:tab w:val="center" w:pos="7797"/>
        </w:tabs>
        <w:ind w:firstLine="567"/>
        <w:jc w:val="both"/>
        <w:rPr>
          <w:rFonts w:ascii="NewBaskerville" w:hAnsi="NewBaskerville"/>
        </w:rPr>
      </w:pPr>
      <w:r w:rsidRPr="00BF1854">
        <w:rPr>
          <w:rFonts w:ascii="NewBaskerville" w:hAnsi="NewBaskerville"/>
        </w:rPr>
        <w:t xml:space="preserve">La cuantía anual de la aportación de las Autoridades Portuarias al Fondo de Compensación </w:t>
      </w:r>
      <w:proofErr w:type="spellStart"/>
      <w:r w:rsidRPr="00BF1854">
        <w:rPr>
          <w:rFonts w:ascii="NewBaskerville" w:hAnsi="NewBaskerville"/>
        </w:rPr>
        <w:t>Interportuario</w:t>
      </w:r>
      <w:proofErr w:type="spellEnd"/>
      <w:r w:rsidRPr="00BF1854">
        <w:rPr>
          <w:rFonts w:ascii="NewBaskerville" w:hAnsi="NewBaskerville"/>
        </w:rPr>
        <w:t xml:space="preserve"> se determina </w:t>
      </w:r>
      <w:r w:rsidR="00B2006F" w:rsidRPr="00BF1854">
        <w:rPr>
          <w:rFonts w:ascii="NewBaskerville" w:hAnsi="NewBaskerville"/>
        </w:rPr>
        <w:t>por agregación de los siguientes importes correspondientes al ejercicio anterior</w:t>
      </w:r>
      <w:r w:rsidRPr="00BF1854">
        <w:rPr>
          <w:rFonts w:ascii="NewBaskerville" w:hAnsi="NewBaskerville"/>
        </w:rPr>
        <w:t>:</w:t>
      </w:r>
    </w:p>
    <w:p w:rsidR="002C4355" w:rsidRPr="00BF1854" w:rsidRDefault="002C4355">
      <w:pPr>
        <w:tabs>
          <w:tab w:val="center" w:pos="5671"/>
          <w:tab w:val="center" w:pos="7797"/>
        </w:tabs>
        <w:ind w:firstLine="567"/>
        <w:jc w:val="both"/>
        <w:rPr>
          <w:rFonts w:ascii="NewBaskerville" w:hAnsi="NewBaskerville"/>
        </w:rPr>
      </w:pPr>
    </w:p>
    <w:p w:rsidR="002C4355" w:rsidRPr="00BF1854" w:rsidRDefault="002C4355">
      <w:pPr>
        <w:tabs>
          <w:tab w:val="center" w:pos="5671"/>
          <w:tab w:val="center" w:pos="7797"/>
        </w:tabs>
        <w:ind w:left="851" w:hanging="284"/>
        <w:jc w:val="both"/>
        <w:rPr>
          <w:rFonts w:ascii="NewBaskerville" w:hAnsi="NewBaskerville"/>
        </w:rPr>
      </w:pPr>
      <w:r w:rsidRPr="00BF1854">
        <w:rPr>
          <w:rFonts w:ascii="NewBaskerville" w:hAnsi="NewBaskerville"/>
        </w:rPr>
        <w:t>a)</w:t>
      </w:r>
      <w:r w:rsidRPr="00BF1854">
        <w:rPr>
          <w:rFonts w:ascii="NewBaskerville" w:hAnsi="NewBaskerville"/>
        </w:rPr>
        <w:tab/>
        <w:t xml:space="preserve">El 80 % de los ingresos devengados por la tasa de </w:t>
      </w:r>
      <w:r w:rsidR="00BB0119" w:rsidRPr="00BF1854">
        <w:rPr>
          <w:rFonts w:ascii="NewBaskerville" w:hAnsi="NewBaskerville"/>
        </w:rPr>
        <w:t xml:space="preserve">ayudas a la navegación </w:t>
      </w:r>
      <w:r w:rsidRPr="00BF1854">
        <w:rPr>
          <w:rFonts w:ascii="NewBaskerville" w:hAnsi="NewBaskerville"/>
        </w:rPr>
        <w:t xml:space="preserve"> correspondiente a </w:t>
      </w:r>
      <w:r w:rsidR="00BB0119" w:rsidRPr="00BF1854">
        <w:rPr>
          <w:rFonts w:ascii="NewBaskerville" w:hAnsi="NewBaskerville"/>
        </w:rPr>
        <w:t>las embarcaciones que por sus características les sea de aplicación la tasa del buque.</w:t>
      </w:r>
    </w:p>
    <w:p w:rsidR="00BB0119" w:rsidRPr="00BF1854" w:rsidRDefault="00BB0119">
      <w:pPr>
        <w:tabs>
          <w:tab w:val="center" w:pos="5671"/>
          <w:tab w:val="center" w:pos="7797"/>
        </w:tabs>
        <w:ind w:left="851" w:hanging="284"/>
        <w:jc w:val="both"/>
        <w:rPr>
          <w:rFonts w:ascii="NewBaskerville" w:hAnsi="NewBaskerville"/>
        </w:rPr>
      </w:pPr>
    </w:p>
    <w:p w:rsidR="002C4355" w:rsidRPr="00BF1854" w:rsidRDefault="002C4355">
      <w:pPr>
        <w:tabs>
          <w:tab w:val="center" w:pos="5671"/>
          <w:tab w:val="center" w:pos="7797"/>
        </w:tabs>
        <w:ind w:left="851" w:hanging="284"/>
        <w:jc w:val="both"/>
        <w:rPr>
          <w:rFonts w:ascii="NewBaskerville" w:hAnsi="NewBaskerville"/>
        </w:rPr>
      </w:pPr>
      <w:r w:rsidRPr="00BF1854">
        <w:rPr>
          <w:rFonts w:ascii="NewBaskerville" w:hAnsi="NewBaskerville"/>
        </w:rPr>
        <w:t>b)</w:t>
      </w:r>
      <w:r w:rsidRPr="00BF1854">
        <w:rPr>
          <w:rFonts w:ascii="NewBaskerville" w:hAnsi="NewBaskerville"/>
        </w:rPr>
        <w:tab/>
        <w:t xml:space="preserve">Hasta el 12 % </w:t>
      </w:r>
      <w:r w:rsidR="00EA0B1E" w:rsidRPr="00BF1854">
        <w:rPr>
          <w:rFonts w:ascii="NewBaskerville" w:hAnsi="NewBaskerville"/>
        </w:rPr>
        <w:t xml:space="preserve">y no menos del 4% </w:t>
      </w:r>
      <w:r w:rsidRPr="00BF1854">
        <w:rPr>
          <w:rFonts w:ascii="NewBaskerville" w:hAnsi="NewBaskerville"/>
        </w:rPr>
        <w:t>de</w:t>
      </w:r>
      <w:r w:rsidR="00B2006F" w:rsidRPr="00BF1854">
        <w:rPr>
          <w:rFonts w:ascii="NewBaskerville" w:hAnsi="NewBaskerville"/>
        </w:rPr>
        <w:t>l</w:t>
      </w:r>
      <w:r w:rsidR="00E264FA" w:rsidRPr="00BF1854">
        <w:rPr>
          <w:rFonts w:ascii="NewBaskerville" w:hAnsi="NewBaskerville"/>
        </w:rPr>
        <w:t xml:space="preserve"> </w:t>
      </w:r>
      <w:r w:rsidR="00B2006F" w:rsidRPr="00BF1854">
        <w:rPr>
          <w:rFonts w:ascii="NewBaskerville" w:hAnsi="NewBaskerville"/>
        </w:rPr>
        <w:t>resultado del ejercicio,</w:t>
      </w:r>
      <w:r w:rsidR="00E264FA" w:rsidRPr="00BF1854">
        <w:rPr>
          <w:rFonts w:ascii="NewBaskerville" w:hAnsi="NewBaskerville"/>
        </w:rPr>
        <w:t xml:space="preserve"> </w:t>
      </w:r>
      <w:r w:rsidR="00B2006F" w:rsidRPr="00BF1854">
        <w:rPr>
          <w:rFonts w:ascii="NewBaskerville" w:hAnsi="NewBaskerville"/>
        </w:rPr>
        <w:t>excluyendo las amortizaciones del in</w:t>
      </w:r>
      <w:r w:rsidR="00F656B3" w:rsidRPr="00BF1854">
        <w:rPr>
          <w:rFonts w:ascii="NewBaskerville" w:hAnsi="NewBaskerville"/>
        </w:rPr>
        <w:t>movilizado, el resultado por ena</w:t>
      </w:r>
      <w:r w:rsidR="00B2006F" w:rsidRPr="00BF1854">
        <w:rPr>
          <w:rFonts w:ascii="NewBaskerville" w:hAnsi="NewBaskerville"/>
        </w:rPr>
        <w:t>jenaciones y bajas del activo no corriente, los ingresos</w:t>
      </w:r>
      <w:r w:rsidRPr="00BF1854">
        <w:rPr>
          <w:rFonts w:ascii="NewBaskerville" w:hAnsi="NewBaskerville"/>
        </w:rPr>
        <w:t xml:space="preserve"> </w:t>
      </w:r>
      <w:r w:rsidR="00B2006F" w:rsidRPr="00BF1854">
        <w:rPr>
          <w:rFonts w:ascii="NewBaskerville" w:hAnsi="NewBaskerville"/>
        </w:rPr>
        <w:t>por incorporación al activo de gastos financieros, el traspaso a resultados de subvenciones de capital y otros resultados</w:t>
      </w:r>
      <w:r w:rsidR="00E264FA" w:rsidRPr="00BF1854">
        <w:rPr>
          <w:rFonts w:ascii="NewBaskerville" w:hAnsi="NewBaskerville"/>
        </w:rPr>
        <w:t xml:space="preserve"> que tengan el carácter de extraordinarios</w:t>
      </w:r>
      <w:r w:rsidRPr="00BF1854">
        <w:rPr>
          <w:rFonts w:ascii="NewBaskerville" w:hAnsi="NewBaskerville"/>
        </w:rPr>
        <w:t xml:space="preserve">, </w:t>
      </w:r>
      <w:r w:rsidR="00E264FA" w:rsidRPr="00BF1854">
        <w:rPr>
          <w:rFonts w:ascii="NewBaskerville" w:hAnsi="NewBaskerville"/>
        </w:rPr>
        <w:t xml:space="preserve">la cantidad correspondiente al </w:t>
      </w:r>
      <w:r w:rsidRPr="00BF1854">
        <w:rPr>
          <w:rFonts w:ascii="NewBaskerville" w:hAnsi="NewBaskerville"/>
        </w:rPr>
        <w:t xml:space="preserve"> Fondo de Compensación aportado y recibido y los ingresos por la tasa de señalización mar</w:t>
      </w:r>
      <w:r w:rsidR="00DF2800" w:rsidRPr="00BF1854">
        <w:rPr>
          <w:rFonts w:ascii="NewBaskerville" w:hAnsi="NewBaskerville"/>
        </w:rPr>
        <w:t>ítima, siempre que el valor resultante sea positivo.</w:t>
      </w:r>
    </w:p>
    <w:p w:rsidR="002C4355" w:rsidRPr="00BF1854" w:rsidRDefault="002C4355">
      <w:pPr>
        <w:tabs>
          <w:tab w:val="center" w:pos="5671"/>
          <w:tab w:val="center" w:pos="7797"/>
        </w:tabs>
        <w:ind w:firstLine="567"/>
        <w:jc w:val="both"/>
        <w:rPr>
          <w:rFonts w:ascii="NewBaskerville" w:hAnsi="NewBaskerville"/>
          <w:highlight w:val="yellow"/>
        </w:rPr>
      </w:pPr>
    </w:p>
    <w:p w:rsidR="001349EC" w:rsidRDefault="00EA0B1E">
      <w:pPr>
        <w:tabs>
          <w:tab w:val="center" w:pos="5671"/>
          <w:tab w:val="center" w:pos="7797"/>
        </w:tabs>
        <w:ind w:firstLine="567"/>
        <w:jc w:val="both"/>
        <w:rPr>
          <w:rFonts w:ascii="NewBaskerville" w:hAnsi="NewBaskerville"/>
        </w:rPr>
      </w:pPr>
      <w:r w:rsidRPr="00BF1854">
        <w:rPr>
          <w:rFonts w:ascii="NewBaskerville" w:hAnsi="NewBaskerville"/>
        </w:rPr>
        <w:t xml:space="preserve">El porcentaje a </w:t>
      </w:r>
      <w:r w:rsidR="002C4355" w:rsidRPr="00BF1854">
        <w:rPr>
          <w:rFonts w:ascii="NewBaskerville" w:hAnsi="NewBaskerville"/>
        </w:rPr>
        <w:t xml:space="preserve">aplicar </w:t>
      </w:r>
      <w:r w:rsidRPr="00BF1854">
        <w:rPr>
          <w:rFonts w:ascii="NewBaskerville" w:hAnsi="NewBaskerville"/>
        </w:rPr>
        <w:t>d</w:t>
      </w:r>
      <w:r w:rsidR="002C4355" w:rsidRPr="00BF1854">
        <w:rPr>
          <w:rFonts w:ascii="NewBaskerville" w:hAnsi="NewBaskerville"/>
        </w:rPr>
        <w:t xml:space="preserve">el apartado b) se fija anualmente por el Comité de Distribución del Fondo, en función de las necesidades financieras </w:t>
      </w:r>
      <w:r w:rsidR="003D0DA3" w:rsidRPr="00BF1854">
        <w:rPr>
          <w:rFonts w:ascii="NewBaskerville" w:hAnsi="NewBaskerville"/>
        </w:rPr>
        <w:t xml:space="preserve"> globales  motivadas por la diferente situación competitiva </w:t>
      </w:r>
      <w:r w:rsidR="00240F9A" w:rsidRPr="00BF1854">
        <w:rPr>
          <w:rFonts w:ascii="NewBaskerville" w:hAnsi="NewBaskerville"/>
        </w:rPr>
        <w:t xml:space="preserve">en que se encuentran las Autoridades Portuarias sobre la base de no discriminación de tratamiento entre las mismas. </w:t>
      </w:r>
      <w:r w:rsidR="00E318AD">
        <w:rPr>
          <w:rFonts w:ascii="NewBaskerville" w:hAnsi="NewBaskerville"/>
        </w:rPr>
        <w:t xml:space="preserve">Dicho porcentaje se reduce en un 50% para la APB. En la reunión celebrada </w:t>
      </w:r>
      <w:r w:rsidR="00E318AD" w:rsidRPr="00B714D7">
        <w:rPr>
          <w:rFonts w:ascii="NewBaskerville" w:hAnsi="NewBaskerville"/>
        </w:rPr>
        <w:t>el 18 de julio de 2022</w:t>
      </w:r>
      <w:r w:rsidR="00E318AD">
        <w:rPr>
          <w:rFonts w:ascii="NewBaskerville" w:hAnsi="NewBaskerville"/>
        </w:rPr>
        <w:t>, el porcentaje se fijó, con carácter general en el 4%, y por tanto para la APB en el 2%.</w:t>
      </w:r>
    </w:p>
    <w:p w:rsidR="006C7F54" w:rsidRDefault="006C7F54">
      <w:pPr>
        <w:tabs>
          <w:tab w:val="center" w:pos="5671"/>
          <w:tab w:val="center" w:pos="7797"/>
        </w:tabs>
        <w:ind w:firstLine="567"/>
        <w:jc w:val="both"/>
        <w:rPr>
          <w:rFonts w:ascii="NewBaskerville" w:hAnsi="NewBaskerville"/>
        </w:rPr>
      </w:pPr>
    </w:p>
    <w:p w:rsidR="001349EC" w:rsidRPr="00BF1854" w:rsidRDefault="001349EC">
      <w:pPr>
        <w:tabs>
          <w:tab w:val="center" w:pos="5671"/>
          <w:tab w:val="center" w:pos="7797"/>
        </w:tabs>
        <w:ind w:firstLine="567"/>
        <w:jc w:val="both"/>
        <w:rPr>
          <w:rFonts w:ascii="NewBaskerville" w:hAnsi="NewBaskerville"/>
        </w:rPr>
      </w:pPr>
      <w:r>
        <w:rPr>
          <w:rFonts w:ascii="NewBaskerville" w:hAnsi="NewBaskerville"/>
        </w:rPr>
        <w:t>Considerando que el Comité de Distribución del Fondo en su reunión del 22 de marzo de 2018 acordó, para un período mínimo de cuatro años</w:t>
      </w:r>
      <w:r w:rsidR="00E318AD">
        <w:rPr>
          <w:rFonts w:ascii="NewBaskerville" w:hAnsi="NewBaskerville"/>
        </w:rPr>
        <w:t xml:space="preserve">, prorrogados por otros cuatro en su reunión del </w:t>
      </w:r>
      <w:r w:rsidR="00802A41">
        <w:rPr>
          <w:rFonts w:ascii="NewBaskerville" w:hAnsi="NewBaskerville"/>
        </w:rPr>
        <w:t>30 de junio de 2021</w:t>
      </w:r>
      <w:r>
        <w:rPr>
          <w:rFonts w:ascii="NewBaskerville" w:hAnsi="NewBaskerville"/>
        </w:rPr>
        <w:t>, la aportación de un 1% anual adicional del porcentaje a aplicar correspondiente al apartado b) del citado artículo, dedicado exclusivamente para actuaciones y programas de investigación y desarrollo de interés portuario, y que dicha aportación adicional ser</w:t>
      </w:r>
      <w:r w:rsidR="00F52C1B">
        <w:rPr>
          <w:rFonts w:ascii="NewBaskerville" w:hAnsi="NewBaskerville"/>
        </w:rPr>
        <w:t>ía</w:t>
      </w:r>
      <w:r>
        <w:rPr>
          <w:rFonts w:ascii="NewBaskerville" w:hAnsi="NewBaskerville"/>
        </w:rPr>
        <w:t xml:space="preserve"> del 0,5% para las Autoridades Portuarias que realizan aportaciones re</w:t>
      </w:r>
      <w:r w:rsidR="00F52C1B">
        <w:rPr>
          <w:rFonts w:ascii="NewBaskerville" w:hAnsi="NewBaskerville"/>
        </w:rPr>
        <w:t>ducidas a dicho fondo, resultando</w:t>
      </w:r>
      <w:r>
        <w:rPr>
          <w:rFonts w:ascii="NewBaskerville" w:hAnsi="NewBaskerville"/>
        </w:rPr>
        <w:t xml:space="preserve"> la efectiva aplicación de un por</w:t>
      </w:r>
      <w:r w:rsidR="00F37105">
        <w:rPr>
          <w:rFonts w:ascii="NewBaskerville" w:hAnsi="NewBaskerville"/>
        </w:rPr>
        <w:t>centaje total del 5%, y para la</w:t>
      </w:r>
      <w:r>
        <w:rPr>
          <w:rFonts w:ascii="NewBaskerville" w:hAnsi="NewBaskerville"/>
        </w:rPr>
        <w:t xml:space="preserve"> APB</w:t>
      </w:r>
      <w:r w:rsidR="00F52C1B">
        <w:rPr>
          <w:rFonts w:ascii="NewBaskerville" w:hAnsi="NewBaskerville"/>
        </w:rPr>
        <w:t xml:space="preserve"> un</w:t>
      </w:r>
      <w:r w:rsidR="00802A41">
        <w:rPr>
          <w:rFonts w:ascii="NewBaskerville" w:hAnsi="NewBaskerville"/>
        </w:rPr>
        <w:t xml:space="preserve"> porcentaje</w:t>
      </w:r>
      <w:r w:rsidR="00F52C1B">
        <w:rPr>
          <w:rFonts w:ascii="NewBaskerville" w:hAnsi="NewBaskerville"/>
        </w:rPr>
        <w:t xml:space="preserve"> efectivo 2,5%. </w:t>
      </w:r>
    </w:p>
    <w:p w:rsidR="008873C5" w:rsidRPr="00BF1854" w:rsidRDefault="008873C5">
      <w:pPr>
        <w:tabs>
          <w:tab w:val="center" w:pos="5671"/>
          <w:tab w:val="center" w:pos="7797"/>
        </w:tabs>
        <w:ind w:firstLine="567"/>
        <w:jc w:val="both"/>
        <w:rPr>
          <w:rFonts w:ascii="NewBaskerville" w:hAnsi="NewBaskerville"/>
        </w:rPr>
      </w:pPr>
    </w:p>
    <w:p w:rsidR="0017441D" w:rsidRPr="00BF1854" w:rsidRDefault="001F2D6C" w:rsidP="005F35CD">
      <w:pPr>
        <w:tabs>
          <w:tab w:val="center" w:pos="5671"/>
          <w:tab w:val="center" w:pos="7797"/>
        </w:tabs>
        <w:ind w:firstLine="567"/>
        <w:jc w:val="both"/>
        <w:rPr>
          <w:rFonts w:ascii="NewBaskerville" w:hAnsi="NewBaskerville"/>
        </w:rPr>
      </w:pPr>
      <w:r w:rsidRPr="00BF1854">
        <w:rPr>
          <w:rFonts w:ascii="NewBaskerville" w:hAnsi="NewBaskerville"/>
        </w:rPr>
        <w:t>Las aportaciones de la AP</w:t>
      </w:r>
      <w:r w:rsidR="006C7F54">
        <w:rPr>
          <w:rFonts w:ascii="NewBaskerville" w:hAnsi="NewBaskerville"/>
        </w:rPr>
        <w:t>B</w:t>
      </w:r>
      <w:r w:rsidRPr="00BF1854">
        <w:rPr>
          <w:rFonts w:ascii="NewBaskerville" w:hAnsi="NewBaskerville"/>
        </w:rPr>
        <w:t xml:space="preserve"> tienen la consideración de gasto no</w:t>
      </w:r>
      <w:r w:rsidR="00E0278B" w:rsidRPr="00BF1854">
        <w:rPr>
          <w:rFonts w:ascii="NewBaskerville" w:hAnsi="NewBaskerville"/>
        </w:rPr>
        <w:t xml:space="preserve"> </w:t>
      </w:r>
      <w:r w:rsidRPr="00BF1854">
        <w:rPr>
          <w:rFonts w:ascii="NewBaskerville" w:hAnsi="NewBaskerville"/>
        </w:rPr>
        <w:t>reinteg</w:t>
      </w:r>
      <w:r w:rsidR="00A60572" w:rsidRPr="00BF1854">
        <w:rPr>
          <w:rFonts w:ascii="NewBaskerville" w:hAnsi="NewBaskerville"/>
        </w:rPr>
        <w:t>r</w:t>
      </w:r>
      <w:r w:rsidRPr="00BF1854">
        <w:rPr>
          <w:rFonts w:ascii="NewBaskerville" w:hAnsi="NewBaskerville"/>
        </w:rPr>
        <w:t>able</w:t>
      </w:r>
      <w:r w:rsidR="00E0278B" w:rsidRPr="00BF1854">
        <w:rPr>
          <w:rFonts w:ascii="NewBaskerville" w:hAnsi="NewBaskerville"/>
        </w:rPr>
        <w:t>.</w:t>
      </w:r>
      <w:r w:rsidRPr="00BF1854">
        <w:rPr>
          <w:rFonts w:ascii="NewBaskerville" w:hAnsi="NewBaskerville"/>
        </w:rPr>
        <w:t xml:space="preserve"> </w:t>
      </w:r>
    </w:p>
    <w:p w:rsidR="00DF2800" w:rsidRDefault="00DF2800" w:rsidP="001F2D6C">
      <w:pPr>
        <w:pStyle w:val="Sangradetextonormal"/>
        <w:tabs>
          <w:tab w:val="clear" w:pos="8364"/>
          <w:tab w:val="center" w:pos="5671"/>
          <w:tab w:val="center" w:pos="7797"/>
        </w:tabs>
        <w:overflowPunct/>
        <w:autoSpaceDE/>
        <w:autoSpaceDN/>
        <w:adjustRightInd/>
        <w:ind w:firstLine="0"/>
        <w:textAlignment w:val="auto"/>
        <w:rPr>
          <w:color w:val="000000"/>
          <w:sz w:val="20"/>
        </w:rPr>
      </w:pPr>
    </w:p>
    <w:p w:rsidR="0017441D" w:rsidRPr="00F52C1B" w:rsidRDefault="0017441D" w:rsidP="005D0B44">
      <w:pPr>
        <w:numPr>
          <w:ilvl w:val="0"/>
          <w:numId w:val="2"/>
        </w:numPr>
        <w:tabs>
          <w:tab w:val="center" w:pos="5671"/>
          <w:tab w:val="center" w:pos="7797"/>
        </w:tabs>
        <w:jc w:val="both"/>
        <w:rPr>
          <w:rFonts w:ascii="NewBaskerville" w:hAnsi="NewBaskerville"/>
        </w:rPr>
      </w:pPr>
      <w:r w:rsidRPr="00F52C1B">
        <w:rPr>
          <w:rFonts w:ascii="NewBaskerville" w:hAnsi="NewBaskerville"/>
        </w:rPr>
        <w:t xml:space="preserve">Fondo de Compensación </w:t>
      </w:r>
      <w:proofErr w:type="spellStart"/>
      <w:r w:rsidRPr="00F52C1B">
        <w:rPr>
          <w:rFonts w:ascii="NewBaskerville" w:hAnsi="NewBaskerville"/>
        </w:rPr>
        <w:t>Interportuario</w:t>
      </w:r>
      <w:proofErr w:type="spellEnd"/>
      <w:r w:rsidRPr="00F52C1B">
        <w:rPr>
          <w:rFonts w:ascii="NewBaskerville" w:hAnsi="NewBaskerville"/>
        </w:rPr>
        <w:t xml:space="preserve"> a recibir</w:t>
      </w:r>
    </w:p>
    <w:p w:rsidR="0017441D" w:rsidRPr="00F52C1B" w:rsidRDefault="0017441D" w:rsidP="0017441D">
      <w:pPr>
        <w:tabs>
          <w:tab w:val="center" w:pos="5671"/>
          <w:tab w:val="center" w:pos="7797"/>
        </w:tabs>
        <w:ind w:left="426"/>
        <w:jc w:val="both"/>
        <w:rPr>
          <w:rFonts w:ascii="NewBaskerville" w:hAnsi="NewBaskerville"/>
          <w:b/>
          <w:bCs/>
          <w:highlight w:val="yellow"/>
        </w:rPr>
      </w:pPr>
    </w:p>
    <w:p w:rsidR="0017441D" w:rsidRPr="00F52C1B" w:rsidRDefault="0017441D" w:rsidP="0017441D">
      <w:pPr>
        <w:tabs>
          <w:tab w:val="center" w:pos="5671"/>
          <w:tab w:val="center" w:pos="7797"/>
        </w:tabs>
        <w:ind w:firstLine="567"/>
        <w:jc w:val="both"/>
        <w:rPr>
          <w:rFonts w:ascii="NewBaskerville" w:hAnsi="NewBaskerville"/>
        </w:rPr>
      </w:pPr>
      <w:r w:rsidRPr="00F52C1B">
        <w:rPr>
          <w:rFonts w:ascii="NewBaskerville" w:hAnsi="NewBaskerville"/>
        </w:rPr>
        <w:t xml:space="preserve">La distribución del Fondo de Compensación </w:t>
      </w:r>
      <w:proofErr w:type="spellStart"/>
      <w:r w:rsidRPr="00F52C1B">
        <w:rPr>
          <w:rFonts w:ascii="NewBaskerville" w:hAnsi="NewBaskerville"/>
        </w:rPr>
        <w:t>Interportuario</w:t>
      </w:r>
      <w:proofErr w:type="spellEnd"/>
      <w:r w:rsidRPr="00F52C1B">
        <w:rPr>
          <w:rFonts w:ascii="NewBaskerville" w:hAnsi="NewBaskerville"/>
        </w:rPr>
        <w:t xml:space="preserve"> entre Puertos del Estado y Autoridades Portuarias se realiza atendiendo a los siguientes criterios:</w:t>
      </w:r>
    </w:p>
    <w:p w:rsidR="0017441D" w:rsidRPr="00F52C1B" w:rsidRDefault="0017441D" w:rsidP="0017441D">
      <w:pPr>
        <w:tabs>
          <w:tab w:val="center" w:pos="5671"/>
          <w:tab w:val="center" w:pos="7797"/>
        </w:tabs>
        <w:ind w:firstLine="567"/>
        <w:jc w:val="both"/>
        <w:rPr>
          <w:rFonts w:ascii="NewBaskerville" w:hAnsi="NewBaskerville"/>
        </w:rPr>
      </w:pPr>
    </w:p>
    <w:p w:rsidR="0017441D" w:rsidRPr="00F52C1B" w:rsidRDefault="0017441D" w:rsidP="0017441D">
      <w:pPr>
        <w:tabs>
          <w:tab w:val="center" w:pos="5671"/>
          <w:tab w:val="center" w:pos="7797"/>
        </w:tabs>
        <w:ind w:left="851" w:hanging="425"/>
        <w:jc w:val="both"/>
        <w:rPr>
          <w:rFonts w:ascii="NewBaskerville" w:hAnsi="NewBaskerville"/>
        </w:rPr>
      </w:pPr>
      <w:r w:rsidRPr="00F52C1B">
        <w:rPr>
          <w:rFonts w:ascii="NewBaskerville" w:hAnsi="NewBaskerville"/>
        </w:rPr>
        <w:t>1.</w:t>
      </w:r>
      <w:r w:rsidRPr="00F52C1B">
        <w:rPr>
          <w:rFonts w:ascii="NewBaskerville" w:hAnsi="NewBaskerville"/>
        </w:rPr>
        <w:tab/>
      </w:r>
      <w:r w:rsidR="005E62B9" w:rsidRPr="00F52C1B">
        <w:rPr>
          <w:rFonts w:ascii="NewBaskerville" w:hAnsi="NewBaskerville"/>
        </w:rPr>
        <w:t xml:space="preserve"> Las aportaciones del apartado</w:t>
      </w:r>
      <w:r w:rsidR="0044094D" w:rsidRPr="00F52C1B">
        <w:rPr>
          <w:rFonts w:ascii="NewBaskerville" w:hAnsi="NewBaskerville"/>
        </w:rPr>
        <w:t xml:space="preserve"> 3.</w:t>
      </w:r>
      <w:r w:rsidR="005E62B9" w:rsidRPr="00F52C1B">
        <w:rPr>
          <w:rFonts w:ascii="NewBaskerville" w:hAnsi="NewBaskerville"/>
        </w:rPr>
        <w:t>a)</w:t>
      </w:r>
      <w:r w:rsidRPr="00F52C1B">
        <w:rPr>
          <w:rFonts w:ascii="NewBaskerville" w:hAnsi="NewBaskerville"/>
        </w:rPr>
        <w:t xml:space="preserve"> </w:t>
      </w:r>
      <w:r w:rsidR="0044094D" w:rsidRPr="00F52C1B">
        <w:rPr>
          <w:rFonts w:ascii="NewBaskerville" w:hAnsi="NewBaskerville"/>
        </w:rPr>
        <w:t xml:space="preserve">del art.159.5 </w:t>
      </w:r>
      <w:r w:rsidR="005E62B9" w:rsidRPr="00F52C1B">
        <w:rPr>
          <w:rFonts w:ascii="NewBaskerville" w:hAnsi="NewBaskerville"/>
        </w:rPr>
        <w:t xml:space="preserve">se distribuirán en función de </w:t>
      </w:r>
      <w:r w:rsidR="00E73B09" w:rsidRPr="00F52C1B">
        <w:rPr>
          <w:rFonts w:ascii="NewBaskerville" w:hAnsi="NewBaskerville"/>
        </w:rPr>
        <w:t>las</w:t>
      </w:r>
      <w:r w:rsidRPr="00F52C1B">
        <w:rPr>
          <w:rFonts w:ascii="NewBaskerville" w:hAnsi="NewBaskerville"/>
        </w:rPr>
        <w:t xml:space="preserve"> ayudas a la </w:t>
      </w:r>
      <w:r w:rsidR="00E73B09" w:rsidRPr="00F52C1B">
        <w:rPr>
          <w:rFonts w:ascii="NewBaskerville" w:hAnsi="NewBaskerville"/>
        </w:rPr>
        <w:t>n</w:t>
      </w:r>
      <w:r w:rsidRPr="00F52C1B">
        <w:rPr>
          <w:rFonts w:ascii="NewBaskerville" w:hAnsi="NewBaskerville"/>
        </w:rPr>
        <w:t xml:space="preserve">avegación </w:t>
      </w:r>
      <w:r w:rsidR="00E73B09" w:rsidRPr="00F52C1B">
        <w:rPr>
          <w:rFonts w:ascii="NewBaskerville" w:hAnsi="NewBaskerville"/>
        </w:rPr>
        <w:t>m</w:t>
      </w:r>
      <w:r w:rsidRPr="00F52C1B">
        <w:rPr>
          <w:rFonts w:ascii="NewBaskerville" w:hAnsi="NewBaskerville"/>
        </w:rPr>
        <w:t>arítima asignadas a cada Autoridad Portuaria</w:t>
      </w:r>
      <w:r w:rsidR="001E4D8C" w:rsidRPr="00F52C1B">
        <w:rPr>
          <w:rFonts w:ascii="NewBaskerville" w:hAnsi="NewBaskerville"/>
        </w:rPr>
        <w:t>.</w:t>
      </w:r>
      <w:r w:rsidRPr="00F52C1B">
        <w:rPr>
          <w:rFonts w:ascii="NewBaskerville" w:hAnsi="NewBaskerville"/>
        </w:rPr>
        <w:t xml:space="preserve"> </w:t>
      </w:r>
    </w:p>
    <w:p w:rsidR="0017441D" w:rsidRPr="00F52C1B" w:rsidRDefault="0017441D" w:rsidP="00F10C4A">
      <w:pPr>
        <w:tabs>
          <w:tab w:val="center" w:pos="5671"/>
          <w:tab w:val="center" w:pos="7797"/>
        </w:tabs>
        <w:jc w:val="both"/>
        <w:rPr>
          <w:rFonts w:ascii="NewBaskerville" w:hAnsi="NewBaskerville"/>
        </w:rPr>
      </w:pPr>
    </w:p>
    <w:p w:rsidR="0049376B" w:rsidRPr="00F52C1B" w:rsidRDefault="0017441D" w:rsidP="00901A98">
      <w:pPr>
        <w:pStyle w:val="Sangra3detindependiente"/>
        <w:ind w:left="851" w:hanging="425"/>
        <w:rPr>
          <w:rFonts w:ascii="NewBaskerville" w:hAnsi="NewBaskerville"/>
          <w:sz w:val="20"/>
          <w:szCs w:val="20"/>
        </w:rPr>
      </w:pPr>
      <w:r w:rsidRPr="00F52C1B">
        <w:rPr>
          <w:rFonts w:ascii="NewBaskerville" w:hAnsi="NewBaskerville"/>
          <w:sz w:val="20"/>
          <w:szCs w:val="20"/>
        </w:rPr>
        <w:lastRenderedPageBreak/>
        <w:t>2.</w:t>
      </w:r>
      <w:r w:rsidRPr="00F52C1B">
        <w:rPr>
          <w:rFonts w:ascii="NewBaskerville" w:hAnsi="NewBaskerville"/>
          <w:sz w:val="20"/>
          <w:szCs w:val="20"/>
        </w:rPr>
        <w:tab/>
      </w:r>
      <w:r w:rsidR="00823D66" w:rsidRPr="00F52C1B">
        <w:rPr>
          <w:rFonts w:ascii="NewBaskerville" w:hAnsi="NewBaskerville"/>
          <w:sz w:val="20"/>
          <w:szCs w:val="20"/>
        </w:rPr>
        <w:t xml:space="preserve">Las aportaciones previstas en el apartado </w:t>
      </w:r>
      <w:r w:rsidR="003D4191">
        <w:rPr>
          <w:rFonts w:ascii="NewBaskerville" w:hAnsi="NewBaskerville"/>
          <w:sz w:val="20"/>
          <w:szCs w:val="20"/>
        </w:rPr>
        <w:t>3.</w:t>
      </w:r>
      <w:r w:rsidR="00823D66" w:rsidRPr="00F52C1B">
        <w:rPr>
          <w:rFonts w:ascii="NewBaskerville" w:hAnsi="NewBaskerville"/>
          <w:sz w:val="20"/>
          <w:szCs w:val="20"/>
        </w:rPr>
        <w:t>b)</w:t>
      </w:r>
      <w:r w:rsidR="0044094D" w:rsidRPr="00F52C1B">
        <w:rPr>
          <w:rFonts w:ascii="NewBaskerville" w:hAnsi="NewBaskerville"/>
          <w:sz w:val="20"/>
          <w:szCs w:val="20"/>
        </w:rPr>
        <w:t xml:space="preserve"> y 4 </w:t>
      </w:r>
      <w:r w:rsidRPr="00F52C1B">
        <w:rPr>
          <w:rFonts w:ascii="NewBaskerville" w:hAnsi="NewBaskerville"/>
          <w:sz w:val="20"/>
          <w:szCs w:val="20"/>
        </w:rPr>
        <w:t xml:space="preserve"> </w:t>
      </w:r>
      <w:r w:rsidR="00823D66" w:rsidRPr="00F52C1B">
        <w:rPr>
          <w:rFonts w:ascii="NewBaskerville" w:hAnsi="NewBaskerville"/>
          <w:sz w:val="20"/>
          <w:szCs w:val="20"/>
        </w:rPr>
        <w:t xml:space="preserve">tendrán carácter finalista y su aplicación estará condicionada a su ejecución efectiva destinándose entre otras a financiar inversiones en infraestructuras, planes de saneamiento, actuaciones </w:t>
      </w:r>
      <w:r w:rsidR="00DF2800" w:rsidRPr="00F52C1B">
        <w:rPr>
          <w:rFonts w:ascii="NewBaskerville" w:hAnsi="NewBaskerville"/>
          <w:sz w:val="20"/>
          <w:szCs w:val="20"/>
        </w:rPr>
        <w:t>medioambientales y de seguridad</w:t>
      </w:r>
      <w:r w:rsidR="00823D66" w:rsidRPr="00F52C1B">
        <w:rPr>
          <w:rFonts w:ascii="NewBaskerville" w:hAnsi="NewBaskerville"/>
          <w:sz w:val="20"/>
          <w:szCs w:val="20"/>
        </w:rPr>
        <w:t>, actuaciones o programas de desarrollo e innovación de interés portuario y daños físicos o situaciones económicas excepcionales no previstas.</w:t>
      </w:r>
      <w:r w:rsidRPr="00F52C1B">
        <w:rPr>
          <w:rFonts w:ascii="NewBaskerville" w:hAnsi="NewBaskerville"/>
          <w:sz w:val="20"/>
          <w:szCs w:val="20"/>
        </w:rPr>
        <w:t xml:space="preserve"> </w:t>
      </w:r>
    </w:p>
    <w:p w:rsidR="00472775" w:rsidRPr="00F52C1B" w:rsidRDefault="00472775" w:rsidP="00514E88">
      <w:pPr>
        <w:pStyle w:val="Sangra3detindependiente"/>
        <w:ind w:left="426" w:firstLine="0"/>
        <w:rPr>
          <w:rFonts w:ascii="NewBaskerville" w:hAnsi="NewBaskerville"/>
          <w:sz w:val="20"/>
          <w:szCs w:val="20"/>
        </w:rPr>
      </w:pPr>
    </w:p>
    <w:p w:rsidR="0017441D" w:rsidRPr="00F52C1B" w:rsidRDefault="001D30F9" w:rsidP="00F52C1B">
      <w:pPr>
        <w:pStyle w:val="Sangra3detindependiente"/>
        <w:ind w:firstLine="567"/>
        <w:rPr>
          <w:rFonts w:ascii="NewBaskerville" w:hAnsi="NewBaskerville"/>
          <w:sz w:val="20"/>
          <w:szCs w:val="20"/>
        </w:rPr>
      </w:pPr>
      <w:r w:rsidRPr="00F52C1B">
        <w:rPr>
          <w:rFonts w:ascii="NewBaskerville" w:hAnsi="NewBaskerville"/>
          <w:sz w:val="20"/>
          <w:szCs w:val="20"/>
        </w:rPr>
        <w:t>A</w:t>
      </w:r>
      <w:r w:rsidR="00823D66" w:rsidRPr="00F52C1B">
        <w:rPr>
          <w:rFonts w:ascii="NewBaskerville" w:hAnsi="NewBaskerville"/>
          <w:sz w:val="20"/>
          <w:szCs w:val="20"/>
        </w:rPr>
        <w:t>simismo se destinarán a compensar los menores ingresos estructurales de las Autoridades Portuarias de C</w:t>
      </w:r>
      <w:r w:rsidR="00DF2800" w:rsidRPr="00F52C1B">
        <w:rPr>
          <w:rFonts w:ascii="NewBaskerville" w:hAnsi="NewBaskerville"/>
          <w:sz w:val="20"/>
          <w:szCs w:val="20"/>
        </w:rPr>
        <w:t>euta y Melilla y las insulares, debido a las reducciones y bonificaciones de las tasas del buque, pasaje y mercancía.</w:t>
      </w:r>
      <w:r w:rsidR="0017441D" w:rsidRPr="00F52C1B">
        <w:rPr>
          <w:rFonts w:ascii="NewBaskerville" w:hAnsi="NewBaskerville"/>
          <w:sz w:val="20"/>
          <w:szCs w:val="20"/>
        </w:rPr>
        <w:t xml:space="preserve"> </w:t>
      </w:r>
      <w:r w:rsidR="00915006" w:rsidRPr="00F52C1B">
        <w:rPr>
          <w:rFonts w:ascii="NewBaskerville" w:hAnsi="NewBaskerville"/>
          <w:sz w:val="20"/>
          <w:szCs w:val="20"/>
        </w:rPr>
        <w:t xml:space="preserve">Las cantidades a recibir por estas compensaciones se sujetarán a los siguientes criterios: </w:t>
      </w:r>
    </w:p>
    <w:p w:rsidR="00915006" w:rsidRPr="00F52C1B" w:rsidRDefault="00915006" w:rsidP="00F52C1B">
      <w:pPr>
        <w:pStyle w:val="Sangra3detindependiente"/>
        <w:ind w:firstLine="567"/>
        <w:rPr>
          <w:rFonts w:ascii="NewBaskerville" w:hAnsi="NewBaskerville"/>
          <w:sz w:val="20"/>
          <w:szCs w:val="20"/>
        </w:rPr>
      </w:pPr>
    </w:p>
    <w:p w:rsidR="00915006" w:rsidRPr="00F52C1B" w:rsidRDefault="00915006" w:rsidP="00F52C1B">
      <w:pPr>
        <w:tabs>
          <w:tab w:val="center" w:pos="5671"/>
          <w:tab w:val="center" w:pos="7797"/>
        </w:tabs>
        <w:ind w:firstLine="567"/>
        <w:jc w:val="both"/>
        <w:rPr>
          <w:rFonts w:ascii="NewBaskerville" w:hAnsi="NewBaskerville"/>
        </w:rPr>
      </w:pPr>
      <w:r w:rsidRPr="00F52C1B">
        <w:rPr>
          <w:rFonts w:ascii="NewBaskerville" w:hAnsi="NewBaskerville"/>
        </w:rPr>
        <w:t xml:space="preserve">El volumen total de estas compensaciones será la aportación mínima al </w:t>
      </w:r>
      <w:r w:rsidR="003F24D6">
        <w:rPr>
          <w:rFonts w:ascii="NewBaskerville" w:hAnsi="NewBaskerville"/>
        </w:rPr>
        <w:t>F</w:t>
      </w:r>
      <w:r w:rsidRPr="00F52C1B">
        <w:rPr>
          <w:rFonts w:ascii="NewBaskerville" w:hAnsi="NewBaskerville"/>
        </w:rPr>
        <w:t xml:space="preserve">ondo de </w:t>
      </w:r>
      <w:r w:rsidR="003F24D6">
        <w:rPr>
          <w:rFonts w:ascii="NewBaskerville" w:hAnsi="NewBaskerville"/>
        </w:rPr>
        <w:t>C</w:t>
      </w:r>
      <w:r w:rsidRPr="00F52C1B">
        <w:rPr>
          <w:rFonts w:ascii="NewBaskerville" w:hAnsi="NewBaskerville"/>
        </w:rPr>
        <w:t xml:space="preserve">ompensación </w:t>
      </w:r>
      <w:proofErr w:type="spellStart"/>
      <w:r w:rsidR="003F24D6">
        <w:rPr>
          <w:rFonts w:ascii="NewBaskerville" w:hAnsi="NewBaskerville"/>
        </w:rPr>
        <w:t>I</w:t>
      </w:r>
      <w:r w:rsidRPr="00F52C1B">
        <w:rPr>
          <w:rFonts w:ascii="NewBaskerville" w:hAnsi="NewBaskerville"/>
        </w:rPr>
        <w:t>n</w:t>
      </w:r>
      <w:r w:rsidR="00A61BF7" w:rsidRPr="00F52C1B">
        <w:rPr>
          <w:rFonts w:ascii="NewBaskerville" w:hAnsi="NewBaskerville"/>
        </w:rPr>
        <w:t>ter</w:t>
      </w:r>
      <w:r w:rsidRPr="00F52C1B">
        <w:rPr>
          <w:rFonts w:ascii="NewBaskerville" w:hAnsi="NewBaskerville"/>
        </w:rPr>
        <w:t>portuario</w:t>
      </w:r>
      <w:proofErr w:type="spellEnd"/>
      <w:r w:rsidRPr="00F52C1B">
        <w:rPr>
          <w:rFonts w:ascii="NewBaskerville" w:hAnsi="NewBaskerville"/>
        </w:rPr>
        <w:t xml:space="preserve"> establecido en el apartado 3.b) art 159.</w:t>
      </w:r>
    </w:p>
    <w:p w:rsidR="00915006" w:rsidRPr="00F52C1B" w:rsidRDefault="00915006" w:rsidP="00F52C1B">
      <w:pPr>
        <w:tabs>
          <w:tab w:val="center" w:pos="5671"/>
          <w:tab w:val="center" w:pos="7797"/>
        </w:tabs>
        <w:ind w:firstLine="567"/>
        <w:jc w:val="both"/>
        <w:rPr>
          <w:rFonts w:ascii="NewBaskerville" w:hAnsi="NewBaskerville"/>
        </w:rPr>
      </w:pPr>
    </w:p>
    <w:p w:rsidR="00915006" w:rsidRPr="00F52C1B" w:rsidRDefault="00915006" w:rsidP="00F52C1B">
      <w:pPr>
        <w:tabs>
          <w:tab w:val="center" w:pos="5671"/>
          <w:tab w:val="center" w:pos="7797"/>
        </w:tabs>
        <w:ind w:firstLine="567"/>
        <w:jc w:val="both"/>
        <w:rPr>
          <w:rFonts w:ascii="NewBaskerville" w:hAnsi="NewBaskerville"/>
        </w:rPr>
      </w:pPr>
      <w:r w:rsidRPr="00F52C1B">
        <w:rPr>
          <w:rFonts w:ascii="NewBaskerville" w:hAnsi="NewBaskerville"/>
        </w:rPr>
        <w:t>Se distribuirán de forma proporcional a las canti</w:t>
      </w:r>
      <w:r w:rsidR="00F656B3" w:rsidRPr="00F52C1B">
        <w:rPr>
          <w:rFonts w:ascii="NewBaskerville" w:hAnsi="NewBaskerville"/>
        </w:rPr>
        <w:t>d</w:t>
      </w:r>
      <w:r w:rsidRPr="00F52C1B">
        <w:rPr>
          <w:rFonts w:ascii="NewBaskerville" w:hAnsi="NewBaskerville"/>
        </w:rPr>
        <w:t xml:space="preserve">ades que se han dejado de percibir como consecuencia de la aplicación a las tasas del buque, pasaje y mercancía de los coeficientes reductores por concepto de </w:t>
      </w:r>
      <w:proofErr w:type="spellStart"/>
      <w:r w:rsidRPr="00F52C1B">
        <w:rPr>
          <w:rFonts w:ascii="NewBaskerville" w:hAnsi="NewBaskerville"/>
        </w:rPr>
        <w:t>interinsularidad</w:t>
      </w:r>
      <w:proofErr w:type="spellEnd"/>
      <w:r w:rsidRPr="00F52C1B">
        <w:rPr>
          <w:rFonts w:ascii="NewBaskerville" w:hAnsi="NewBaskerville"/>
        </w:rPr>
        <w:t xml:space="preserve"> y de las bonificaciones por insularidad, </w:t>
      </w:r>
      <w:r w:rsidR="007B5A25" w:rsidRPr="00F52C1B">
        <w:rPr>
          <w:rFonts w:ascii="NewBaskerville" w:hAnsi="NewBaskerville"/>
        </w:rPr>
        <w:t xml:space="preserve">especial aislamiento y </w:t>
      </w:r>
      <w:proofErr w:type="spellStart"/>
      <w:r w:rsidR="007B5A25" w:rsidRPr="00F52C1B">
        <w:rPr>
          <w:rFonts w:ascii="NewBaskerville" w:hAnsi="NewBaskerville"/>
        </w:rPr>
        <w:t>ultraper</w:t>
      </w:r>
      <w:r w:rsidRPr="00F52C1B">
        <w:rPr>
          <w:rFonts w:ascii="NewBaskerville" w:hAnsi="NewBaskerville"/>
        </w:rPr>
        <w:t>ifericidad</w:t>
      </w:r>
      <w:proofErr w:type="spellEnd"/>
      <w:r w:rsidRPr="00F52C1B">
        <w:rPr>
          <w:rFonts w:ascii="NewBaskerville" w:hAnsi="NewBaskerville"/>
        </w:rPr>
        <w:t>, correspondientes al año inmediatamente anterior.</w:t>
      </w:r>
    </w:p>
    <w:p w:rsidR="00915006" w:rsidRPr="00F52C1B" w:rsidRDefault="00915006" w:rsidP="00F52C1B">
      <w:pPr>
        <w:pStyle w:val="Sangra3detindependiente"/>
        <w:ind w:firstLine="567"/>
        <w:rPr>
          <w:rFonts w:ascii="NewBaskerville" w:hAnsi="NewBaskerville"/>
          <w:sz w:val="20"/>
          <w:szCs w:val="20"/>
        </w:rPr>
      </w:pPr>
    </w:p>
    <w:p w:rsidR="00901A98" w:rsidRDefault="00A61BF7" w:rsidP="00F52C1B">
      <w:pPr>
        <w:pStyle w:val="Sangra3detindependiente"/>
        <w:ind w:firstLine="567"/>
        <w:rPr>
          <w:rFonts w:ascii="NewBaskerville" w:hAnsi="NewBaskerville"/>
          <w:sz w:val="20"/>
          <w:szCs w:val="20"/>
        </w:rPr>
      </w:pPr>
      <w:r w:rsidRPr="00F52C1B">
        <w:rPr>
          <w:rFonts w:ascii="NewBaskerville" w:hAnsi="NewBaskerville"/>
          <w:sz w:val="20"/>
          <w:szCs w:val="20"/>
        </w:rPr>
        <w:t xml:space="preserve"> </w:t>
      </w:r>
      <w:r w:rsidR="00915006" w:rsidRPr="00F52C1B">
        <w:rPr>
          <w:rFonts w:ascii="NewBaskerville" w:hAnsi="NewBaskerville"/>
          <w:sz w:val="20"/>
          <w:szCs w:val="20"/>
        </w:rPr>
        <w:t>El importe a recibir por cada Autoridad Portuaria n</w:t>
      </w:r>
      <w:r w:rsidR="002114E5" w:rsidRPr="00F52C1B">
        <w:rPr>
          <w:rFonts w:ascii="NewBaskerville" w:hAnsi="NewBaskerville"/>
          <w:sz w:val="20"/>
          <w:szCs w:val="20"/>
        </w:rPr>
        <w:t xml:space="preserve">o podrá ser superior al importe </w:t>
      </w:r>
      <w:r w:rsidR="00915006" w:rsidRPr="00F52C1B">
        <w:rPr>
          <w:rFonts w:ascii="NewBaskerville" w:hAnsi="NewBaskerville"/>
          <w:sz w:val="20"/>
          <w:szCs w:val="20"/>
        </w:rPr>
        <w:t>de las reducciones y bonificaciones efectivamente practicad</w:t>
      </w:r>
      <w:r w:rsidR="002114E5" w:rsidRPr="00F52C1B">
        <w:rPr>
          <w:rFonts w:ascii="NewBaskerville" w:hAnsi="NewBaskerville"/>
          <w:sz w:val="20"/>
          <w:szCs w:val="20"/>
        </w:rPr>
        <w:t>a</w:t>
      </w:r>
      <w:r w:rsidR="00915006" w:rsidRPr="00F52C1B">
        <w:rPr>
          <w:rFonts w:ascii="NewBaskerville" w:hAnsi="NewBaskerville"/>
          <w:sz w:val="20"/>
          <w:szCs w:val="20"/>
        </w:rPr>
        <w:t xml:space="preserve">s en dicho año </w:t>
      </w:r>
      <w:r w:rsidR="002114E5" w:rsidRPr="00F52C1B">
        <w:rPr>
          <w:rFonts w:ascii="NewBaskerville" w:hAnsi="NewBaskerville"/>
          <w:sz w:val="20"/>
          <w:szCs w:val="20"/>
        </w:rPr>
        <w:t>y nunca superior al importe que le permitiera alcanzar la rentabilidad anual objetivo del sistema portuario correspondiente a ese año, calculados los ingresos por tasas de utilización con coeficientes correctores valor uno.</w:t>
      </w:r>
    </w:p>
    <w:p w:rsidR="00F37105" w:rsidRDefault="00F37105" w:rsidP="00F52C1B">
      <w:pPr>
        <w:pStyle w:val="Sangra3detindependiente"/>
        <w:ind w:firstLine="567"/>
        <w:rPr>
          <w:rFonts w:ascii="NewBaskerville" w:hAnsi="NewBaskerville"/>
          <w:sz w:val="20"/>
          <w:szCs w:val="20"/>
        </w:rPr>
      </w:pPr>
    </w:p>
    <w:p w:rsidR="00F37105" w:rsidRDefault="00F37105" w:rsidP="00F52C1B">
      <w:pPr>
        <w:pStyle w:val="Sangra3detindependiente"/>
        <w:ind w:firstLine="567"/>
        <w:rPr>
          <w:rFonts w:ascii="NewBaskerville" w:hAnsi="NewBaskerville"/>
          <w:sz w:val="20"/>
          <w:szCs w:val="20"/>
        </w:rPr>
      </w:pPr>
      <w:r>
        <w:rPr>
          <w:rFonts w:ascii="NewBaskerville" w:hAnsi="NewBaskerville"/>
          <w:sz w:val="20"/>
          <w:szCs w:val="20"/>
        </w:rPr>
        <w:t xml:space="preserve">Como criterio de reparto del Fondo de Compensación </w:t>
      </w:r>
      <w:proofErr w:type="spellStart"/>
      <w:r>
        <w:rPr>
          <w:rFonts w:ascii="NewBaskerville" w:hAnsi="NewBaskerville"/>
          <w:sz w:val="20"/>
          <w:szCs w:val="20"/>
        </w:rPr>
        <w:t>Interportuario</w:t>
      </w:r>
      <w:proofErr w:type="spellEnd"/>
      <w:r>
        <w:rPr>
          <w:rFonts w:ascii="NewBaskerville" w:hAnsi="NewBaskerville"/>
          <w:sz w:val="20"/>
          <w:szCs w:val="20"/>
        </w:rPr>
        <w:t xml:space="preserve"> del 2023 se establece la pérdida de ingresos en que incurran la Autoridades Portuarias, como consecuencia de la exención en la tasa de la pesca fresca por aplicación del Real Decreto ley 6/2022 y Real Decreto ley 20/2022. Siendo de aplicación para la APB.</w:t>
      </w:r>
    </w:p>
    <w:p w:rsidR="00802A41" w:rsidRDefault="00802A41" w:rsidP="00F52C1B">
      <w:pPr>
        <w:pStyle w:val="Sangra3detindependiente"/>
        <w:ind w:firstLine="567"/>
        <w:rPr>
          <w:rFonts w:ascii="NewBaskerville" w:hAnsi="NewBaskerville"/>
          <w:sz w:val="20"/>
          <w:szCs w:val="20"/>
        </w:rPr>
      </w:pPr>
    </w:p>
    <w:p w:rsidR="0017441D" w:rsidRPr="00F52C1B" w:rsidRDefault="0017441D" w:rsidP="00F52C1B">
      <w:pPr>
        <w:pStyle w:val="Sangra3detindependiente"/>
        <w:ind w:firstLine="567"/>
        <w:rPr>
          <w:rFonts w:ascii="NewBaskerville" w:hAnsi="NewBaskerville"/>
          <w:sz w:val="20"/>
          <w:szCs w:val="20"/>
        </w:rPr>
      </w:pPr>
      <w:r w:rsidRPr="00F52C1B">
        <w:rPr>
          <w:rFonts w:ascii="NewBaskerville" w:hAnsi="NewBaskerville"/>
          <w:sz w:val="20"/>
          <w:szCs w:val="20"/>
        </w:rPr>
        <w:t>La asignación tendrá la consideración de ingreso del ejercicio en que ef</w:t>
      </w:r>
      <w:r w:rsidR="00823D66" w:rsidRPr="00F52C1B">
        <w:rPr>
          <w:rFonts w:ascii="NewBaskerville" w:hAnsi="NewBaskerville"/>
          <w:sz w:val="20"/>
          <w:szCs w:val="20"/>
        </w:rPr>
        <w:t>ectivamente se aplique la misma.</w:t>
      </w:r>
    </w:p>
    <w:p w:rsidR="0017441D" w:rsidRPr="00F52C1B" w:rsidRDefault="0017441D" w:rsidP="00F52C1B">
      <w:pPr>
        <w:tabs>
          <w:tab w:val="center" w:pos="5671"/>
          <w:tab w:val="center" w:pos="7797"/>
        </w:tabs>
        <w:ind w:firstLine="567"/>
        <w:jc w:val="both"/>
        <w:rPr>
          <w:rFonts w:ascii="NewBaskerville" w:hAnsi="NewBaskerville"/>
        </w:rPr>
      </w:pPr>
    </w:p>
    <w:p w:rsidR="00625D2A" w:rsidRDefault="0017441D" w:rsidP="00F52C1B">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sidRPr="00F52C1B">
        <w:rPr>
          <w:rFonts w:ascii="NewBaskerville" w:hAnsi="NewBaskerville"/>
          <w:sz w:val="20"/>
        </w:rPr>
        <w:t xml:space="preserve">El Fondo de Compensación </w:t>
      </w:r>
      <w:proofErr w:type="spellStart"/>
      <w:r w:rsidRPr="00F52C1B">
        <w:rPr>
          <w:rFonts w:ascii="NewBaskerville" w:hAnsi="NewBaskerville"/>
          <w:sz w:val="20"/>
        </w:rPr>
        <w:t>Interportuario</w:t>
      </w:r>
      <w:proofErr w:type="spellEnd"/>
      <w:r w:rsidRPr="00F52C1B">
        <w:rPr>
          <w:rFonts w:ascii="NewBaskerville" w:hAnsi="NewBaskerville"/>
          <w:sz w:val="20"/>
        </w:rPr>
        <w:t xml:space="preserve"> recibido y aportado en el ejercicio se registra en la cuenta de pérdidas y ganancias como un ingreso y gasto del ejercicio respectivamente.</w:t>
      </w:r>
    </w:p>
    <w:p w:rsidR="00625D2A" w:rsidRDefault="00625D2A" w:rsidP="00F52C1B">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17441D" w:rsidRDefault="00625D2A" w:rsidP="00625D2A">
      <w:pPr>
        <w:pStyle w:val="Sangradetextonormal"/>
        <w:numPr>
          <w:ilvl w:val="0"/>
          <w:numId w:val="41"/>
        </w:numPr>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Importe</w:t>
      </w:r>
      <w:r w:rsidR="004F2D58">
        <w:rPr>
          <w:rFonts w:ascii="NewBaskerville" w:hAnsi="NewBaskerville"/>
          <w:sz w:val="20"/>
        </w:rPr>
        <w:t xml:space="preserve"> Neto</w:t>
      </w:r>
      <w:r>
        <w:rPr>
          <w:rFonts w:ascii="NewBaskerville" w:hAnsi="NewBaskerville"/>
          <w:sz w:val="20"/>
        </w:rPr>
        <w:t xml:space="preserve"> de la Cifra de Negocio</w:t>
      </w:r>
      <w:r w:rsidR="00F6622D">
        <w:rPr>
          <w:rFonts w:ascii="NewBaskerville" w:hAnsi="NewBaskerville"/>
          <w:sz w:val="20"/>
        </w:rPr>
        <w:t>s</w:t>
      </w:r>
      <w:r w:rsidR="004F2D58">
        <w:rPr>
          <w:rFonts w:ascii="NewBaskerville" w:hAnsi="NewBaskerville"/>
          <w:sz w:val="20"/>
        </w:rPr>
        <w:t>.</w:t>
      </w:r>
    </w:p>
    <w:p w:rsidR="004F2D58" w:rsidRDefault="004F2D58"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4F2D58" w:rsidRDefault="004F2D58"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El importe neto de la cifra de negocios se determina deduciendo del importe de la contraprestación</w:t>
      </w:r>
      <w:r w:rsidR="00CA42B3">
        <w:rPr>
          <w:rFonts w:ascii="NewBaskerville" w:hAnsi="NewBaskerville"/>
          <w:sz w:val="20"/>
        </w:rPr>
        <w:t xml:space="preserve"> por la transferencia de los servicios comprometidos con usuarios u otros ingresos correspondientes a las actividades ordinarias de la Entidad, el importe de cualquier reducción, bonificación, y similar, así como el impuesto sobre el valor añadido que deba ser objeto de repercusión.</w:t>
      </w:r>
    </w:p>
    <w:p w:rsidR="00CA42B3" w:rsidRDefault="00CA42B3"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CA42B3" w:rsidRDefault="00862883"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 xml:space="preserve">Determinando el concepto como el cómputo de los ingresos de la actividad ordinaria de la Entidad, en la medida en que se obtengan de forma regular y </w:t>
      </w:r>
      <w:r w:rsidR="003F24D6">
        <w:rPr>
          <w:rFonts w:ascii="NewBaskerville" w:hAnsi="NewBaskerville"/>
          <w:sz w:val="20"/>
        </w:rPr>
        <w:t>periódica</w:t>
      </w:r>
      <w:r>
        <w:rPr>
          <w:rFonts w:ascii="NewBaskerville" w:hAnsi="NewBaskerville"/>
          <w:sz w:val="20"/>
        </w:rPr>
        <w:t xml:space="preserve"> y se deriven del ciclo económico de producción, comercialización o prestación de servicios propios de la Entidad.</w:t>
      </w:r>
    </w:p>
    <w:p w:rsidR="00862883" w:rsidRDefault="00862883"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862883" w:rsidRDefault="00F6622D" w:rsidP="00CA42B3">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El Importe Neto de la Cifra de Negocios lo componen los ingresos por:</w:t>
      </w:r>
    </w:p>
    <w:p w:rsidR="00F6622D" w:rsidRDefault="00F6622D" w:rsidP="00F6622D">
      <w:pPr>
        <w:pStyle w:val="Sangradetextonormal"/>
        <w:numPr>
          <w:ilvl w:val="0"/>
          <w:numId w:val="6"/>
        </w:numPr>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Tasas Portuarias</w:t>
      </w:r>
    </w:p>
    <w:p w:rsidR="00F6622D" w:rsidRDefault="00F6622D" w:rsidP="00F6622D">
      <w:pPr>
        <w:pStyle w:val="Sangradetextonormal"/>
        <w:numPr>
          <w:ilvl w:val="0"/>
          <w:numId w:val="6"/>
        </w:numPr>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Importes adicionales a las tasas</w:t>
      </w:r>
    </w:p>
    <w:p w:rsidR="00FA0EC0" w:rsidRPr="00FA0EC0" w:rsidRDefault="00FA0EC0" w:rsidP="00FA0EC0">
      <w:pPr>
        <w:pStyle w:val="Sangradetextonormal"/>
        <w:numPr>
          <w:ilvl w:val="0"/>
          <w:numId w:val="6"/>
        </w:numPr>
        <w:tabs>
          <w:tab w:val="clear" w:pos="8364"/>
          <w:tab w:val="center" w:pos="5671"/>
          <w:tab w:val="center" w:pos="7797"/>
        </w:tabs>
        <w:overflowPunct/>
        <w:autoSpaceDE/>
        <w:autoSpaceDN/>
        <w:adjustRightInd/>
        <w:textAlignment w:val="auto"/>
        <w:rPr>
          <w:rFonts w:ascii="NewBaskerville" w:hAnsi="NewBaskerville"/>
          <w:sz w:val="20"/>
        </w:rPr>
      </w:pPr>
      <w:r w:rsidRPr="00FA0EC0">
        <w:rPr>
          <w:rFonts w:ascii="NewBaskerville" w:hAnsi="NewBaskerville"/>
          <w:sz w:val="20"/>
        </w:rPr>
        <w:t>Tarifas por servicios comerciales</w:t>
      </w:r>
    </w:p>
    <w:p w:rsidR="00FA0EC0" w:rsidRDefault="00FA0EC0" w:rsidP="00F6622D">
      <w:pPr>
        <w:pStyle w:val="Sangradetextonormal"/>
        <w:numPr>
          <w:ilvl w:val="0"/>
          <w:numId w:val="6"/>
        </w:numPr>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lastRenderedPageBreak/>
        <w:t>Tarifas por el servicio de recepción de desechos</w:t>
      </w:r>
    </w:p>
    <w:p w:rsidR="00B31427" w:rsidRDefault="00B31427" w:rsidP="00B31427">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B31427" w:rsidRDefault="00B31427" w:rsidP="00B31427">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Según redacción del TRLPEMM</w:t>
      </w:r>
      <w:r w:rsidR="008829DA">
        <w:rPr>
          <w:rFonts w:ascii="NewBaskerville" w:hAnsi="NewBaskerville"/>
          <w:sz w:val="20"/>
        </w:rPr>
        <w:t>.</w:t>
      </w:r>
    </w:p>
    <w:p w:rsidR="008829DA" w:rsidRDefault="008829DA" w:rsidP="00B31427">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625D2A" w:rsidRDefault="008829DA"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Pr>
          <w:rFonts w:ascii="NewBaskerville" w:hAnsi="NewBaskerville"/>
          <w:sz w:val="20"/>
        </w:rPr>
        <w:t xml:space="preserve">Registrándose en la partida de “Otros ingresos de explotación”, que queda excluida del importe neto de la cifra de negocios, entre otros, ingresos no obtenidos con carácter </w:t>
      </w:r>
      <w:r w:rsidR="003F24D6">
        <w:rPr>
          <w:rFonts w:ascii="NewBaskerville" w:hAnsi="NewBaskerville"/>
          <w:sz w:val="20"/>
        </w:rPr>
        <w:t>periódico</w:t>
      </w:r>
      <w:r>
        <w:rPr>
          <w:rFonts w:ascii="NewBaskerville" w:hAnsi="NewBaskerville"/>
          <w:sz w:val="20"/>
        </w:rPr>
        <w:t xml:space="preserve"> o contraprestaciones de carácter indemnizatorio. </w:t>
      </w:r>
      <w:r w:rsidR="00B31427">
        <w:rPr>
          <w:rFonts w:ascii="NewBaskerville" w:hAnsi="NewBaskerville"/>
          <w:sz w:val="20"/>
        </w:rPr>
        <w:t xml:space="preserve"> </w:t>
      </w:r>
    </w:p>
    <w:p w:rsidR="006C7F54" w:rsidRDefault="006C7F54"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6C7F54" w:rsidRDefault="006C7F54"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6C7F54" w:rsidRDefault="006C7F54"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6C7F54" w:rsidRDefault="006C7F54" w:rsidP="00625D2A">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CC5923" w:rsidRPr="00D467DC" w:rsidRDefault="003F24D6" w:rsidP="00F348FE">
      <w:pPr>
        <w:pStyle w:val="ListParagraph1"/>
        <w:ind w:left="0"/>
        <w:rPr>
          <w:rFonts w:ascii="NewBaskerville" w:hAnsi="NewBaskerville"/>
          <w:b/>
          <w:bCs/>
          <w:sz w:val="24"/>
          <w:szCs w:val="24"/>
        </w:rPr>
      </w:pPr>
      <w:r w:rsidRPr="00D467DC">
        <w:rPr>
          <w:rFonts w:ascii="NewBaskerville" w:hAnsi="NewBaskerville"/>
          <w:b/>
          <w:bCs/>
          <w:sz w:val="24"/>
          <w:szCs w:val="24"/>
        </w:rPr>
        <w:t>5</w:t>
      </w:r>
      <w:r>
        <w:rPr>
          <w:b/>
          <w:bCs/>
          <w:sz w:val="24"/>
          <w:szCs w:val="24"/>
        </w:rPr>
        <w:t>.</w:t>
      </w:r>
      <w:r w:rsidRPr="00D467DC">
        <w:rPr>
          <w:rFonts w:ascii="NewBaskerville" w:hAnsi="NewBaskerville"/>
          <w:b/>
          <w:bCs/>
          <w:sz w:val="24"/>
          <w:szCs w:val="24"/>
        </w:rPr>
        <w:t xml:space="preserve"> Inmovilizado</w:t>
      </w:r>
      <w:r w:rsidR="00CC5923" w:rsidRPr="00D467DC">
        <w:rPr>
          <w:rFonts w:ascii="NewBaskerville" w:hAnsi="NewBaskerville"/>
          <w:b/>
          <w:bCs/>
          <w:sz w:val="24"/>
          <w:szCs w:val="24"/>
        </w:rPr>
        <w:t xml:space="preserve"> intangible</w:t>
      </w:r>
    </w:p>
    <w:p w:rsidR="00CC5923" w:rsidRPr="00072D1A" w:rsidRDefault="00CC5923" w:rsidP="00CC5923">
      <w:pPr>
        <w:pStyle w:val="Sangradetextonormal"/>
        <w:tabs>
          <w:tab w:val="clear" w:pos="8364"/>
          <w:tab w:val="center" w:pos="5671"/>
          <w:tab w:val="center" w:pos="7797"/>
        </w:tabs>
        <w:ind w:firstLine="0"/>
        <w:rPr>
          <w:sz w:val="20"/>
        </w:rPr>
      </w:pPr>
    </w:p>
    <w:p w:rsidR="00DF2800" w:rsidRDefault="00CC5923"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sidRPr="009B0DDE">
        <w:rPr>
          <w:rFonts w:ascii="NewBaskerville" w:hAnsi="NewBaskerville"/>
          <w:sz w:val="20"/>
        </w:rPr>
        <w:t>La composición de este epígrafe y sus movimientos dur</w:t>
      </w:r>
      <w:r w:rsidR="000C1BC0" w:rsidRPr="009B0DDE">
        <w:rPr>
          <w:rFonts w:ascii="NewBaskerville" w:hAnsi="NewBaskerville"/>
          <w:sz w:val="20"/>
        </w:rPr>
        <w:t>ante los ejercicios 202</w:t>
      </w:r>
      <w:r w:rsidR="00F93CE1">
        <w:rPr>
          <w:rFonts w:ascii="NewBaskerville" w:hAnsi="NewBaskerville"/>
          <w:sz w:val="20"/>
        </w:rPr>
        <w:t>3</w:t>
      </w:r>
      <w:r w:rsidR="000C1BC0" w:rsidRPr="009B0DDE">
        <w:rPr>
          <w:rFonts w:ascii="NewBaskerville" w:hAnsi="NewBaskerville"/>
          <w:sz w:val="20"/>
        </w:rPr>
        <w:t xml:space="preserve"> y 202</w:t>
      </w:r>
      <w:r w:rsidR="00F93CE1">
        <w:rPr>
          <w:rFonts w:ascii="NewBaskerville" w:hAnsi="NewBaskerville"/>
          <w:sz w:val="20"/>
        </w:rPr>
        <w:t>2</w:t>
      </w:r>
      <w:r w:rsidR="00530948" w:rsidRPr="009B0DDE">
        <w:rPr>
          <w:rFonts w:ascii="NewBaskerville" w:hAnsi="NewBaskerville"/>
          <w:sz w:val="20"/>
        </w:rPr>
        <w:t xml:space="preserve"> son los siguiente</w:t>
      </w:r>
      <w:r w:rsidR="00462BE1" w:rsidRPr="009B0DDE">
        <w:rPr>
          <w:rFonts w:ascii="NewBaskerville" w:hAnsi="NewBaskerville"/>
          <w:sz w:val="20"/>
        </w:rPr>
        <w:t>s</w:t>
      </w:r>
      <w:r w:rsidR="00530948" w:rsidRPr="009B0DDE">
        <w:rPr>
          <w:rFonts w:ascii="NewBaskerville" w:hAnsi="NewBaskerville"/>
          <w:sz w:val="20"/>
        </w:rPr>
        <w:t>:</w:t>
      </w:r>
    </w:p>
    <w:p w:rsidR="00F93CE1" w:rsidRDefault="00F93CE1"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9E6275" w:rsidRDefault="009E6275"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9E6275" w:rsidRDefault="009E6275"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tbl>
      <w:tblPr>
        <w:tblW w:w="6028" w:type="dxa"/>
        <w:tblInd w:w="70" w:type="dxa"/>
        <w:tblCellMar>
          <w:left w:w="70" w:type="dxa"/>
          <w:right w:w="70" w:type="dxa"/>
        </w:tblCellMar>
        <w:tblLook w:val="04A0" w:firstRow="1" w:lastRow="0" w:firstColumn="1" w:lastColumn="0" w:noHBand="0" w:noVBand="1"/>
      </w:tblPr>
      <w:tblGrid>
        <w:gridCol w:w="2856"/>
        <w:gridCol w:w="1516"/>
        <w:gridCol w:w="1656"/>
      </w:tblGrid>
      <w:tr w:rsidR="009E6275" w:rsidRPr="009E6275" w:rsidTr="009E6275">
        <w:trPr>
          <w:trHeight w:val="300"/>
        </w:trPr>
        <w:tc>
          <w:tcPr>
            <w:tcW w:w="2856" w:type="dxa"/>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b/>
                <w:bCs/>
                <w:color w:val="000000"/>
                <w:sz w:val="18"/>
                <w:szCs w:val="18"/>
                <w:lang w:val="es-ES"/>
              </w:rPr>
            </w:pPr>
            <w:r w:rsidRPr="009E6275">
              <w:rPr>
                <w:rFonts w:ascii="Lucida Bright" w:hAnsi="Lucida Bright" w:cs="Calibri"/>
                <w:b/>
                <w:bCs/>
                <w:color w:val="000000"/>
                <w:sz w:val="18"/>
                <w:szCs w:val="18"/>
                <w:lang w:val="es-ES"/>
              </w:rPr>
              <w:t>Saldo a 31/12/2022</w:t>
            </w:r>
          </w:p>
        </w:tc>
        <w:tc>
          <w:tcPr>
            <w:tcW w:w="151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b/>
                <w:bCs/>
                <w:color w:val="000000"/>
                <w:sz w:val="18"/>
                <w:szCs w:val="18"/>
                <w:lang w:val="es-ES"/>
              </w:rPr>
            </w:pPr>
            <w:r w:rsidRPr="009E6275">
              <w:rPr>
                <w:rFonts w:ascii="Lucida Bright" w:hAnsi="Lucida Bright" w:cs="Calibri"/>
                <w:b/>
                <w:bCs/>
                <w:color w:val="000000"/>
                <w:sz w:val="18"/>
                <w:szCs w:val="18"/>
                <w:lang w:val="es-ES"/>
              </w:rPr>
              <w:t xml:space="preserve">892.211,33  </w:t>
            </w:r>
          </w:p>
        </w:tc>
      </w:tr>
      <w:tr w:rsidR="009E6275" w:rsidRPr="009E6275" w:rsidTr="009E6275">
        <w:trPr>
          <w:trHeight w:val="300"/>
        </w:trPr>
        <w:tc>
          <w:tcPr>
            <w:tcW w:w="4372" w:type="dxa"/>
            <w:gridSpan w:val="2"/>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Reclasificaciones de inmovilizado en curso</w:t>
            </w: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359.952,03  </w:t>
            </w:r>
          </w:p>
        </w:tc>
      </w:tr>
      <w:tr w:rsidR="009E6275" w:rsidRPr="009E6275" w:rsidTr="009E6275">
        <w:trPr>
          <w:trHeight w:val="300"/>
        </w:trPr>
        <w:tc>
          <w:tcPr>
            <w:tcW w:w="4372" w:type="dxa"/>
            <w:gridSpan w:val="2"/>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Reclasificaciones a gastos</w:t>
            </w: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(0,26)  </w:t>
            </w:r>
          </w:p>
        </w:tc>
      </w:tr>
      <w:tr w:rsidR="009E6275" w:rsidRPr="009E6275" w:rsidTr="009E6275">
        <w:trPr>
          <w:trHeight w:val="300"/>
        </w:trPr>
        <w:tc>
          <w:tcPr>
            <w:tcW w:w="2856" w:type="dxa"/>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 Retiros y bajas </w:t>
            </w:r>
          </w:p>
        </w:tc>
        <w:tc>
          <w:tcPr>
            <w:tcW w:w="151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(2.054.486,07)  </w:t>
            </w:r>
          </w:p>
        </w:tc>
      </w:tr>
      <w:tr w:rsidR="009E6275" w:rsidRPr="009E6275" w:rsidTr="009E6275">
        <w:trPr>
          <w:trHeight w:val="300"/>
        </w:trPr>
        <w:tc>
          <w:tcPr>
            <w:tcW w:w="2856" w:type="dxa"/>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Amortización del ejercicio</w:t>
            </w:r>
          </w:p>
        </w:tc>
        <w:tc>
          <w:tcPr>
            <w:tcW w:w="151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(519.548,51)  </w:t>
            </w:r>
          </w:p>
        </w:tc>
      </w:tr>
      <w:tr w:rsidR="009E6275" w:rsidRPr="009E6275" w:rsidTr="009E6275">
        <w:trPr>
          <w:trHeight w:val="300"/>
        </w:trPr>
        <w:tc>
          <w:tcPr>
            <w:tcW w:w="4372" w:type="dxa"/>
            <w:gridSpan w:val="2"/>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 Amortización </w:t>
            </w:r>
            <w:proofErr w:type="spellStart"/>
            <w:r w:rsidRPr="009E6275">
              <w:rPr>
                <w:rFonts w:ascii="Lucida Bright" w:hAnsi="Lucida Bright" w:cs="Calibri"/>
                <w:color w:val="000000"/>
                <w:sz w:val="18"/>
                <w:szCs w:val="18"/>
                <w:lang w:val="es-ES"/>
              </w:rPr>
              <w:t>acda</w:t>
            </w:r>
            <w:proofErr w:type="spellEnd"/>
            <w:r w:rsidRPr="009E6275">
              <w:rPr>
                <w:rFonts w:ascii="Lucida Bright" w:hAnsi="Lucida Bright" w:cs="Calibri"/>
                <w:color w:val="000000"/>
                <w:sz w:val="18"/>
                <w:szCs w:val="18"/>
                <w:lang w:val="es-ES"/>
              </w:rPr>
              <w:t xml:space="preserve"> de retiros y bajas</w:t>
            </w: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2.054.486,07  </w:t>
            </w:r>
          </w:p>
        </w:tc>
      </w:tr>
      <w:tr w:rsidR="009E6275" w:rsidRPr="009E6275" w:rsidTr="009E6275">
        <w:trPr>
          <w:trHeight w:val="300"/>
        </w:trPr>
        <w:tc>
          <w:tcPr>
            <w:tcW w:w="4372" w:type="dxa"/>
            <w:gridSpan w:val="2"/>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 Reclasificaciones de la amortización </w:t>
            </w:r>
            <w:proofErr w:type="spellStart"/>
            <w:r w:rsidRPr="009E6275">
              <w:rPr>
                <w:rFonts w:ascii="Lucida Bright" w:hAnsi="Lucida Bright" w:cs="Calibri"/>
                <w:color w:val="000000"/>
                <w:sz w:val="18"/>
                <w:szCs w:val="18"/>
                <w:lang w:val="es-ES"/>
              </w:rPr>
              <w:t>acda</w:t>
            </w:r>
            <w:proofErr w:type="spellEnd"/>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0,14  </w:t>
            </w:r>
          </w:p>
        </w:tc>
      </w:tr>
      <w:tr w:rsidR="009E6275" w:rsidRPr="009E6275" w:rsidTr="009E6275">
        <w:trPr>
          <w:trHeight w:val="300"/>
        </w:trPr>
        <w:tc>
          <w:tcPr>
            <w:tcW w:w="2856" w:type="dxa"/>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b/>
                <w:bCs/>
                <w:color w:val="000000"/>
                <w:sz w:val="18"/>
                <w:szCs w:val="18"/>
                <w:lang w:val="es-ES"/>
              </w:rPr>
            </w:pPr>
            <w:r w:rsidRPr="009E6275">
              <w:rPr>
                <w:rFonts w:ascii="Lucida Bright" w:hAnsi="Lucida Bright" w:cs="Calibri"/>
                <w:b/>
                <w:bCs/>
                <w:color w:val="000000"/>
                <w:sz w:val="18"/>
                <w:szCs w:val="18"/>
                <w:lang w:val="es-ES"/>
              </w:rPr>
              <w:t>Saldo a 31/12/2023</w:t>
            </w:r>
          </w:p>
        </w:tc>
        <w:tc>
          <w:tcPr>
            <w:tcW w:w="151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b/>
                <w:bCs/>
                <w:color w:val="000000"/>
                <w:sz w:val="18"/>
                <w:szCs w:val="18"/>
                <w:lang w:val="es-ES"/>
              </w:rPr>
            </w:pPr>
            <w:r w:rsidRPr="009E6275">
              <w:rPr>
                <w:rFonts w:ascii="Lucida Bright" w:hAnsi="Lucida Bright" w:cs="Calibri"/>
                <w:b/>
                <w:bCs/>
                <w:color w:val="000000"/>
                <w:sz w:val="18"/>
                <w:szCs w:val="18"/>
                <w:lang w:val="es-ES"/>
              </w:rPr>
              <w:t xml:space="preserve">732.614,73  </w:t>
            </w:r>
          </w:p>
        </w:tc>
      </w:tr>
      <w:tr w:rsidR="009E6275" w:rsidRPr="009E6275" w:rsidTr="009E6275">
        <w:trPr>
          <w:trHeight w:val="300"/>
        </w:trPr>
        <w:tc>
          <w:tcPr>
            <w:tcW w:w="2856" w:type="dxa"/>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color w:val="000000"/>
                <w:sz w:val="18"/>
                <w:szCs w:val="18"/>
                <w:lang w:val="es-ES"/>
              </w:rPr>
            </w:pPr>
          </w:p>
        </w:tc>
        <w:tc>
          <w:tcPr>
            <w:tcW w:w="151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r>
      <w:tr w:rsidR="009E6275" w:rsidRPr="009E6275" w:rsidTr="009E6275">
        <w:trPr>
          <w:trHeight w:val="300"/>
        </w:trPr>
        <w:tc>
          <w:tcPr>
            <w:tcW w:w="2856" w:type="dxa"/>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b/>
                <w:bCs/>
                <w:color w:val="000000"/>
                <w:sz w:val="18"/>
                <w:szCs w:val="18"/>
                <w:lang w:val="es-ES"/>
              </w:rPr>
            </w:pPr>
            <w:r w:rsidRPr="009E6275">
              <w:rPr>
                <w:rFonts w:ascii="Lucida Bright" w:hAnsi="Lucida Bright" w:cs="Calibri"/>
                <w:b/>
                <w:bCs/>
                <w:color w:val="000000"/>
                <w:sz w:val="18"/>
                <w:szCs w:val="18"/>
                <w:lang w:val="es-ES"/>
              </w:rPr>
              <w:t>Saldo a 31/12/2021</w:t>
            </w:r>
          </w:p>
        </w:tc>
        <w:tc>
          <w:tcPr>
            <w:tcW w:w="151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b/>
                <w:bCs/>
                <w:color w:val="000000"/>
                <w:sz w:val="18"/>
                <w:szCs w:val="18"/>
                <w:lang w:val="es-ES"/>
              </w:rPr>
            </w:pPr>
            <w:r w:rsidRPr="009E6275">
              <w:rPr>
                <w:rFonts w:ascii="Lucida Bright" w:hAnsi="Lucida Bright" w:cs="Calibri"/>
                <w:b/>
                <w:bCs/>
                <w:color w:val="000000"/>
                <w:sz w:val="18"/>
                <w:szCs w:val="18"/>
                <w:lang w:val="es-ES"/>
              </w:rPr>
              <w:t xml:space="preserve">1.198.822,61  </w:t>
            </w:r>
          </w:p>
        </w:tc>
      </w:tr>
      <w:tr w:rsidR="009E6275" w:rsidRPr="009E6275" w:rsidTr="009E6275">
        <w:trPr>
          <w:trHeight w:val="300"/>
        </w:trPr>
        <w:tc>
          <w:tcPr>
            <w:tcW w:w="2856" w:type="dxa"/>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Reclasificaciones</w:t>
            </w:r>
          </w:p>
        </w:tc>
        <w:tc>
          <w:tcPr>
            <w:tcW w:w="151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119.074,17  </w:t>
            </w:r>
          </w:p>
        </w:tc>
      </w:tr>
      <w:tr w:rsidR="009E6275" w:rsidRPr="009E6275" w:rsidTr="009E6275">
        <w:trPr>
          <w:trHeight w:val="300"/>
        </w:trPr>
        <w:tc>
          <w:tcPr>
            <w:tcW w:w="2856" w:type="dxa"/>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Amortización del ejercicio</w:t>
            </w:r>
          </w:p>
        </w:tc>
        <w:tc>
          <w:tcPr>
            <w:tcW w:w="151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color w:val="000000"/>
                <w:sz w:val="18"/>
                <w:szCs w:val="18"/>
                <w:lang w:val="es-ES"/>
              </w:rPr>
            </w:pPr>
            <w:r w:rsidRPr="009E6275">
              <w:rPr>
                <w:rFonts w:ascii="Lucida Bright" w:hAnsi="Lucida Bright" w:cs="Calibri"/>
                <w:color w:val="000000"/>
                <w:sz w:val="18"/>
                <w:szCs w:val="18"/>
                <w:lang w:val="es-ES"/>
              </w:rPr>
              <w:t xml:space="preserve">(425.685,45)  </w:t>
            </w:r>
          </w:p>
        </w:tc>
      </w:tr>
      <w:tr w:rsidR="009E6275" w:rsidRPr="009E6275" w:rsidTr="009E6275">
        <w:trPr>
          <w:trHeight w:val="300"/>
        </w:trPr>
        <w:tc>
          <w:tcPr>
            <w:tcW w:w="2856" w:type="dxa"/>
            <w:tcBorders>
              <w:top w:val="nil"/>
              <w:left w:val="nil"/>
              <w:bottom w:val="nil"/>
              <w:right w:val="nil"/>
            </w:tcBorders>
            <w:shd w:val="clear" w:color="auto" w:fill="auto"/>
            <w:noWrap/>
            <w:vAlign w:val="bottom"/>
            <w:hideMark/>
          </w:tcPr>
          <w:p w:rsidR="009E6275" w:rsidRPr="009E6275" w:rsidRDefault="009E6275" w:rsidP="009E6275">
            <w:pPr>
              <w:rPr>
                <w:rFonts w:ascii="Lucida Bright" w:hAnsi="Lucida Bright" w:cs="Calibri"/>
                <w:b/>
                <w:bCs/>
                <w:color w:val="000000"/>
                <w:sz w:val="18"/>
                <w:szCs w:val="18"/>
                <w:lang w:val="es-ES"/>
              </w:rPr>
            </w:pPr>
            <w:r w:rsidRPr="009E6275">
              <w:rPr>
                <w:rFonts w:ascii="Lucida Bright" w:hAnsi="Lucida Bright" w:cs="Calibri"/>
                <w:b/>
                <w:bCs/>
                <w:color w:val="000000"/>
                <w:sz w:val="18"/>
                <w:szCs w:val="18"/>
                <w:lang w:val="es-ES"/>
              </w:rPr>
              <w:t>Saldo a 31/12/2022</w:t>
            </w:r>
          </w:p>
        </w:tc>
        <w:tc>
          <w:tcPr>
            <w:tcW w:w="1516" w:type="dxa"/>
            <w:tcBorders>
              <w:top w:val="nil"/>
              <w:left w:val="nil"/>
              <w:bottom w:val="nil"/>
              <w:right w:val="nil"/>
            </w:tcBorders>
            <w:shd w:val="clear" w:color="auto" w:fill="auto"/>
            <w:noWrap/>
            <w:vAlign w:val="bottom"/>
            <w:hideMark/>
          </w:tcPr>
          <w:p w:rsidR="009E6275" w:rsidRPr="009E6275" w:rsidRDefault="009E6275" w:rsidP="009E6275">
            <w:pPr>
              <w:rPr>
                <w:rFonts w:ascii="Calibri" w:hAnsi="Calibri" w:cs="Calibri"/>
                <w:color w:val="000000"/>
                <w:sz w:val="22"/>
                <w:szCs w:val="22"/>
                <w:lang w:val="es-ES"/>
              </w:rPr>
            </w:pPr>
          </w:p>
        </w:tc>
        <w:tc>
          <w:tcPr>
            <w:tcW w:w="1656" w:type="dxa"/>
            <w:tcBorders>
              <w:top w:val="nil"/>
              <w:left w:val="nil"/>
              <w:bottom w:val="nil"/>
              <w:right w:val="nil"/>
            </w:tcBorders>
            <w:shd w:val="clear" w:color="auto" w:fill="auto"/>
            <w:noWrap/>
            <w:vAlign w:val="bottom"/>
            <w:hideMark/>
          </w:tcPr>
          <w:p w:rsidR="009E6275" w:rsidRPr="009E6275" w:rsidRDefault="009E6275" w:rsidP="009E6275">
            <w:pPr>
              <w:jc w:val="right"/>
              <w:rPr>
                <w:rFonts w:ascii="Lucida Bright" w:hAnsi="Lucida Bright" w:cs="Calibri"/>
                <w:b/>
                <w:bCs/>
                <w:color w:val="000000"/>
                <w:sz w:val="18"/>
                <w:szCs w:val="18"/>
                <w:lang w:val="es-ES"/>
              </w:rPr>
            </w:pPr>
            <w:r w:rsidRPr="009E6275">
              <w:rPr>
                <w:rFonts w:ascii="Lucida Bright" w:hAnsi="Lucida Bright" w:cs="Calibri"/>
                <w:b/>
                <w:bCs/>
                <w:color w:val="000000"/>
                <w:sz w:val="18"/>
                <w:szCs w:val="18"/>
                <w:lang w:val="es-ES"/>
              </w:rPr>
              <w:t xml:space="preserve">892.211,33  </w:t>
            </w:r>
          </w:p>
        </w:tc>
      </w:tr>
    </w:tbl>
    <w:p w:rsidR="006574F8" w:rsidRPr="009B0DDE" w:rsidRDefault="006574F8"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p>
    <w:p w:rsidR="00CF6C70" w:rsidRPr="003E004A" w:rsidRDefault="00CF6C70" w:rsidP="003E055E">
      <w:pPr>
        <w:pStyle w:val="Sangradetextonormal"/>
        <w:tabs>
          <w:tab w:val="clear" w:pos="8364"/>
          <w:tab w:val="center" w:pos="5671"/>
          <w:tab w:val="center" w:pos="7797"/>
        </w:tabs>
        <w:overflowPunct/>
        <w:autoSpaceDE/>
        <w:autoSpaceDN/>
        <w:adjustRightInd/>
        <w:textAlignment w:val="auto"/>
        <w:rPr>
          <w:sz w:val="20"/>
        </w:rPr>
      </w:pPr>
    </w:p>
    <w:p w:rsidR="00FD1B8E" w:rsidRDefault="00FD1B8E" w:rsidP="003E055E">
      <w:pPr>
        <w:tabs>
          <w:tab w:val="left" w:pos="4395"/>
        </w:tabs>
        <w:ind w:left="709" w:hanging="142"/>
        <w:jc w:val="both"/>
        <w:rPr>
          <w:b/>
          <w:color w:val="FF0000"/>
          <w:sz w:val="24"/>
        </w:rPr>
      </w:pPr>
    </w:p>
    <w:p w:rsidR="00E928C6" w:rsidRDefault="00E521C2" w:rsidP="003E055E">
      <w:pPr>
        <w:pStyle w:val="Sangradetextonormal"/>
        <w:tabs>
          <w:tab w:val="clear" w:pos="8364"/>
          <w:tab w:val="center" w:pos="5671"/>
          <w:tab w:val="center" w:pos="7797"/>
        </w:tabs>
        <w:overflowPunct/>
        <w:autoSpaceDE/>
        <w:autoSpaceDN/>
        <w:adjustRightInd/>
        <w:textAlignment w:val="auto"/>
        <w:rPr>
          <w:rFonts w:ascii="NewBaskerville" w:hAnsi="NewBaskerville"/>
          <w:bCs/>
          <w:sz w:val="20"/>
        </w:rPr>
      </w:pPr>
      <w:r>
        <w:rPr>
          <w:rFonts w:ascii="NewBaskerville" w:hAnsi="NewBaskerville"/>
          <w:bCs/>
          <w:sz w:val="20"/>
        </w:rPr>
        <w:t xml:space="preserve">En el ejercicio 2023 se han dado de baja por </w:t>
      </w:r>
      <w:r w:rsidR="00DD448C">
        <w:rPr>
          <w:rFonts w:ascii="NewBaskerville" w:hAnsi="NewBaskerville"/>
          <w:bCs/>
          <w:sz w:val="20"/>
        </w:rPr>
        <w:t>obsolescencia</w:t>
      </w:r>
      <w:r>
        <w:rPr>
          <w:rFonts w:ascii="NewBaskerville" w:hAnsi="NewBaskerville"/>
          <w:bCs/>
          <w:sz w:val="20"/>
        </w:rPr>
        <w:t xml:space="preserve"> y fuera de uso aplicaciones informáticas totalmente amortizadas, cuyo precio de adquisición y amortización acumulada ascendían a 2.054.486,07 euros.</w:t>
      </w:r>
    </w:p>
    <w:p w:rsidR="00E521C2" w:rsidRDefault="00E521C2" w:rsidP="003E055E">
      <w:pPr>
        <w:pStyle w:val="Sangradetextonormal"/>
        <w:tabs>
          <w:tab w:val="clear" w:pos="8364"/>
          <w:tab w:val="center" w:pos="5671"/>
          <w:tab w:val="center" w:pos="7797"/>
        </w:tabs>
        <w:overflowPunct/>
        <w:autoSpaceDE/>
        <w:autoSpaceDN/>
        <w:adjustRightInd/>
        <w:textAlignment w:val="auto"/>
        <w:rPr>
          <w:rFonts w:ascii="NewBaskerville" w:hAnsi="NewBaskerville"/>
          <w:bCs/>
          <w:sz w:val="20"/>
        </w:rPr>
      </w:pPr>
    </w:p>
    <w:p w:rsidR="00381A73" w:rsidRPr="008D6C60" w:rsidRDefault="002C4355" w:rsidP="003E055E">
      <w:pPr>
        <w:pStyle w:val="Sangradetextonormal"/>
        <w:tabs>
          <w:tab w:val="clear" w:pos="8364"/>
          <w:tab w:val="center" w:pos="5671"/>
          <w:tab w:val="center" w:pos="7797"/>
        </w:tabs>
        <w:overflowPunct/>
        <w:autoSpaceDE/>
        <w:autoSpaceDN/>
        <w:adjustRightInd/>
        <w:textAlignment w:val="auto"/>
        <w:rPr>
          <w:rFonts w:ascii="NewBaskerville" w:hAnsi="NewBaskerville"/>
          <w:sz w:val="20"/>
        </w:rPr>
      </w:pPr>
      <w:r w:rsidRPr="008D6C60">
        <w:rPr>
          <w:rFonts w:ascii="NewBaskerville" w:hAnsi="NewBaskerville"/>
          <w:sz w:val="20"/>
        </w:rPr>
        <w:t>Existen bienes totalm</w:t>
      </w:r>
      <w:r w:rsidR="00160B53" w:rsidRPr="008D6C60">
        <w:rPr>
          <w:rFonts w:ascii="NewBaskerville" w:hAnsi="NewBaskerville"/>
          <w:sz w:val="20"/>
        </w:rPr>
        <w:t xml:space="preserve">ente amortizados por importe de </w:t>
      </w:r>
      <w:r w:rsidR="00E521C2">
        <w:rPr>
          <w:rFonts w:ascii="NewBaskerville" w:hAnsi="NewBaskerville"/>
          <w:sz w:val="20"/>
        </w:rPr>
        <w:t>1</w:t>
      </w:r>
      <w:r w:rsidR="00321ECE" w:rsidRPr="008D6C60">
        <w:rPr>
          <w:rFonts w:ascii="NewBaskerville" w:hAnsi="NewBaskerville"/>
          <w:sz w:val="20"/>
        </w:rPr>
        <w:t>.</w:t>
      </w:r>
      <w:r w:rsidR="00E521C2">
        <w:rPr>
          <w:rFonts w:ascii="NewBaskerville" w:hAnsi="NewBaskerville"/>
          <w:sz w:val="20"/>
        </w:rPr>
        <w:t>482</w:t>
      </w:r>
      <w:r w:rsidR="00321ECE" w:rsidRPr="008D6C60">
        <w:rPr>
          <w:rFonts w:ascii="NewBaskerville" w:hAnsi="NewBaskerville"/>
          <w:sz w:val="20"/>
        </w:rPr>
        <w:t>.</w:t>
      </w:r>
      <w:r w:rsidR="00E521C2">
        <w:rPr>
          <w:rFonts w:ascii="NewBaskerville" w:hAnsi="NewBaskerville"/>
          <w:sz w:val="20"/>
        </w:rPr>
        <w:t>641</w:t>
      </w:r>
      <w:r w:rsidR="00321ECE" w:rsidRPr="008D6C60">
        <w:rPr>
          <w:rFonts w:ascii="NewBaskerville" w:hAnsi="NewBaskerville"/>
          <w:sz w:val="20"/>
        </w:rPr>
        <w:t>,</w:t>
      </w:r>
      <w:r w:rsidR="00E521C2">
        <w:rPr>
          <w:rFonts w:ascii="NewBaskerville" w:hAnsi="NewBaskerville"/>
          <w:sz w:val="20"/>
        </w:rPr>
        <w:t>81</w:t>
      </w:r>
      <w:r w:rsidR="00321ECE" w:rsidRPr="008D6C60">
        <w:rPr>
          <w:rFonts w:ascii="NewBaskerville" w:hAnsi="NewBaskerville"/>
          <w:sz w:val="20"/>
        </w:rPr>
        <w:t xml:space="preserve"> </w:t>
      </w:r>
      <w:r w:rsidRPr="008D6C60">
        <w:rPr>
          <w:rFonts w:ascii="NewBaskerville" w:hAnsi="NewBaskerville"/>
          <w:sz w:val="20"/>
        </w:rPr>
        <w:t xml:space="preserve">euros. El ejercicio anterior los bienes totalmente amortizados ascendían a un total de </w:t>
      </w:r>
      <w:r w:rsidR="00321ECE" w:rsidRPr="008D6C60">
        <w:rPr>
          <w:rFonts w:ascii="NewBaskerville" w:hAnsi="NewBaskerville"/>
          <w:sz w:val="20"/>
        </w:rPr>
        <w:t>2.</w:t>
      </w:r>
      <w:r w:rsidR="00E521C2">
        <w:rPr>
          <w:rFonts w:ascii="NewBaskerville" w:hAnsi="NewBaskerville"/>
          <w:sz w:val="20"/>
        </w:rPr>
        <w:t>962</w:t>
      </w:r>
      <w:r w:rsidR="00321ECE" w:rsidRPr="008D6C60">
        <w:rPr>
          <w:rFonts w:ascii="NewBaskerville" w:hAnsi="NewBaskerville"/>
          <w:sz w:val="20"/>
        </w:rPr>
        <w:t>.</w:t>
      </w:r>
      <w:r w:rsidR="00E521C2">
        <w:rPr>
          <w:rFonts w:ascii="NewBaskerville" w:hAnsi="NewBaskerville"/>
          <w:sz w:val="20"/>
        </w:rPr>
        <w:t>311</w:t>
      </w:r>
      <w:r w:rsidR="00321ECE" w:rsidRPr="008D6C60">
        <w:rPr>
          <w:rFonts w:ascii="NewBaskerville" w:hAnsi="NewBaskerville"/>
          <w:sz w:val="20"/>
        </w:rPr>
        <w:t>,</w:t>
      </w:r>
      <w:r w:rsidR="00E521C2">
        <w:rPr>
          <w:rFonts w:ascii="NewBaskerville" w:hAnsi="NewBaskerville"/>
          <w:sz w:val="20"/>
        </w:rPr>
        <w:t>1</w:t>
      </w:r>
      <w:r w:rsidR="00321ECE" w:rsidRPr="008D6C60">
        <w:rPr>
          <w:rFonts w:ascii="NewBaskerville" w:hAnsi="NewBaskerville"/>
          <w:sz w:val="20"/>
        </w:rPr>
        <w:t xml:space="preserve">2 </w:t>
      </w:r>
      <w:r w:rsidR="00ED0577" w:rsidRPr="008D6C60">
        <w:rPr>
          <w:rFonts w:ascii="NewBaskerville" w:hAnsi="NewBaskerville"/>
          <w:sz w:val="20"/>
        </w:rPr>
        <w:t>euros</w:t>
      </w:r>
      <w:r w:rsidRPr="008D6C60">
        <w:rPr>
          <w:rFonts w:ascii="NewBaskerville" w:hAnsi="NewBaskerville"/>
          <w:sz w:val="20"/>
        </w:rPr>
        <w:t>.</w:t>
      </w:r>
    </w:p>
    <w:p w:rsidR="00462BE1" w:rsidRPr="003E004A" w:rsidRDefault="00462BE1" w:rsidP="003E055E">
      <w:pPr>
        <w:pStyle w:val="Sangradetextonormal"/>
        <w:tabs>
          <w:tab w:val="clear" w:pos="8364"/>
          <w:tab w:val="center" w:pos="5671"/>
          <w:tab w:val="center" w:pos="7797"/>
        </w:tabs>
        <w:overflowPunct/>
        <w:autoSpaceDE/>
        <w:autoSpaceDN/>
        <w:adjustRightInd/>
        <w:textAlignment w:val="auto"/>
        <w:rPr>
          <w:sz w:val="20"/>
        </w:rPr>
      </w:pPr>
    </w:p>
    <w:p w:rsidR="002C4355" w:rsidRDefault="005B6067" w:rsidP="00B607D8">
      <w:pPr>
        <w:tabs>
          <w:tab w:val="left" w:leader="dot" w:pos="4395"/>
        </w:tabs>
        <w:ind w:firstLine="709"/>
        <w:jc w:val="both"/>
        <w:rPr>
          <w:rFonts w:ascii="NewBaskerville" w:hAnsi="NewBaskerville"/>
          <w:bCs/>
          <w:color w:val="FF0000"/>
        </w:rPr>
      </w:pPr>
      <w:r w:rsidRPr="008D6C60">
        <w:rPr>
          <w:rFonts w:ascii="NewBaskerville" w:hAnsi="NewBaskerville"/>
          <w:bCs/>
        </w:rPr>
        <w:t>A 31 de diciembre del 2</w:t>
      </w:r>
      <w:r w:rsidR="00321ECE" w:rsidRPr="008D6C60">
        <w:rPr>
          <w:rFonts w:ascii="NewBaskerville" w:hAnsi="NewBaskerville"/>
          <w:bCs/>
        </w:rPr>
        <w:t>02</w:t>
      </w:r>
      <w:r w:rsidR="00E928C6">
        <w:rPr>
          <w:rFonts w:ascii="NewBaskerville" w:hAnsi="NewBaskerville"/>
          <w:bCs/>
        </w:rPr>
        <w:t>3</w:t>
      </w:r>
      <w:r w:rsidR="00321ECE" w:rsidRPr="008D6C60">
        <w:rPr>
          <w:rFonts w:ascii="NewBaskerville" w:hAnsi="NewBaskerville"/>
          <w:bCs/>
        </w:rPr>
        <w:t xml:space="preserve"> y 202</w:t>
      </w:r>
      <w:r w:rsidR="00E928C6">
        <w:rPr>
          <w:rFonts w:ascii="NewBaskerville" w:hAnsi="NewBaskerville"/>
          <w:bCs/>
        </w:rPr>
        <w:t>2</w:t>
      </w:r>
      <w:r w:rsidR="00FD65D8" w:rsidRPr="008D6C60">
        <w:rPr>
          <w:rFonts w:ascii="NewBaskerville" w:hAnsi="NewBaskerville"/>
          <w:bCs/>
        </w:rPr>
        <w:t xml:space="preserve"> no existen </w:t>
      </w:r>
      <w:r w:rsidR="00764B1E" w:rsidRPr="008D6C60">
        <w:rPr>
          <w:rFonts w:ascii="NewBaskerville" w:hAnsi="NewBaskerville"/>
          <w:bCs/>
        </w:rPr>
        <w:t>i</w:t>
      </w:r>
      <w:r w:rsidR="00FD65D8" w:rsidRPr="008D6C60">
        <w:rPr>
          <w:rFonts w:ascii="NewBaskerville" w:hAnsi="NewBaskerville"/>
          <w:bCs/>
        </w:rPr>
        <w:t>ndicios de deteri</w:t>
      </w:r>
      <w:r w:rsidR="00B607D8" w:rsidRPr="008D6C60">
        <w:rPr>
          <w:rFonts w:ascii="NewBaskerville" w:hAnsi="NewBaskerville"/>
          <w:bCs/>
        </w:rPr>
        <w:t>oro de inmovilizado intangible</w:t>
      </w:r>
      <w:r w:rsidR="00B607D8" w:rsidRPr="008D6C60">
        <w:rPr>
          <w:rFonts w:ascii="NewBaskerville" w:hAnsi="NewBaskerville"/>
          <w:bCs/>
          <w:color w:val="FF0000"/>
        </w:rPr>
        <w:t>.</w:t>
      </w:r>
    </w:p>
    <w:p w:rsidR="008D6C60" w:rsidRDefault="008D6C60" w:rsidP="00B607D8">
      <w:pPr>
        <w:tabs>
          <w:tab w:val="left" w:leader="dot" w:pos="4395"/>
        </w:tabs>
        <w:ind w:firstLine="709"/>
        <w:jc w:val="both"/>
        <w:rPr>
          <w:rFonts w:ascii="NewBaskerville" w:hAnsi="NewBaskerville"/>
          <w:bCs/>
          <w:color w:val="FF0000"/>
        </w:rPr>
      </w:pPr>
    </w:p>
    <w:p w:rsidR="008D6C60" w:rsidRDefault="008D6C60" w:rsidP="00B607D8">
      <w:pPr>
        <w:tabs>
          <w:tab w:val="left" w:leader="dot" w:pos="4395"/>
        </w:tabs>
        <w:ind w:firstLine="709"/>
        <w:jc w:val="both"/>
        <w:rPr>
          <w:rFonts w:ascii="NewBaskerville" w:hAnsi="NewBaskerville"/>
          <w:bCs/>
        </w:rPr>
      </w:pPr>
      <w:r>
        <w:rPr>
          <w:rFonts w:ascii="NewBaskerville" w:hAnsi="NewBaskerville"/>
          <w:bCs/>
        </w:rPr>
        <w:t>Los cuadros de movimientos del inmovilizado intangible durante los ejercicios 202</w:t>
      </w:r>
      <w:r w:rsidR="00F93CE1">
        <w:rPr>
          <w:rFonts w:ascii="NewBaskerville" w:hAnsi="NewBaskerville"/>
          <w:bCs/>
        </w:rPr>
        <w:t>3</w:t>
      </w:r>
      <w:r>
        <w:rPr>
          <w:rFonts w:ascii="NewBaskerville" w:hAnsi="NewBaskerville"/>
          <w:bCs/>
        </w:rPr>
        <w:t xml:space="preserve"> y 202</w:t>
      </w:r>
      <w:r w:rsidR="00F93CE1">
        <w:rPr>
          <w:rFonts w:ascii="NewBaskerville" w:hAnsi="NewBaskerville"/>
          <w:bCs/>
        </w:rPr>
        <w:t>2</w:t>
      </w:r>
      <w:r>
        <w:rPr>
          <w:rFonts w:ascii="NewBaskerville" w:hAnsi="NewBaskerville"/>
          <w:bCs/>
        </w:rPr>
        <w:t>, así como el de su amortización, vienen detallados en los cuadros adjuntos desglosados por cada epígrafe. Las altas del inmovilizado intangible proceden de reclasificaciones de inmovilizado en curso.</w:t>
      </w:r>
    </w:p>
    <w:p w:rsidR="00F93CE1" w:rsidRDefault="00F93CE1" w:rsidP="00B607D8">
      <w:pPr>
        <w:tabs>
          <w:tab w:val="left" w:leader="dot" w:pos="4395"/>
        </w:tabs>
        <w:ind w:firstLine="709"/>
        <w:jc w:val="both"/>
        <w:rPr>
          <w:rFonts w:ascii="NewBaskerville" w:hAnsi="NewBaskerville"/>
          <w:bCs/>
        </w:rPr>
      </w:pPr>
    </w:p>
    <w:p w:rsidR="00F93CE1" w:rsidRDefault="00F93CE1" w:rsidP="00B607D8">
      <w:pPr>
        <w:tabs>
          <w:tab w:val="left" w:leader="dot" w:pos="4395"/>
        </w:tabs>
        <w:ind w:firstLine="709"/>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1393"/>
        <w:gridCol w:w="1451"/>
        <w:gridCol w:w="1450"/>
        <w:gridCol w:w="1450"/>
        <w:gridCol w:w="1450"/>
        <w:gridCol w:w="1450"/>
      </w:tblGrid>
      <w:tr w:rsidR="008D6125" w:rsidRPr="008D6125" w:rsidTr="008D6125">
        <w:trPr>
          <w:trHeight w:val="555"/>
        </w:trPr>
        <w:tc>
          <w:tcPr>
            <w:tcW w:w="805"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INMOVILIZADO INTANGIBLE</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Saldo a</w:t>
            </w:r>
            <w:r w:rsidRPr="008D6125">
              <w:rPr>
                <w:rFonts w:ascii="Lucida Bright" w:hAnsi="Lucida Bright" w:cs="Calibri"/>
                <w:b/>
                <w:bCs/>
                <w:color w:val="000000"/>
                <w:sz w:val="14"/>
                <w:szCs w:val="14"/>
                <w:lang w:val="es-ES"/>
              </w:rPr>
              <w:br/>
              <w:t>31-12-22</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Adquisiciones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Ventas, retiros</w:t>
            </w:r>
            <w:r w:rsidRPr="008D6125">
              <w:rPr>
                <w:rFonts w:ascii="Lucida Bright" w:hAnsi="Lucida Bright" w:cs="Calibri"/>
                <w:b/>
                <w:bCs/>
                <w:color w:val="000000"/>
                <w:sz w:val="14"/>
                <w:szCs w:val="14"/>
                <w:lang w:val="es-ES"/>
              </w:rPr>
              <w:br/>
              <w:t>y bajas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Reclasificaciones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Saldo a</w:t>
            </w:r>
            <w:r w:rsidRPr="008D6125">
              <w:rPr>
                <w:rFonts w:ascii="Lucida Bright" w:hAnsi="Lucida Bright" w:cs="Calibri"/>
                <w:b/>
                <w:bCs/>
                <w:color w:val="000000"/>
                <w:sz w:val="14"/>
                <w:szCs w:val="14"/>
                <w:lang w:val="es-ES"/>
              </w:rPr>
              <w:br/>
              <w:t>31-12-23</w:t>
            </w:r>
          </w:p>
        </w:tc>
      </w:tr>
      <w:tr w:rsidR="008D6125" w:rsidRPr="008D6125" w:rsidTr="008D6125">
        <w:trPr>
          <w:trHeight w:val="390"/>
        </w:trPr>
        <w:tc>
          <w:tcPr>
            <w:tcW w:w="805" w:type="pct"/>
            <w:tcBorders>
              <w:top w:val="nil"/>
              <w:left w:val="single" w:sz="8" w:space="0" w:color="auto"/>
              <w:bottom w:val="single" w:sz="4" w:space="0" w:color="auto"/>
              <w:right w:val="single" w:sz="4" w:space="0" w:color="auto"/>
            </w:tcBorders>
            <w:shd w:val="clear" w:color="auto" w:fill="auto"/>
            <w:vAlign w:val="center"/>
            <w:hideMark/>
          </w:tcPr>
          <w:p w:rsidR="008D6125" w:rsidRPr="008D6125" w:rsidRDefault="008D6125" w:rsidP="008D6125">
            <w:pPr>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 Propiedad industrial</w:t>
            </w:r>
          </w:p>
        </w:tc>
        <w:tc>
          <w:tcPr>
            <w:tcW w:w="83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15.000,00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nil"/>
              <w:left w:val="single" w:sz="4" w:space="0" w:color="auto"/>
              <w:bottom w:val="nil"/>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15.000,00</w:t>
            </w:r>
          </w:p>
        </w:tc>
      </w:tr>
      <w:tr w:rsidR="008D6125" w:rsidRPr="008D6125" w:rsidTr="008D6125">
        <w:trPr>
          <w:trHeight w:val="390"/>
        </w:trPr>
        <w:tc>
          <w:tcPr>
            <w:tcW w:w="805" w:type="pct"/>
            <w:tcBorders>
              <w:top w:val="nil"/>
              <w:left w:val="single" w:sz="8" w:space="0" w:color="auto"/>
              <w:bottom w:val="nil"/>
              <w:right w:val="single" w:sz="4" w:space="0" w:color="auto"/>
            </w:tcBorders>
            <w:shd w:val="clear" w:color="auto" w:fill="auto"/>
            <w:vAlign w:val="center"/>
            <w:hideMark/>
          </w:tcPr>
          <w:p w:rsidR="008D6125" w:rsidRPr="008D6125" w:rsidRDefault="008D6125" w:rsidP="008D6125">
            <w:pPr>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 Aplicaciones informáticas</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4.787.158,25</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(2.054.486,07)  </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359.951,77</w:t>
            </w:r>
          </w:p>
        </w:tc>
        <w:tc>
          <w:tcPr>
            <w:tcW w:w="83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3.092.623,95</w:t>
            </w:r>
          </w:p>
        </w:tc>
      </w:tr>
      <w:tr w:rsidR="008D6125" w:rsidRPr="008D6125" w:rsidTr="008D6125">
        <w:trPr>
          <w:trHeight w:val="390"/>
        </w:trPr>
        <w:tc>
          <w:tcPr>
            <w:tcW w:w="805"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D6125" w:rsidRPr="008D6125" w:rsidRDefault="008D6125" w:rsidP="008D6125">
            <w:pP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TOTAL</w:t>
            </w:r>
          </w:p>
        </w:tc>
        <w:tc>
          <w:tcPr>
            <w:tcW w:w="83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4.802.158,25</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0,00</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 xml:space="preserve">(2.054.486,07)  </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359.951,77</w:t>
            </w:r>
          </w:p>
        </w:tc>
        <w:tc>
          <w:tcPr>
            <w:tcW w:w="839" w:type="pct"/>
            <w:tcBorders>
              <w:top w:val="nil"/>
              <w:left w:val="nil"/>
              <w:bottom w:val="single" w:sz="8" w:space="0" w:color="auto"/>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3.107.623,95</w:t>
            </w:r>
          </w:p>
        </w:tc>
      </w:tr>
    </w:tbl>
    <w:p w:rsidR="00F93CE1" w:rsidRDefault="00F93CE1" w:rsidP="00B607D8">
      <w:pPr>
        <w:tabs>
          <w:tab w:val="left" w:leader="dot" w:pos="4395"/>
        </w:tabs>
        <w:ind w:firstLine="709"/>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1393"/>
        <w:gridCol w:w="1451"/>
        <w:gridCol w:w="1450"/>
        <w:gridCol w:w="1450"/>
        <w:gridCol w:w="1450"/>
        <w:gridCol w:w="1450"/>
      </w:tblGrid>
      <w:tr w:rsidR="008D6125" w:rsidRPr="008D6125" w:rsidTr="008D6125">
        <w:trPr>
          <w:trHeight w:val="555"/>
        </w:trPr>
        <w:tc>
          <w:tcPr>
            <w:tcW w:w="805"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8D6125" w:rsidRPr="008D6125" w:rsidRDefault="008D6125" w:rsidP="008D6125">
            <w:pP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AMORTIZACIÓN ACUMULADA</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Saldo a</w:t>
            </w:r>
            <w:r w:rsidRPr="008D6125">
              <w:rPr>
                <w:rFonts w:ascii="Lucida Bright" w:hAnsi="Lucida Bright" w:cs="Calibri"/>
                <w:b/>
                <w:bCs/>
                <w:color w:val="000000"/>
                <w:sz w:val="14"/>
                <w:szCs w:val="14"/>
                <w:lang w:val="es-ES"/>
              </w:rPr>
              <w:br/>
              <w:t>31-12-22</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Dotaciones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Ventas, retiros</w:t>
            </w:r>
            <w:r w:rsidRPr="008D6125">
              <w:rPr>
                <w:rFonts w:ascii="Lucida Bright" w:hAnsi="Lucida Bright" w:cs="Calibri"/>
                <w:b/>
                <w:bCs/>
                <w:color w:val="000000"/>
                <w:sz w:val="14"/>
                <w:szCs w:val="14"/>
                <w:lang w:val="es-ES"/>
              </w:rPr>
              <w:br/>
              <w:t>y bajas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Reclasificaciones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Saldo a</w:t>
            </w:r>
            <w:r w:rsidRPr="008D6125">
              <w:rPr>
                <w:rFonts w:ascii="Lucida Bright" w:hAnsi="Lucida Bright" w:cs="Calibri"/>
                <w:b/>
                <w:bCs/>
                <w:color w:val="000000"/>
                <w:sz w:val="14"/>
                <w:szCs w:val="14"/>
                <w:lang w:val="es-ES"/>
              </w:rPr>
              <w:br/>
              <w:t>31-12-23</w:t>
            </w:r>
          </w:p>
        </w:tc>
      </w:tr>
      <w:tr w:rsidR="008D6125" w:rsidRPr="008D6125" w:rsidTr="008D6125">
        <w:trPr>
          <w:trHeight w:val="420"/>
        </w:trPr>
        <w:tc>
          <w:tcPr>
            <w:tcW w:w="805" w:type="pct"/>
            <w:tcBorders>
              <w:top w:val="nil"/>
              <w:left w:val="single" w:sz="8" w:space="0" w:color="auto"/>
              <w:bottom w:val="single" w:sz="4" w:space="0" w:color="auto"/>
              <w:right w:val="single" w:sz="4" w:space="0" w:color="auto"/>
            </w:tcBorders>
            <w:shd w:val="clear" w:color="auto" w:fill="auto"/>
            <w:vAlign w:val="center"/>
            <w:hideMark/>
          </w:tcPr>
          <w:p w:rsidR="008D6125" w:rsidRPr="008D6125" w:rsidRDefault="008D6125" w:rsidP="008D6125">
            <w:pPr>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 Propiedad industrial</w:t>
            </w:r>
          </w:p>
        </w:tc>
        <w:tc>
          <w:tcPr>
            <w:tcW w:w="83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15.000,00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nil"/>
              <w:left w:val="single" w:sz="4" w:space="0" w:color="auto"/>
              <w:bottom w:val="nil"/>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15.000,00</w:t>
            </w:r>
          </w:p>
        </w:tc>
      </w:tr>
      <w:tr w:rsidR="008D6125" w:rsidRPr="008D6125" w:rsidTr="008D6125">
        <w:trPr>
          <w:trHeight w:val="420"/>
        </w:trPr>
        <w:tc>
          <w:tcPr>
            <w:tcW w:w="805" w:type="pct"/>
            <w:tcBorders>
              <w:top w:val="nil"/>
              <w:left w:val="single" w:sz="8" w:space="0" w:color="auto"/>
              <w:bottom w:val="single" w:sz="4" w:space="0" w:color="auto"/>
              <w:right w:val="single" w:sz="4" w:space="0" w:color="auto"/>
            </w:tcBorders>
            <w:shd w:val="clear" w:color="auto" w:fill="auto"/>
            <w:vAlign w:val="center"/>
            <w:hideMark/>
          </w:tcPr>
          <w:p w:rsidR="008D6125" w:rsidRPr="008D6125" w:rsidRDefault="008D6125" w:rsidP="008D6125">
            <w:pPr>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 Aplicaciones informáticas</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3.894.946,92</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519.548,51</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(2.054.486,07)  </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(0,14)  </w:t>
            </w:r>
          </w:p>
        </w:tc>
        <w:tc>
          <w:tcPr>
            <w:tcW w:w="83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2.360.009,22</w:t>
            </w:r>
          </w:p>
        </w:tc>
      </w:tr>
      <w:tr w:rsidR="008D6125" w:rsidRPr="008D6125" w:rsidTr="008D6125">
        <w:trPr>
          <w:trHeight w:val="375"/>
        </w:trPr>
        <w:tc>
          <w:tcPr>
            <w:tcW w:w="805" w:type="pct"/>
            <w:tcBorders>
              <w:top w:val="nil"/>
              <w:left w:val="single" w:sz="8" w:space="0" w:color="auto"/>
              <w:bottom w:val="single" w:sz="8" w:space="0" w:color="auto"/>
              <w:right w:val="single" w:sz="4" w:space="0" w:color="auto"/>
            </w:tcBorders>
            <w:shd w:val="clear" w:color="auto" w:fill="auto"/>
            <w:noWrap/>
            <w:vAlign w:val="bottom"/>
            <w:hideMark/>
          </w:tcPr>
          <w:p w:rsidR="008D6125" w:rsidRPr="008D6125" w:rsidRDefault="008D6125" w:rsidP="008D6125">
            <w:pP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TOTAL</w:t>
            </w:r>
          </w:p>
        </w:tc>
        <w:tc>
          <w:tcPr>
            <w:tcW w:w="83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3.909.946,92</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519.548,51</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 xml:space="preserve">(2.054.486,07)  </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 xml:space="preserve">(0,14)  </w:t>
            </w:r>
          </w:p>
        </w:tc>
        <w:tc>
          <w:tcPr>
            <w:tcW w:w="839" w:type="pct"/>
            <w:tcBorders>
              <w:top w:val="nil"/>
              <w:left w:val="nil"/>
              <w:bottom w:val="single" w:sz="8" w:space="0" w:color="auto"/>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2.375.009,22</w:t>
            </w:r>
          </w:p>
        </w:tc>
      </w:tr>
    </w:tbl>
    <w:p w:rsidR="00F93CE1" w:rsidRDefault="00F93CE1" w:rsidP="00B607D8">
      <w:pPr>
        <w:tabs>
          <w:tab w:val="left" w:leader="dot" w:pos="4395"/>
        </w:tabs>
        <w:ind w:firstLine="709"/>
        <w:jc w:val="both"/>
        <w:rPr>
          <w:rFonts w:ascii="NewBaskerville" w:hAnsi="NewBaskerville"/>
          <w:bCs/>
        </w:rPr>
      </w:pPr>
    </w:p>
    <w:p w:rsidR="008D6125" w:rsidRDefault="008D6125" w:rsidP="00B607D8">
      <w:pPr>
        <w:tabs>
          <w:tab w:val="left" w:leader="dot" w:pos="4395"/>
        </w:tabs>
        <w:ind w:firstLine="709"/>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1393"/>
        <w:gridCol w:w="1451"/>
        <w:gridCol w:w="1450"/>
        <w:gridCol w:w="1450"/>
        <w:gridCol w:w="1450"/>
        <w:gridCol w:w="1450"/>
      </w:tblGrid>
      <w:tr w:rsidR="008D6125" w:rsidRPr="008D6125" w:rsidTr="008D6125">
        <w:trPr>
          <w:trHeight w:val="735"/>
        </w:trPr>
        <w:tc>
          <w:tcPr>
            <w:tcW w:w="805"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INMOVILIZADO INTANGIBLE</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Saldo a</w:t>
            </w:r>
            <w:r w:rsidRPr="008D6125">
              <w:rPr>
                <w:rFonts w:ascii="Lucida Bright" w:hAnsi="Lucida Bright" w:cs="Calibri"/>
                <w:b/>
                <w:bCs/>
                <w:color w:val="000000"/>
                <w:sz w:val="14"/>
                <w:szCs w:val="14"/>
                <w:lang w:val="es-ES"/>
              </w:rPr>
              <w:br/>
              <w:t>31-12-21</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Adquisiciones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Ventas, retiros</w:t>
            </w:r>
            <w:r w:rsidRPr="008D6125">
              <w:rPr>
                <w:rFonts w:ascii="Lucida Bright" w:hAnsi="Lucida Bright" w:cs="Calibri"/>
                <w:b/>
                <w:bCs/>
                <w:color w:val="000000"/>
                <w:sz w:val="14"/>
                <w:szCs w:val="14"/>
                <w:lang w:val="es-ES"/>
              </w:rPr>
              <w:br/>
              <w:t>y bajas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Reclasificaciones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Saldo a</w:t>
            </w:r>
            <w:r w:rsidRPr="008D6125">
              <w:rPr>
                <w:rFonts w:ascii="Lucida Bright" w:hAnsi="Lucida Bright" w:cs="Calibri"/>
                <w:b/>
                <w:bCs/>
                <w:color w:val="000000"/>
                <w:sz w:val="14"/>
                <w:szCs w:val="14"/>
                <w:lang w:val="es-ES"/>
              </w:rPr>
              <w:br/>
              <w:t>31-12-22</w:t>
            </w:r>
          </w:p>
        </w:tc>
      </w:tr>
      <w:tr w:rsidR="008D6125" w:rsidRPr="008D6125" w:rsidTr="008D6125">
        <w:trPr>
          <w:trHeight w:val="405"/>
        </w:trPr>
        <w:tc>
          <w:tcPr>
            <w:tcW w:w="805" w:type="pct"/>
            <w:tcBorders>
              <w:top w:val="nil"/>
              <w:left w:val="single" w:sz="8" w:space="0" w:color="auto"/>
              <w:bottom w:val="single" w:sz="4" w:space="0" w:color="auto"/>
              <w:right w:val="single" w:sz="4" w:space="0" w:color="auto"/>
            </w:tcBorders>
            <w:shd w:val="clear" w:color="auto" w:fill="auto"/>
            <w:vAlign w:val="center"/>
            <w:hideMark/>
          </w:tcPr>
          <w:p w:rsidR="008D6125" w:rsidRPr="008D6125" w:rsidRDefault="008D6125" w:rsidP="008D6125">
            <w:pPr>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 Propiedad industrial</w:t>
            </w:r>
          </w:p>
        </w:tc>
        <w:tc>
          <w:tcPr>
            <w:tcW w:w="83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15.000,00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nil"/>
              <w:left w:val="single" w:sz="4" w:space="0" w:color="auto"/>
              <w:bottom w:val="nil"/>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15.000,00</w:t>
            </w:r>
          </w:p>
        </w:tc>
      </w:tr>
      <w:tr w:rsidR="008D6125" w:rsidRPr="008D6125" w:rsidTr="008D6125">
        <w:trPr>
          <w:trHeight w:val="405"/>
        </w:trPr>
        <w:tc>
          <w:tcPr>
            <w:tcW w:w="805" w:type="pct"/>
            <w:tcBorders>
              <w:top w:val="nil"/>
              <w:left w:val="single" w:sz="8" w:space="0" w:color="auto"/>
              <w:bottom w:val="nil"/>
              <w:right w:val="single" w:sz="4" w:space="0" w:color="auto"/>
            </w:tcBorders>
            <w:shd w:val="clear" w:color="auto" w:fill="auto"/>
            <w:vAlign w:val="center"/>
            <w:hideMark/>
          </w:tcPr>
          <w:p w:rsidR="008D6125" w:rsidRPr="008D6125" w:rsidRDefault="008D6125" w:rsidP="008D6125">
            <w:pPr>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 Aplicaciones informáticas</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4.668.084,08</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119.074,17</w:t>
            </w:r>
          </w:p>
        </w:tc>
        <w:tc>
          <w:tcPr>
            <w:tcW w:w="83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4.787.158,25</w:t>
            </w:r>
          </w:p>
        </w:tc>
      </w:tr>
      <w:tr w:rsidR="008D6125" w:rsidRPr="008D6125" w:rsidTr="008D6125">
        <w:trPr>
          <w:trHeight w:val="405"/>
        </w:trPr>
        <w:tc>
          <w:tcPr>
            <w:tcW w:w="805"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D6125" w:rsidRPr="008D6125" w:rsidRDefault="008D6125" w:rsidP="008D6125">
            <w:pP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TOTAL</w:t>
            </w:r>
          </w:p>
        </w:tc>
        <w:tc>
          <w:tcPr>
            <w:tcW w:w="83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4.683.084,08</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0,00</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0,00</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119.074,17</w:t>
            </w:r>
          </w:p>
        </w:tc>
        <w:tc>
          <w:tcPr>
            <w:tcW w:w="839" w:type="pct"/>
            <w:tcBorders>
              <w:top w:val="nil"/>
              <w:left w:val="nil"/>
              <w:bottom w:val="single" w:sz="8" w:space="0" w:color="auto"/>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4.802.158,25</w:t>
            </w:r>
          </w:p>
        </w:tc>
      </w:tr>
    </w:tbl>
    <w:p w:rsidR="00F93CE1" w:rsidRDefault="00F93CE1" w:rsidP="00B607D8">
      <w:pPr>
        <w:tabs>
          <w:tab w:val="left" w:leader="dot" w:pos="4395"/>
        </w:tabs>
        <w:ind w:firstLine="709"/>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1393"/>
        <w:gridCol w:w="1451"/>
        <w:gridCol w:w="1450"/>
        <w:gridCol w:w="1450"/>
        <w:gridCol w:w="1450"/>
        <w:gridCol w:w="1450"/>
      </w:tblGrid>
      <w:tr w:rsidR="008D6125" w:rsidRPr="008D6125" w:rsidTr="008D6125">
        <w:trPr>
          <w:trHeight w:val="555"/>
        </w:trPr>
        <w:tc>
          <w:tcPr>
            <w:tcW w:w="805"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8D6125" w:rsidRPr="008D6125" w:rsidRDefault="008D6125" w:rsidP="008D6125">
            <w:pP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AMORTIZACIÓN ACUMULADA</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Saldo a</w:t>
            </w:r>
            <w:r w:rsidRPr="008D6125">
              <w:rPr>
                <w:rFonts w:ascii="Lucida Bright" w:hAnsi="Lucida Bright" w:cs="Calibri"/>
                <w:b/>
                <w:bCs/>
                <w:color w:val="000000"/>
                <w:sz w:val="14"/>
                <w:szCs w:val="14"/>
                <w:lang w:val="es-ES"/>
              </w:rPr>
              <w:br/>
              <w:t>31-12-21</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Dotaciones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Ventas, retiros</w:t>
            </w:r>
            <w:r w:rsidRPr="008D6125">
              <w:rPr>
                <w:rFonts w:ascii="Lucida Bright" w:hAnsi="Lucida Bright" w:cs="Calibri"/>
                <w:b/>
                <w:bCs/>
                <w:color w:val="000000"/>
                <w:sz w:val="14"/>
                <w:szCs w:val="14"/>
                <w:lang w:val="es-ES"/>
              </w:rPr>
              <w:br/>
              <w:t>y bajas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Reclasificaciones</w:t>
            </w:r>
            <w:r w:rsidRPr="008D6125">
              <w:rPr>
                <w:rFonts w:ascii="Lucida Bright" w:hAnsi="Lucida Bright" w:cs="Calibri"/>
                <w:b/>
                <w:bCs/>
                <w:color w:val="000000"/>
                <w:sz w:val="14"/>
                <w:szCs w:val="14"/>
                <w:lang w:val="es-ES"/>
              </w:rPr>
              <w:br/>
              <w:t>(+/-)</w:t>
            </w:r>
          </w:p>
        </w:tc>
        <w:tc>
          <w:tcPr>
            <w:tcW w:w="839" w:type="pct"/>
            <w:tcBorders>
              <w:top w:val="single" w:sz="8" w:space="0" w:color="auto"/>
              <w:left w:val="nil"/>
              <w:bottom w:val="single" w:sz="8" w:space="0" w:color="auto"/>
              <w:right w:val="single" w:sz="8" w:space="0" w:color="auto"/>
            </w:tcBorders>
            <w:shd w:val="clear" w:color="000000" w:fill="CCFFCC"/>
            <w:vAlign w:val="center"/>
            <w:hideMark/>
          </w:tcPr>
          <w:p w:rsidR="008D6125" w:rsidRPr="008D6125" w:rsidRDefault="008D6125" w:rsidP="008D6125">
            <w:pPr>
              <w:jc w:val="cente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Saldo a</w:t>
            </w:r>
            <w:r w:rsidRPr="008D6125">
              <w:rPr>
                <w:rFonts w:ascii="Lucida Bright" w:hAnsi="Lucida Bright" w:cs="Calibri"/>
                <w:b/>
                <w:bCs/>
                <w:color w:val="000000"/>
                <w:sz w:val="14"/>
                <w:szCs w:val="14"/>
                <w:lang w:val="es-ES"/>
              </w:rPr>
              <w:br/>
              <w:t>31-12-22</w:t>
            </w:r>
          </w:p>
        </w:tc>
      </w:tr>
      <w:tr w:rsidR="008D6125" w:rsidRPr="008D6125" w:rsidTr="008D6125">
        <w:trPr>
          <w:trHeight w:val="420"/>
        </w:trPr>
        <w:tc>
          <w:tcPr>
            <w:tcW w:w="805" w:type="pct"/>
            <w:tcBorders>
              <w:top w:val="nil"/>
              <w:left w:val="single" w:sz="8" w:space="0" w:color="auto"/>
              <w:bottom w:val="single" w:sz="4" w:space="0" w:color="auto"/>
              <w:right w:val="single" w:sz="4" w:space="0" w:color="auto"/>
            </w:tcBorders>
            <w:shd w:val="clear" w:color="auto" w:fill="auto"/>
            <w:vAlign w:val="center"/>
            <w:hideMark/>
          </w:tcPr>
          <w:p w:rsidR="008D6125" w:rsidRPr="008D6125" w:rsidRDefault="008D6125" w:rsidP="008D6125">
            <w:pPr>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 Propiedad industrial</w:t>
            </w:r>
          </w:p>
        </w:tc>
        <w:tc>
          <w:tcPr>
            <w:tcW w:w="83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15.000,00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8"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nil"/>
              <w:left w:val="single" w:sz="4" w:space="0" w:color="auto"/>
              <w:bottom w:val="nil"/>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15.000,00</w:t>
            </w:r>
          </w:p>
        </w:tc>
      </w:tr>
      <w:tr w:rsidR="008D6125" w:rsidRPr="008D6125" w:rsidTr="008D6125">
        <w:trPr>
          <w:trHeight w:val="420"/>
        </w:trPr>
        <w:tc>
          <w:tcPr>
            <w:tcW w:w="805" w:type="pct"/>
            <w:tcBorders>
              <w:top w:val="nil"/>
              <w:left w:val="single" w:sz="8" w:space="0" w:color="auto"/>
              <w:bottom w:val="single" w:sz="4" w:space="0" w:color="auto"/>
              <w:right w:val="single" w:sz="4" w:space="0" w:color="auto"/>
            </w:tcBorders>
            <w:shd w:val="clear" w:color="auto" w:fill="auto"/>
            <w:vAlign w:val="center"/>
            <w:hideMark/>
          </w:tcPr>
          <w:p w:rsidR="008D6125" w:rsidRPr="008D6125" w:rsidRDefault="008D6125" w:rsidP="008D6125">
            <w:pPr>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 xml:space="preserve"> Aplicaciones informáticas</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3.469.261,47</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425.685,45</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4" w:space="0" w:color="auto"/>
              <w:left w:val="nil"/>
              <w:bottom w:val="single" w:sz="4"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0,00</w:t>
            </w:r>
          </w:p>
        </w:tc>
        <w:tc>
          <w:tcPr>
            <w:tcW w:w="83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color w:val="000000"/>
                <w:sz w:val="14"/>
                <w:szCs w:val="14"/>
                <w:lang w:val="es-ES"/>
              </w:rPr>
            </w:pPr>
            <w:r w:rsidRPr="008D6125">
              <w:rPr>
                <w:rFonts w:ascii="Lucida Bright" w:hAnsi="Lucida Bright" w:cs="Calibri"/>
                <w:color w:val="000000"/>
                <w:sz w:val="14"/>
                <w:szCs w:val="14"/>
                <w:lang w:val="es-ES"/>
              </w:rPr>
              <w:t>3.894.946,92</w:t>
            </w:r>
          </w:p>
        </w:tc>
      </w:tr>
      <w:tr w:rsidR="008D6125" w:rsidRPr="008D6125" w:rsidTr="008D6125">
        <w:trPr>
          <w:trHeight w:val="420"/>
        </w:trPr>
        <w:tc>
          <w:tcPr>
            <w:tcW w:w="805" w:type="pct"/>
            <w:tcBorders>
              <w:top w:val="nil"/>
              <w:left w:val="single" w:sz="8" w:space="0" w:color="auto"/>
              <w:bottom w:val="single" w:sz="8" w:space="0" w:color="auto"/>
              <w:right w:val="single" w:sz="4" w:space="0" w:color="auto"/>
            </w:tcBorders>
            <w:shd w:val="clear" w:color="auto" w:fill="auto"/>
            <w:noWrap/>
            <w:vAlign w:val="bottom"/>
            <w:hideMark/>
          </w:tcPr>
          <w:p w:rsidR="008D6125" w:rsidRPr="008D6125" w:rsidRDefault="008D6125" w:rsidP="008D6125">
            <w:pPr>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TOTAL</w:t>
            </w:r>
          </w:p>
        </w:tc>
        <w:tc>
          <w:tcPr>
            <w:tcW w:w="839"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3.484.261,47</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425.685,45</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0,00</w:t>
            </w:r>
          </w:p>
        </w:tc>
        <w:tc>
          <w:tcPr>
            <w:tcW w:w="839" w:type="pct"/>
            <w:tcBorders>
              <w:top w:val="single" w:sz="4" w:space="0" w:color="auto"/>
              <w:left w:val="nil"/>
              <w:bottom w:val="single" w:sz="8" w:space="0" w:color="auto"/>
              <w:right w:val="single" w:sz="4"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0,00</w:t>
            </w:r>
          </w:p>
        </w:tc>
        <w:tc>
          <w:tcPr>
            <w:tcW w:w="839" w:type="pct"/>
            <w:tcBorders>
              <w:top w:val="nil"/>
              <w:left w:val="nil"/>
              <w:bottom w:val="single" w:sz="8" w:space="0" w:color="auto"/>
              <w:right w:val="single" w:sz="8" w:space="0" w:color="auto"/>
            </w:tcBorders>
            <w:shd w:val="clear" w:color="auto" w:fill="auto"/>
            <w:noWrap/>
            <w:vAlign w:val="bottom"/>
            <w:hideMark/>
          </w:tcPr>
          <w:p w:rsidR="008D6125" w:rsidRPr="008D6125" w:rsidRDefault="008D6125" w:rsidP="008D6125">
            <w:pPr>
              <w:jc w:val="right"/>
              <w:rPr>
                <w:rFonts w:ascii="Lucida Bright" w:hAnsi="Lucida Bright" w:cs="Calibri"/>
                <w:b/>
                <w:bCs/>
                <w:color w:val="000000"/>
                <w:sz w:val="14"/>
                <w:szCs w:val="14"/>
                <w:lang w:val="es-ES"/>
              </w:rPr>
            </w:pPr>
            <w:r w:rsidRPr="008D6125">
              <w:rPr>
                <w:rFonts w:ascii="Lucida Bright" w:hAnsi="Lucida Bright" w:cs="Calibri"/>
                <w:b/>
                <w:bCs/>
                <w:color w:val="000000"/>
                <w:sz w:val="14"/>
                <w:szCs w:val="14"/>
                <w:lang w:val="es-ES"/>
              </w:rPr>
              <w:t>3.909.946,92</w:t>
            </w:r>
          </w:p>
        </w:tc>
      </w:tr>
    </w:tbl>
    <w:p w:rsidR="00F93CE1" w:rsidRDefault="00F93CE1" w:rsidP="00B607D8">
      <w:pPr>
        <w:tabs>
          <w:tab w:val="left" w:leader="dot" w:pos="4395"/>
        </w:tabs>
        <w:ind w:firstLine="709"/>
        <w:jc w:val="both"/>
        <w:rPr>
          <w:rFonts w:ascii="NewBaskerville" w:hAnsi="NewBaskerville"/>
          <w:bCs/>
        </w:rPr>
      </w:pPr>
    </w:p>
    <w:p w:rsidR="00F93CE1" w:rsidRDefault="00F93CE1" w:rsidP="00F348FE">
      <w:pPr>
        <w:pStyle w:val="ListParagraph1"/>
        <w:ind w:left="0"/>
        <w:rPr>
          <w:b/>
          <w:bCs/>
          <w:sz w:val="24"/>
          <w:szCs w:val="24"/>
        </w:rPr>
      </w:pPr>
    </w:p>
    <w:p w:rsidR="00187A36" w:rsidRDefault="00187A36" w:rsidP="00F348FE">
      <w:pPr>
        <w:pStyle w:val="ListParagraph1"/>
        <w:ind w:left="0"/>
        <w:rPr>
          <w:b/>
          <w:bCs/>
          <w:sz w:val="24"/>
          <w:szCs w:val="24"/>
        </w:rPr>
      </w:pPr>
    </w:p>
    <w:p w:rsidR="00187A36" w:rsidRDefault="00187A36" w:rsidP="00F348FE">
      <w:pPr>
        <w:pStyle w:val="ListParagraph1"/>
        <w:ind w:left="0"/>
        <w:rPr>
          <w:b/>
          <w:bCs/>
          <w:sz w:val="24"/>
          <w:szCs w:val="24"/>
        </w:rPr>
      </w:pPr>
    </w:p>
    <w:p w:rsidR="00A510DD" w:rsidRDefault="00A510DD" w:rsidP="00F348FE">
      <w:pPr>
        <w:pStyle w:val="ListParagraph1"/>
        <w:ind w:left="0"/>
        <w:rPr>
          <w:b/>
          <w:bCs/>
          <w:sz w:val="24"/>
          <w:szCs w:val="24"/>
        </w:rPr>
      </w:pPr>
    </w:p>
    <w:p w:rsidR="008D6125" w:rsidRDefault="008D6125" w:rsidP="00F348FE">
      <w:pPr>
        <w:pStyle w:val="ListParagraph1"/>
        <w:ind w:left="0"/>
        <w:rPr>
          <w:b/>
          <w:bCs/>
          <w:sz w:val="24"/>
          <w:szCs w:val="24"/>
        </w:rPr>
      </w:pPr>
    </w:p>
    <w:p w:rsidR="008D6125" w:rsidRDefault="008D6125" w:rsidP="00F348FE">
      <w:pPr>
        <w:pStyle w:val="ListParagraph1"/>
        <w:ind w:left="0"/>
        <w:rPr>
          <w:b/>
          <w:bCs/>
          <w:sz w:val="24"/>
          <w:szCs w:val="24"/>
        </w:rPr>
      </w:pPr>
    </w:p>
    <w:p w:rsidR="008D6125" w:rsidRDefault="008D6125" w:rsidP="00F348FE">
      <w:pPr>
        <w:pStyle w:val="ListParagraph1"/>
        <w:ind w:left="0"/>
        <w:rPr>
          <w:b/>
          <w:bCs/>
          <w:sz w:val="24"/>
          <w:szCs w:val="24"/>
        </w:rPr>
      </w:pPr>
    </w:p>
    <w:p w:rsidR="008D6125" w:rsidRDefault="008D6125" w:rsidP="00F348FE">
      <w:pPr>
        <w:pStyle w:val="ListParagraph1"/>
        <w:ind w:left="0"/>
        <w:rPr>
          <w:b/>
          <w:bCs/>
          <w:sz w:val="24"/>
          <w:szCs w:val="24"/>
        </w:rPr>
      </w:pPr>
    </w:p>
    <w:p w:rsidR="008D6125" w:rsidRDefault="008D6125" w:rsidP="00F348FE">
      <w:pPr>
        <w:pStyle w:val="ListParagraph1"/>
        <w:ind w:left="0"/>
        <w:rPr>
          <w:b/>
          <w:bCs/>
          <w:sz w:val="24"/>
          <w:szCs w:val="24"/>
        </w:rPr>
      </w:pPr>
    </w:p>
    <w:p w:rsidR="00A510DD" w:rsidRDefault="00A510DD" w:rsidP="00F348FE">
      <w:pPr>
        <w:pStyle w:val="ListParagraph1"/>
        <w:ind w:left="0"/>
        <w:rPr>
          <w:b/>
          <w:bCs/>
          <w:sz w:val="24"/>
          <w:szCs w:val="24"/>
        </w:rPr>
      </w:pPr>
    </w:p>
    <w:p w:rsidR="00F93CE1" w:rsidRDefault="00F93CE1" w:rsidP="00F348FE">
      <w:pPr>
        <w:pStyle w:val="ListParagraph1"/>
        <w:ind w:left="0"/>
        <w:rPr>
          <w:b/>
          <w:bCs/>
          <w:sz w:val="24"/>
          <w:szCs w:val="24"/>
        </w:rPr>
      </w:pPr>
    </w:p>
    <w:p w:rsidR="00187A36" w:rsidRDefault="00187A36" w:rsidP="00F348FE">
      <w:pPr>
        <w:pStyle w:val="ListParagraph1"/>
        <w:ind w:left="0"/>
        <w:rPr>
          <w:b/>
          <w:bCs/>
          <w:sz w:val="24"/>
          <w:szCs w:val="24"/>
        </w:rPr>
      </w:pPr>
    </w:p>
    <w:p w:rsidR="00381A73" w:rsidRPr="004E34EF" w:rsidRDefault="00F706A9" w:rsidP="00F348FE">
      <w:pPr>
        <w:pStyle w:val="ListParagraph1"/>
        <w:ind w:left="0"/>
        <w:rPr>
          <w:rFonts w:ascii="NewBaskerville" w:hAnsi="NewBaskerville"/>
          <w:b/>
          <w:bCs/>
          <w:sz w:val="24"/>
          <w:szCs w:val="24"/>
        </w:rPr>
      </w:pPr>
      <w:r w:rsidRPr="004E34EF">
        <w:rPr>
          <w:rFonts w:ascii="NewBaskerville" w:hAnsi="NewBaskerville"/>
          <w:b/>
          <w:bCs/>
          <w:sz w:val="24"/>
          <w:szCs w:val="24"/>
        </w:rPr>
        <w:lastRenderedPageBreak/>
        <w:t>6</w:t>
      </w:r>
      <w:r w:rsidR="00F348FE" w:rsidRPr="004E34EF">
        <w:rPr>
          <w:rFonts w:ascii="NewBaskerville" w:hAnsi="NewBaskerville"/>
          <w:b/>
          <w:bCs/>
          <w:sz w:val="24"/>
          <w:szCs w:val="24"/>
        </w:rPr>
        <w:t xml:space="preserve">. </w:t>
      </w:r>
      <w:r w:rsidR="00381A73" w:rsidRPr="004E34EF">
        <w:rPr>
          <w:rFonts w:ascii="NewBaskerville" w:hAnsi="NewBaskerville"/>
          <w:b/>
          <w:bCs/>
          <w:sz w:val="24"/>
          <w:szCs w:val="24"/>
        </w:rPr>
        <w:t>Inmovilizado material</w:t>
      </w:r>
    </w:p>
    <w:p w:rsidR="00653024" w:rsidRDefault="00653024" w:rsidP="00381A73">
      <w:pPr>
        <w:tabs>
          <w:tab w:val="right" w:pos="8364"/>
        </w:tabs>
        <w:jc w:val="both"/>
      </w:pPr>
    </w:p>
    <w:p w:rsidR="00227164" w:rsidRPr="004E34EF" w:rsidRDefault="00381A73" w:rsidP="00DE5AD0">
      <w:pPr>
        <w:tabs>
          <w:tab w:val="right" w:pos="8364"/>
        </w:tabs>
        <w:spacing w:after="120"/>
        <w:ind w:firstLine="567"/>
        <w:jc w:val="both"/>
        <w:rPr>
          <w:rFonts w:ascii="NewBaskerville" w:hAnsi="NewBaskerville"/>
        </w:rPr>
      </w:pPr>
      <w:r w:rsidRPr="004E34EF">
        <w:rPr>
          <w:rFonts w:ascii="NewBaskerville" w:hAnsi="NewBaskerville"/>
        </w:rPr>
        <w:t>El movimiento de las inmovilizaciones e</w:t>
      </w:r>
      <w:r w:rsidR="004D3AEE" w:rsidRPr="004E34EF">
        <w:rPr>
          <w:rFonts w:ascii="NewBaskerville" w:hAnsi="NewBaskerville"/>
        </w:rPr>
        <w:t>n</w:t>
      </w:r>
      <w:r w:rsidR="007863E3" w:rsidRPr="004E34EF">
        <w:rPr>
          <w:rFonts w:ascii="NewBaskerville" w:hAnsi="NewBaskerville"/>
        </w:rPr>
        <w:t xml:space="preserve"> curso durante el ejercicio 202</w:t>
      </w:r>
      <w:r w:rsidR="00504C9F">
        <w:rPr>
          <w:rFonts w:ascii="NewBaskerville" w:hAnsi="NewBaskerville"/>
        </w:rPr>
        <w:t>3</w:t>
      </w:r>
      <w:r w:rsidRPr="004E34EF">
        <w:rPr>
          <w:rFonts w:ascii="NewBaskerville" w:hAnsi="NewBaskerville"/>
        </w:rPr>
        <w:t xml:space="preserve"> y</w:t>
      </w:r>
      <w:r w:rsidR="007863E3" w:rsidRPr="004E34EF">
        <w:rPr>
          <w:rFonts w:ascii="NewBaskerville" w:hAnsi="NewBaskerville"/>
        </w:rPr>
        <w:t xml:space="preserve"> 202</w:t>
      </w:r>
      <w:r w:rsidR="00504C9F">
        <w:rPr>
          <w:rFonts w:ascii="NewBaskerville" w:hAnsi="NewBaskerville"/>
        </w:rPr>
        <w:t>2</w:t>
      </w:r>
      <w:r w:rsidR="00356D50" w:rsidRPr="004E34EF">
        <w:rPr>
          <w:rFonts w:ascii="NewBaskerville" w:hAnsi="NewBaskerville"/>
        </w:rPr>
        <w:t xml:space="preserve"> </w:t>
      </w:r>
      <w:r w:rsidRPr="004E34EF">
        <w:rPr>
          <w:rFonts w:ascii="NewBaskerville" w:hAnsi="NewBaskerville"/>
        </w:rPr>
        <w:t>son los siguientes:</w:t>
      </w:r>
    </w:p>
    <w:p w:rsidR="00D51C1D" w:rsidRDefault="00D51C1D" w:rsidP="009726BB">
      <w:pPr>
        <w:tabs>
          <w:tab w:val="right" w:pos="8364"/>
        </w:tabs>
        <w:spacing w:after="120"/>
        <w:jc w:val="both"/>
      </w:pPr>
    </w:p>
    <w:p w:rsidR="002C33C1" w:rsidRDefault="002C33C1" w:rsidP="009726BB">
      <w:pPr>
        <w:tabs>
          <w:tab w:val="right" w:pos="8364"/>
        </w:tabs>
        <w:spacing w:after="120"/>
        <w:jc w:val="both"/>
      </w:pPr>
    </w:p>
    <w:tbl>
      <w:tblPr>
        <w:tblW w:w="6548" w:type="dxa"/>
        <w:tblInd w:w="70" w:type="dxa"/>
        <w:tblCellMar>
          <w:left w:w="70" w:type="dxa"/>
          <w:right w:w="70" w:type="dxa"/>
        </w:tblCellMar>
        <w:tblLook w:val="04A0" w:firstRow="1" w:lastRow="0" w:firstColumn="1" w:lastColumn="0" w:noHBand="0" w:noVBand="1"/>
      </w:tblPr>
      <w:tblGrid>
        <w:gridCol w:w="3056"/>
        <w:gridCol w:w="1996"/>
        <w:gridCol w:w="1496"/>
      </w:tblGrid>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b/>
                <w:bCs/>
                <w:color w:val="000000"/>
                <w:sz w:val="18"/>
                <w:szCs w:val="18"/>
                <w:lang w:val="es-ES"/>
              </w:rPr>
            </w:pPr>
            <w:r w:rsidRPr="002C33C1">
              <w:rPr>
                <w:rFonts w:ascii="Lucida Bright" w:hAnsi="Lucida Bright" w:cs="Calibri"/>
                <w:b/>
                <w:bCs/>
                <w:color w:val="000000"/>
                <w:sz w:val="18"/>
                <w:szCs w:val="18"/>
                <w:lang w:val="es-ES"/>
              </w:rPr>
              <w:t>Saldo a 31/12/2022</w:t>
            </w: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b/>
                <w:bCs/>
                <w:color w:val="000000"/>
                <w:sz w:val="18"/>
                <w:szCs w:val="18"/>
                <w:lang w:val="es-ES"/>
              </w:rPr>
            </w:pPr>
            <w:r w:rsidRPr="002C33C1">
              <w:rPr>
                <w:rFonts w:ascii="Lucida Bright" w:hAnsi="Lucida Bright" w:cs="Calibri"/>
                <w:b/>
                <w:bCs/>
                <w:color w:val="000000"/>
                <w:sz w:val="18"/>
                <w:szCs w:val="18"/>
                <w:lang w:val="es-ES"/>
              </w:rPr>
              <w:t xml:space="preserve">56.176.200,63 </w:t>
            </w:r>
          </w:p>
        </w:tc>
      </w:tr>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Adiciones por inversión</w:t>
            </w: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39.632.030,52 </w:t>
            </w:r>
          </w:p>
        </w:tc>
      </w:tr>
      <w:tr w:rsidR="002C33C1" w:rsidRPr="002C33C1" w:rsidTr="002C33C1">
        <w:trPr>
          <w:trHeight w:val="300"/>
        </w:trPr>
        <w:tc>
          <w:tcPr>
            <w:tcW w:w="5052" w:type="dxa"/>
            <w:gridSpan w:val="2"/>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 Transferencias desde otros Organismos Públicos  </w:t>
            </w: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14.401,08 </w:t>
            </w:r>
          </w:p>
        </w:tc>
      </w:tr>
      <w:tr w:rsidR="002C33C1" w:rsidRPr="002C33C1" w:rsidTr="002C33C1">
        <w:trPr>
          <w:trHeight w:val="300"/>
        </w:trPr>
        <w:tc>
          <w:tcPr>
            <w:tcW w:w="5052" w:type="dxa"/>
            <w:gridSpan w:val="2"/>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Traspasos a inmovilizado material</w:t>
            </w: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(28.520.184,00) </w:t>
            </w:r>
          </w:p>
        </w:tc>
      </w:tr>
      <w:tr w:rsidR="002C33C1" w:rsidRPr="002C33C1" w:rsidTr="002C33C1">
        <w:trPr>
          <w:trHeight w:val="300"/>
        </w:trPr>
        <w:tc>
          <w:tcPr>
            <w:tcW w:w="5052" w:type="dxa"/>
            <w:gridSpan w:val="2"/>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Traspasos a inversiones inmobiliarias</w:t>
            </w: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(151.756,91) </w:t>
            </w:r>
          </w:p>
        </w:tc>
      </w:tr>
      <w:tr w:rsidR="002C33C1" w:rsidRPr="002C33C1" w:rsidTr="002C33C1">
        <w:trPr>
          <w:trHeight w:val="300"/>
        </w:trPr>
        <w:tc>
          <w:tcPr>
            <w:tcW w:w="5052" w:type="dxa"/>
            <w:gridSpan w:val="2"/>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Traspasos a inmovilizado intangible</w:t>
            </w: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(359.952,03) </w:t>
            </w:r>
          </w:p>
        </w:tc>
      </w:tr>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Traspasos a gastos</w:t>
            </w: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(15.000,00) </w:t>
            </w:r>
          </w:p>
        </w:tc>
      </w:tr>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Bajas</w:t>
            </w: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(237.041,42) </w:t>
            </w:r>
          </w:p>
        </w:tc>
      </w:tr>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b/>
                <w:bCs/>
                <w:color w:val="000000"/>
                <w:sz w:val="18"/>
                <w:szCs w:val="18"/>
                <w:lang w:val="es-ES"/>
              </w:rPr>
            </w:pPr>
            <w:r w:rsidRPr="002C33C1">
              <w:rPr>
                <w:rFonts w:ascii="Lucida Bright" w:hAnsi="Lucida Bright" w:cs="Calibri"/>
                <w:b/>
                <w:bCs/>
                <w:color w:val="000000"/>
                <w:sz w:val="18"/>
                <w:szCs w:val="18"/>
                <w:lang w:val="es-ES"/>
              </w:rPr>
              <w:t>Saldo a 31/12/2023</w:t>
            </w: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b/>
                <w:bCs/>
                <w:color w:val="000000"/>
                <w:sz w:val="18"/>
                <w:szCs w:val="18"/>
                <w:lang w:val="es-ES"/>
              </w:rPr>
            </w:pPr>
            <w:r w:rsidRPr="002C33C1">
              <w:rPr>
                <w:rFonts w:ascii="Lucida Bright" w:hAnsi="Lucida Bright" w:cs="Calibri"/>
                <w:b/>
                <w:bCs/>
                <w:color w:val="000000"/>
                <w:sz w:val="18"/>
                <w:szCs w:val="18"/>
                <w:lang w:val="es-ES"/>
              </w:rPr>
              <w:t xml:space="preserve">66.538.697,87 </w:t>
            </w:r>
          </w:p>
        </w:tc>
      </w:tr>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r>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b/>
                <w:bCs/>
                <w:color w:val="000000"/>
                <w:sz w:val="18"/>
                <w:szCs w:val="18"/>
                <w:lang w:val="es-ES"/>
              </w:rPr>
            </w:pPr>
            <w:r w:rsidRPr="002C33C1">
              <w:rPr>
                <w:rFonts w:ascii="Lucida Bright" w:hAnsi="Lucida Bright" w:cs="Calibri"/>
                <w:b/>
                <w:bCs/>
                <w:color w:val="000000"/>
                <w:sz w:val="18"/>
                <w:szCs w:val="18"/>
                <w:lang w:val="es-ES"/>
              </w:rPr>
              <w:t>Saldo a 31/12/2021</w:t>
            </w: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b/>
                <w:bCs/>
                <w:color w:val="000000"/>
                <w:sz w:val="18"/>
                <w:szCs w:val="18"/>
                <w:lang w:val="es-ES"/>
              </w:rPr>
            </w:pPr>
            <w:r w:rsidRPr="002C33C1">
              <w:rPr>
                <w:rFonts w:ascii="Lucida Bright" w:hAnsi="Lucida Bright" w:cs="Calibri"/>
                <w:b/>
                <w:bCs/>
                <w:color w:val="000000"/>
                <w:sz w:val="18"/>
                <w:szCs w:val="18"/>
                <w:lang w:val="es-ES"/>
              </w:rPr>
              <w:t xml:space="preserve">51.162.815,00 </w:t>
            </w:r>
          </w:p>
        </w:tc>
      </w:tr>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Adiciones por inversión</w:t>
            </w: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20.780.880,82 </w:t>
            </w:r>
          </w:p>
        </w:tc>
      </w:tr>
      <w:tr w:rsidR="002C33C1" w:rsidRPr="002C33C1" w:rsidTr="002C33C1">
        <w:trPr>
          <w:trHeight w:val="300"/>
        </w:trPr>
        <w:tc>
          <w:tcPr>
            <w:tcW w:w="5052" w:type="dxa"/>
            <w:gridSpan w:val="2"/>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Traspasos a inmovilizado material</w:t>
            </w: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(15.465.706,36) </w:t>
            </w:r>
          </w:p>
        </w:tc>
      </w:tr>
      <w:tr w:rsidR="002C33C1" w:rsidRPr="002C33C1" w:rsidTr="002C33C1">
        <w:trPr>
          <w:trHeight w:val="300"/>
        </w:trPr>
        <w:tc>
          <w:tcPr>
            <w:tcW w:w="5052" w:type="dxa"/>
            <w:gridSpan w:val="2"/>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Traspasos a inversiones inmobiliarias</w:t>
            </w: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(182.714,66) </w:t>
            </w:r>
          </w:p>
        </w:tc>
      </w:tr>
      <w:tr w:rsidR="002C33C1" w:rsidRPr="002C33C1" w:rsidTr="002C33C1">
        <w:trPr>
          <w:trHeight w:val="300"/>
        </w:trPr>
        <w:tc>
          <w:tcPr>
            <w:tcW w:w="5052" w:type="dxa"/>
            <w:gridSpan w:val="2"/>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Traspasos a inmovilizado intangible</w:t>
            </w: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(119.074,17) </w:t>
            </w:r>
          </w:p>
        </w:tc>
      </w:tr>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Traspasos a gastos</w:t>
            </w: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color w:val="000000"/>
                <w:sz w:val="18"/>
                <w:szCs w:val="18"/>
                <w:lang w:val="es-ES"/>
              </w:rPr>
            </w:pPr>
            <w:r w:rsidRPr="002C33C1">
              <w:rPr>
                <w:rFonts w:ascii="Lucida Bright" w:hAnsi="Lucida Bright" w:cs="Calibri"/>
                <w:color w:val="000000"/>
                <w:sz w:val="18"/>
                <w:szCs w:val="18"/>
                <w:lang w:val="es-ES"/>
              </w:rPr>
              <w:t xml:space="preserve">- </w:t>
            </w:r>
          </w:p>
        </w:tc>
      </w:tr>
      <w:tr w:rsidR="002C33C1" w:rsidRPr="002C33C1" w:rsidTr="002C33C1">
        <w:trPr>
          <w:trHeight w:val="300"/>
        </w:trPr>
        <w:tc>
          <w:tcPr>
            <w:tcW w:w="3056" w:type="dxa"/>
            <w:tcBorders>
              <w:top w:val="nil"/>
              <w:left w:val="nil"/>
              <w:bottom w:val="nil"/>
              <w:right w:val="nil"/>
            </w:tcBorders>
            <w:shd w:val="clear" w:color="auto" w:fill="auto"/>
            <w:noWrap/>
            <w:vAlign w:val="bottom"/>
            <w:hideMark/>
          </w:tcPr>
          <w:p w:rsidR="002C33C1" w:rsidRPr="002C33C1" w:rsidRDefault="002C33C1" w:rsidP="002C33C1">
            <w:pPr>
              <w:rPr>
                <w:rFonts w:ascii="Lucida Bright" w:hAnsi="Lucida Bright" w:cs="Calibri"/>
                <w:b/>
                <w:bCs/>
                <w:color w:val="000000"/>
                <w:sz w:val="18"/>
                <w:szCs w:val="18"/>
                <w:lang w:val="es-ES"/>
              </w:rPr>
            </w:pPr>
            <w:r w:rsidRPr="002C33C1">
              <w:rPr>
                <w:rFonts w:ascii="Lucida Bright" w:hAnsi="Lucida Bright" w:cs="Calibri"/>
                <w:b/>
                <w:bCs/>
                <w:color w:val="000000"/>
                <w:sz w:val="18"/>
                <w:szCs w:val="18"/>
                <w:lang w:val="es-ES"/>
              </w:rPr>
              <w:t>Saldo a 31/12/2022</w:t>
            </w:r>
          </w:p>
        </w:tc>
        <w:tc>
          <w:tcPr>
            <w:tcW w:w="1996" w:type="dxa"/>
            <w:tcBorders>
              <w:top w:val="nil"/>
              <w:left w:val="nil"/>
              <w:bottom w:val="nil"/>
              <w:right w:val="nil"/>
            </w:tcBorders>
            <w:shd w:val="clear" w:color="auto" w:fill="auto"/>
            <w:noWrap/>
            <w:vAlign w:val="bottom"/>
            <w:hideMark/>
          </w:tcPr>
          <w:p w:rsidR="002C33C1" w:rsidRPr="002C33C1" w:rsidRDefault="002C33C1" w:rsidP="002C33C1">
            <w:pPr>
              <w:rPr>
                <w:rFonts w:ascii="Calibri" w:hAnsi="Calibri" w:cs="Calibri"/>
                <w:color w:val="000000"/>
                <w:sz w:val="22"/>
                <w:szCs w:val="22"/>
                <w:lang w:val="es-ES"/>
              </w:rPr>
            </w:pPr>
          </w:p>
        </w:tc>
        <w:tc>
          <w:tcPr>
            <w:tcW w:w="1496" w:type="dxa"/>
            <w:tcBorders>
              <w:top w:val="nil"/>
              <w:left w:val="nil"/>
              <w:bottom w:val="nil"/>
              <w:right w:val="nil"/>
            </w:tcBorders>
            <w:shd w:val="clear" w:color="auto" w:fill="auto"/>
            <w:noWrap/>
            <w:vAlign w:val="bottom"/>
            <w:hideMark/>
          </w:tcPr>
          <w:p w:rsidR="002C33C1" w:rsidRPr="002C33C1" w:rsidRDefault="002C33C1" w:rsidP="002C33C1">
            <w:pPr>
              <w:jc w:val="right"/>
              <w:rPr>
                <w:rFonts w:ascii="Lucida Bright" w:hAnsi="Lucida Bright" w:cs="Calibri"/>
                <w:b/>
                <w:bCs/>
                <w:color w:val="000000"/>
                <w:sz w:val="18"/>
                <w:szCs w:val="18"/>
                <w:lang w:val="es-ES"/>
              </w:rPr>
            </w:pPr>
            <w:r w:rsidRPr="002C33C1">
              <w:rPr>
                <w:rFonts w:ascii="Lucida Bright" w:hAnsi="Lucida Bright" w:cs="Calibri"/>
                <w:b/>
                <w:bCs/>
                <w:color w:val="000000"/>
                <w:sz w:val="18"/>
                <w:szCs w:val="18"/>
                <w:lang w:val="es-ES"/>
              </w:rPr>
              <w:t xml:space="preserve">56.176.200,63 </w:t>
            </w:r>
          </w:p>
        </w:tc>
      </w:tr>
    </w:tbl>
    <w:p w:rsidR="002C33C1" w:rsidRDefault="002C33C1" w:rsidP="009726BB">
      <w:pPr>
        <w:tabs>
          <w:tab w:val="right" w:pos="8364"/>
        </w:tabs>
        <w:spacing w:after="120"/>
        <w:jc w:val="both"/>
      </w:pPr>
    </w:p>
    <w:p w:rsidR="00381A73" w:rsidRDefault="00381A73" w:rsidP="003E24B3">
      <w:pPr>
        <w:pStyle w:val="Textoindependiente2"/>
        <w:ind w:firstLine="709"/>
        <w:rPr>
          <w:bCs w:val="0"/>
          <w:szCs w:val="20"/>
        </w:rPr>
      </w:pPr>
    </w:p>
    <w:p w:rsidR="002C33C1" w:rsidRDefault="002C33C1" w:rsidP="003E24B3">
      <w:pPr>
        <w:pStyle w:val="Textoindependiente2"/>
        <w:ind w:firstLine="709"/>
        <w:rPr>
          <w:bCs w:val="0"/>
          <w:szCs w:val="20"/>
        </w:rPr>
      </w:pPr>
    </w:p>
    <w:p w:rsidR="005F35CD" w:rsidRDefault="00624EFB" w:rsidP="00CE17F4">
      <w:pPr>
        <w:tabs>
          <w:tab w:val="right" w:pos="8364"/>
        </w:tabs>
        <w:spacing w:after="120"/>
        <w:ind w:firstLine="567"/>
        <w:jc w:val="both"/>
        <w:rPr>
          <w:sz w:val="24"/>
          <w:szCs w:val="24"/>
        </w:rPr>
      </w:pPr>
      <w:r w:rsidRPr="009726BB">
        <w:rPr>
          <w:rFonts w:ascii="NewBaskerville" w:hAnsi="NewBaskerville"/>
          <w:bCs/>
        </w:rPr>
        <w:t xml:space="preserve">  </w:t>
      </w:r>
      <w:r w:rsidR="0031074B" w:rsidRPr="009726BB">
        <w:rPr>
          <w:rFonts w:ascii="NewBaskerville" w:hAnsi="NewBaskerville"/>
          <w:bCs/>
        </w:rPr>
        <w:t>Los</w:t>
      </w:r>
      <w:r w:rsidR="00381A73" w:rsidRPr="009726BB">
        <w:rPr>
          <w:rFonts w:ascii="NewBaskerville" w:hAnsi="NewBaskerville"/>
          <w:bCs/>
        </w:rPr>
        <w:t xml:space="preserve"> cuadro</w:t>
      </w:r>
      <w:r w:rsidR="0031074B" w:rsidRPr="009726BB">
        <w:rPr>
          <w:rFonts w:ascii="NewBaskerville" w:hAnsi="NewBaskerville"/>
          <w:bCs/>
        </w:rPr>
        <w:t>s</w:t>
      </w:r>
      <w:r w:rsidR="00381A73" w:rsidRPr="009726BB">
        <w:rPr>
          <w:rFonts w:ascii="NewBaskerville" w:hAnsi="NewBaskerville"/>
          <w:bCs/>
        </w:rPr>
        <w:t xml:space="preserve"> de movimientos del in</w:t>
      </w:r>
      <w:r w:rsidRPr="009726BB">
        <w:rPr>
          <w:rFonts w:ascii="NewBaskerville" w:hAnsi="NewBaskerville"/>
          <w:bCs/>
        </w:rPr>
        <w:t xml:space="preserve">movilizado material durante los </w:t>
      </w:r>
      <w:r w:rsidR="00B9194A" w:rsidRPr="009726BB">
        <w:rPr>
          <w:rFonts w:ascii="NewBaskerville" w:hAnsi="NewBaskerville"/>
          <w:bCs/>
        </w:rPr>
        <w:t>ejercicios 202</w:t>
      </w:r>
      <w:r w:rsidR="00FC323F">
        <w:rPr>
          <w:rFonts w:ascii="NewBaskerville" w:hAnsi="NewBaskerville"/>
          <w:bCs/>
        </w:rPr>
        <w:t>3</w:t>
      </w:r>
      <w:r w:rsidR="00381A73" w:rsidRPr="009726BB">
        <w:rPr>
          <w:rFonts w:ascii="NewBaskerville" w:hAnsi="NewBaskerville"/>
          <w:bCs/>
        </w:rPr>
        <w:t xml:space="preserve"> y 20</w:t>
      </w:r>
      <w:r w:rsidR="00B9194A" w:rsidRPr="009726BB">
        <w:rPr>
          <w:rFonts w:ascii="NewBaskerville" w:hAnsi="NewBaskerville"/>
          <w:bCs/>
        </w:rPr>
        <w:t>2</w:t>
      </w:r>
      <w:r w:rsidR="00FC323F">
        <w:rPr>
          <w:rFonts w:ascii="NewBaskerville" w:hAnsi="NewBaskerville"/>
          <w:bCs/>
        </w:rPr>
        <w:t>2</w:t>
      </w:r>
      <w:r w:rsidR="00381A73" w:rsidRPr="009726BB">
        <w:rPr>
          <w:rFonts w:ascii="NewBaskerville" w:hAnsi="NewBaskerville"/>
          <w:bCs/>
        </w:rPr>
        <w:t xml:space="preserve">, así como el de su amortización, vienen detallados en los cuadros adjuntos </w:t>
      </w:r>
      <w:r w:rsidR="00A81AA8" w:rsidRPr="009726BB">
        <w:rPr>
          <w:rFonts w:ascii="NewBaskerville" w:hAnsi="NewBaskerville"/>
          <w:bCs/>
        </w:rPr>
        <w:t>desglosados por cada epígrafe. Las altas de inmovilizado material proceden de traspasos desde el inmovilizado en curso.</w:t>
      </w:r>
      <w:r w:rsidR="00621938" w:rsidRPr="009726BB">
        <w:rPr>
          <w:rFonts w:ascii="NewBaskerville" w:hAnsi="NewBaskerville"/>
          <w:bCs/>
        </w:rPr>
        <w:t xml:space="preserve"> </w:t>
      </w:r>
    </w:p>
    <w:p w:rsidR="00B9194A" w:rsidRDefault="00B9194A" w:rsidP="00CE17F4">
      <w:pPr>
        <w:tabs>
          <w:tab w:val="right" w:pos="8364"/>
        </w:tabs>
        <w:spacing w:after="120"/>
        <w:ind w:firstLine="567"/>
        <w:jc w:val="both"/>
        <w:rPr>
          <w:sz w:val="24"/>
          <w:szCs w:val="24"/>
        </w:rPr>
      </w:pPr>
    </w:p>
    <w:p w:rsidR="007F69BD" w:rsidRDefault="007F69BD">
      <w:pPr>
        <w:rPr>
          <w:sz w:val="24"/>
          <w:szCs w:val="24"/>
        </w:rPr>
      </w:pPr>
      <w:r>
        <w:rPr>
          <w:sz w:val="24"/>
          <w:szCs w:val="24"/>
        </w:rPr>
        <w:br w:type="page"/>
      </w:r>
    </w:p>
    <w:p w:rsidR="00B9194A" w:rsidRPr="00D860DF" w:rsidRDefault="00B9194A" w:rsidP="00CE17F4">
      <w:pPr>
        <w:tabs>
          <w:tab w:val="right" w:pos="8364"/>
        </w:tabs>
        <w:spacing w:after="120"/>
        <w:ind w:firstLine="567"/>
        <w:jc w:val="both"/>
        <w:rPr>
          <w:sz w:val="24"/>
          <w:szCs w:val="24"/>
        </w:rPr>
        <w:sectPr w:rsidR="00B9194A" w:rsidRPr="00D860DF" w:rsidSect="00790C4F">
          <w:pgSz w:w="11907" w:h="16840" w:code="9"/>
          <w:pgMar w:top="1701" w:right="1418" w:bottom="1701" w:left="1985" w:header="567" w:footer="397" w:gutter="0"/>
          <w:cols w:space="720"/>
          <w:docGrid w:linePitch="272"/>
        </w:sectPr>
      </w:pPr>
    </w:p>
    <w:tbl>
      <w:tblPr>
        <w:tblW w:w="14128" w:type="dxa"/>
        <w:tblInd w:w="70" w:type="dxa"/>
        <w:tblCellMar>
          <w:left w:w="70" w:type="dxa"/>
          <w:right w:w="70" w:type="dxa"/>
        </w:tblCellMar>
        <w:tblLook w:val="04A0" w:firstRow="1" w:lastRow="0" w:firstColumn="1" w:lastColumn="0" w:noHBand="0" w:noVBand="1"/>
      </w:tblPr>
      <w:tblGrid>
        <w:gridCol w:w="3588"/>
        <w:gridCol w:w="184"/>
        <w:gridCol w:w="1482"/>
        <w:gridCol w:w="1376"/>
        <w:gridCol w:w="1376"/>
        <w:gridCol w:w="1556"/>
        <w:gridCol w:w="1216"/>
        <w:gridCol w:w="1216"/>
        <w:gridCol w:w="956"/>
        <w:gridCol w:w="1296"/>
      </w:tblGrid>
      <w:tr w:rsidR="000B4249" w:rsidRPr="000B4249" w:rsidTr="000B4249">
        <w:trPr>
          <w:trHeight w:val="300"/>
        </w:trPr>
        <w:tc>
          <w:tcPr>
            <w:tcW w:w="5136" w:type="dxa"/>
            <w:gridSpan w:val="3"/>
            <w:tcBorders>
              <w:top w:val="nil"/>
              <w:left w:val="nil"/>
              <w:bottom w:val="nil"/>
              <w:right w:val="nil"/>
            </w:tcBorders>
            <w:shd w:val="clear" w:color="auto" w:fill="auto"/>
            <w:noWrap/>
            <w:vAlign w:val="bottom"/>
            <w:hideMark/>
          </w:tcPr>
          <w:p w:rsidR="000B4249" w:rsidRDefault="000B4249" w:rsidP="000B4249">
            <w:pPr>
              <w:rPr>
                <w:rFonts w:ascii="Lucida Bright" w:hAnsi="Lucida Bright" w:cs="Calibri"/>
                <w:b/>
                <w:bCs/>
                <w:color w:val="000000"/>
                <w:sz w:val="18"/>
                <w:szCs w:val="18"/>
                <w:lang w:val="es-ES"/>
              </w:rPr>
            </w:pPr>
          </w:p>
          <w:p w:rsidR="000B4249" w:rsidRPr="000B4249" w:rsidRDefault="000B4249" w:rsidP="000B4249">
            <w:pPr>
              <w:rPr>
                <w:rFonts w:ascii="Lucida Bright" w:hAnsi="Lucida Bright" w:cs="Calibri"/>
                <w:b/>
                <w:bCs/>
                <w:color w:val="000000"/>
                <w:sz w:val="18"/>
                <w:szCs w:val="18"/>
                <w:lang w:val="es-ES"/>
              </w:rPr>
            </w:pPr>
            <w:r w:rsidRPr="000B4249">
              <w:rPr>
                <w:rFonts w:ascii="Lucida Bright" w:hAnsi="Lucida Bright" w:cs="Calibri"/>
                <w:b/>
                <w:bCs/>
                <w:color w:val="000000"/>
                <w:sz w:val="18"/>
                <w:szCs w:val="18"/>
                <w:lang w:val="es-ES"/>
              </w:rPr>
              <w:t>CUADRO: INMOVILIZADO MATERIAL 2023</w:t>
            </w:r>
          </w:p>
        </w:tc>
        <w:tc>
          <w:tcPr>
            <w:tcW w:w="1376" w:type="dxa"/>
            <w:tcBorders>
              <w:top w:val="nil"/>
              <w:left w:val="nil"/>
              <w:bottom w:val="nil"/>
              <w:right w:val="nil"/>
            </w:tcBorders>
            <w:shd w:val="clear" w:color="auto" w:fill="auto"/>
            <w:noWrap/>
            <w:vAlign w:val="bottom"/>
            <w:hideMark/>
          </w:tcPr>
          <w:p w:rsidR="000B4249" w:rsidRPr="000B4249" w:rsidRDefault="000B4249" w:rsidP="000B4249">
            <w:pPr>
              <w:rPr>
                <w:rFonts w:ascii="Lucida Bright" w:hAnsi="Lucida Bright" w:cs="Calibri"/>
                <w:color w:val="000000"/>
                <w:sz w:val="18"/>
                <w:szCs w:val="18"/>
                <w:lang w:val="es-ES"/>
              </w:rPr>
            </w:pPr>
          </w:p>
        </w:tc>
        <w:tc>
          <w:tcPr>
            <w:tcW w:w="1376" w:type="dxa"/>
            <w:tcBorders>
              <w:top w:val="nil"/>
              <w:left w:val="nil"/>
              <w:bottom w:val="nil"/>
              <w:right w:val="nil"/>
            </w:tcBorders>
            <w:shd w:val="clear" w:color="auto" w:fill="auto"/>
            <w:noWrap/>
            <w:vAlign w:val="bottom"/>
            <w:hideMark/>
          </w:tcPr>
          <w:p w:rsidR="000B4249" w:rsidRPr="000B4249" w:rsidRDefault="000B4249" w:rsidP="000B4249">
            <w:pPr>
              <w:rPr>
                <w:rFonts w:ascii="Lucida Bright" w:hAnsi="Lucida Bright" w:cs="Calibri"/>
                <w:color w:val="000000"/>
                <w:sz w:val="18"/>
                <w:szCs w:val="18"/>
                <w:lang w:val="es-ES"/>
              </w:rPr>
            </w:pPr>
          </w:p>
        </w:tc>
        <w:tc>
          <w:tcPr>
            <w:tcW w:w="1556" w:type="dxa"/>
            <w:tcBorders>
              <w:top w:val="nil"/>
              <w:left w:val="nil"/>
              <w:bottom w:val="nil"/>
              <w:right w:val="nil"/>
            </w:tcBorders>
            <w:shd w:val="clear" w:color="auto" w:fill="auto"/>
            <w:noWrap/>
            <w:vAlign w:val="bottom"/>
            <w:hideMark/>
          </w:tcPr>
          <w:p w:rsidR="000B4249" w:rsidRPr="000B4249" w:rsidRDefault="000B4249" w:rsidP="000B4249">
            <w:pPr>
              <w:rPr>
                <w:rFonts w:ascii="Lucida Bright" w:hAnsi="Lucida Bright" w:cs="Calibri"/>
                <w:color w:val="000000"/>
                <w:sz w:val="18"/>
                <w:szCs w:val="18"/>
                <w:lang w:val="es-ES"/>
              </w:rPr>
            </w:pPr>
          </w:p>
        </w:tc>
        <w:tc>
          <w:tcPr>
            <w:tcW w:w="1216" w:type="dxa"/>
            <w:tcBorders>
              <w:top w:val="nil"/>
              <w:left w:val="nil"/>
              <w:bottom w:val="nil"/>
              <w:right w:val="nil"/>
            </w:tcBorders>
            <w:shd w:val="clear" w:color="auto" w:fill="auto"/>
            <w:noWrap/>
            <w:vAlign w:val="bottom"/>
            <w:hideMark/>
          </w:tcPr>
          <w:p w:rsidR="000B4249" w:rsidRPr="000B4249" w:rsidRDefault="000B4249" w:rsidP="000B4249">
            <w:pPr>
              <w:rPr>
                <w:rFonts w:ascii="Lucida Bright" w:hAnsi="Lucida Bright" w:cs="Calibri"/>
                <w:color w:val="000000"/>
                <w:sz w:val="18"/>
                <w:szCs w:val="18"/>
                <w:lang w:val="es-ES"/>
              </w:rPr>
            </w:pPr>
          </w:p>
        </w:tc>
        <w:tc>
          <w:tcPr>
            <w:tcW w:w="1216" w:type="dxa"/>
            <w:tcBorders>
              <w:top w:val="nil"/>
              <w:left w:val="nil"/>
              <w:bottom w:val="nil"/>
              <w:right w:val="nil"/>
            </w:tcBorders>
            <w:shd w:val="clear" w:color="auto" w:fill="auto"/>
            <w:noWrap/>
            <w:vAlign w:val="bottom"/>
            <w:hideMark/>
          </w:tcPr>
          <w:p w:rsidR="000B4249" w:rsidRPr="000B4249" w:rsidRDefault="000B4249" w:rsidP="000B4249">
            <w:pPr>
              <w:rPr>
                <w:rFonts w:ascii="Lucida Bright" w:hAnsi="Lucida Bright" w:cs="Calibri"/>
                <w:color w:val="000000"/>
                <w:sz w:val="18"/>
                <w:szCs w:val="18"/>
                <w:lang w:val="es-ES"/>
              </w:rPr>
            </w:pPr>
          </w:p>
        </w:tc>
        <w:tc>
          <w:tcPr>
            <w:tcW w:w="956" w:type="dxa"/>
            <w:tcBorders>
              <w:top w:val="nil"/>
              <w:left w:val="nil"/>
              <w:bottom w:val="nil"/>
              <w:right w:val="nil"/>
            </w:tcBorders>
            <w:shd w:val="clear" w:color="auto" w:fill="auto"/>
            <w:noWrap/>
            <w:vAlign w:val="bottom"/>
            <w:hideMark/>
          </w:tcPr>
          <w:p w:rsidR="000B4249" w:rsidRPr="000B4249" w:rsidRDefault="000B4249" w:rsidP="000B4249">
            <w:pPr>
              <w:rPr>
                <w:rFonts w:ascii="Lucida Bright" w:hAnsi="Lucida Bright" w:cs="Calibri"/>
                <w:color w:val="000000"/>
                <w:sz w:val="18"/>
                <w:szCs w:val="18"/>
                <w:lang w:val="es-ES"/>
              </w:rPr>
            </w:pPr>
          </w:p>
        </w:tc>
        <w:tc>
          <w:tcPr>
            <w:tcW w:w="1296" w:type="dxa"/>
            <w:tcBorders>
              <w:top w:val="nil"/>
              <w:left w:val="nil"/>
              <w:bottom w:val="nil"/>
              <w:right w:val="nil"/>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(en euros)</w:t>
            </w:r>
          </w:p>
        </w:tc>
      </w:tr>
      <w:tr w:rsidR="000B4249" w:rsidRPr="000B4249" w:rsidTr="000B4249">
        <w:trPr>
          <w:trHeight w:val="630"/>
        </w:trPr>
        <w:tc>
          <w:tcPr>
            <w:tcW w:w="3654" w:type="dxa"/>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0B4249" w:rsidRP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CONCEPTO</w:t>
            </w:r>
          </w:p>
        </w:tc>
        <w:tc>
          <w:tcPr>
            <w:tcW w:w="1482"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Saldo a</w:t>
            </w:r>
            <w:r w:rsidRPr="000B4249">
              <w:rPr>
                <w:rFonts w:ascii="Lucida Bright" w:hAnsi="Lucida Bright" w:cs="Calibri"/>
                <w:b/>
                <w:bCs/>
                <w:color w:val="000000"/>
                <w:sz w:val="14"/>
                <w:szCs w:val="14"/>
                <w:lang w:val="es-ES"/>
              </w:rPr>
              <w:br/>
            </w:r>
            <w:r w:rsidRPr="000B4249">
              <w:rPr>
                <w:rFonts w:ascii="Lucida Bright" w:hAnsi="Lucida Bright" w:cs="Calibri"/>
                <w:b/>
                <w:bCs/>
                <w:color w:val="000000"/>
                <w:sz w:val="14"/>
                <w:szCs w:val="14"/>
                <w:lang w:val="es-ES"/>
              </w:rPr>
              <w:br/>
              <w:t>31-12-22</w:t>
            </w:r>
          </w:p>
        </w:tc>
        <w:tc>
          <w:tcPr>
            <w:tcW w:w="2752" w:type="dxa"/>
            <w:gridSpan w:val="2"/>
            <w:tcBorders>
              <w:top w:val="single" w:sz="4" w:space="0" w:color="auto"/>
              <w:left w:val="nil"/>
              <w:bottom w:val="single" w:sz="4" w:space="0" w:color="auto"/>
              <w:right w:val="single" w:sz="4" w:space="0" w:color="000000"/>
            </w:tcBorders>
            <w:shd w:val="clear" w:color="000000" w:fill="CCFFCC"/>
            <w:noWrap/>
            <w:vAlign w:val="center"/>
            <w:hideMark/>
          </w:tcPr>
          <w:p w:rsidR="000B4249" w:rsidRP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Variaciones del ejercicio</w:t>
            </w:r>
          </w:p>
        </w:tc>
        <w:tc>
          <w:tcPr>
            <w:tcW w:w="155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0B4249" w:rsidRPr="000B4249" w:rsidRDefault="000B4249" w:rsidP="001E4C9E">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Reclasificaciones</w:t>
            </w:r>
            <w:r w:rsidRPr="000B4249">
              <w:rPr>
                <w:rFonts w:ascii="Lucida Bright" w:hAnsi="Lucida Bright" w:cs="Calibri"/>
                <w:b/>
                <w:bCs/>
                <w:color w:val="000000"/>
                <w:sz w:val="14"/>
                <w:szCs w:val="14"/>
                <w:lang w:val="es-ES"/>
              </w:rPr>
              <w:br/>
              <w:t>(+/-)</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Traspaso a / de inversiones inmobiliarias</w:t>
            </w:r>
          </w:p>
          <w:p w:rsidR="000B4249" w:rsidRP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 (-/+)</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CCFFCC"/>
            <w:vAlign w:val="bottom"/>
            <w:hideMark/>
          </w:tcPr>
          <w:p w:rsidR="000B4249" w:rsidRP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Traspaso a activo</w:t>
            </w:r>
            <w:r w:rsidRPr="000B4249">
              <w:rPr>
                <w:rFonts w:ascii="Lucida Bright" w:hAnsi="Lucida Bright" w:cs="Calibri"/>
                <w:b/>
                <w:bCs/>
                <w:color w:val="000000"/>
                <w:sz w:val="14"/>
                <w:szCs w:val="14"/>
                <w:lang w:val="es-ES"/>
              </w:rPr>
              <w:br/>
              <w:t>no corriente mantenido para</w:t>
            </w:r>
            <w:r w:rsidRPr="000B4249">
              <w:rPr>
                <w:rFonts w:ascii="Lucida Bright" w:hAnsi="Lucida Bright" w:cs="Calibri"/>
                <w:b/>
                <w:bCs/>
                <w:color w:val="000000"/>
                <w:sz w:val="14"/>
                <w:szCs w:val="14"/>
                <w:lang w:val="es-ES"/>
              </w:rPr>
              <w:br/>
              <w:t>la venta (-)</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Ajustes contra patrimonio (+/-)</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Saldo a</w:t>
            </w:r>
            <w:r w:rsidRPr="000B4249">
              <w:rPr>
                <w:rFonts w:ascii="Lucida Bright" w:hAnsi="Lucida Bright" w:cs="Calibri"/>
                <w:b/>
                <w:bCs/>
                <w:color w:val="000000"/>
                <w:sz w:val="14"/>
                <w:szCs w:val="14"/>
                <w:lang w:val="es-ES"/>
              </w:rPr>
              <w:br/>
            </w:r>
            <w:r w:rsidRPr="000B4249">
              <w:rPr>
                <w:rFonts w:ascii="Lucida Bright" w:hAnsi="Lucida Bright" w:cs="Calibri"/>
                <w:b/>
                <w:bCs/>
                <w:color w:val="000000"/>
                <w:sz w:val="14"/>
                <w:szCs w:val="14"/>
                <w:lang w:val="es-ES"/>
              </w:rPr>
              <w:br/>
              <w:t>31-12-23</w:t>
            </w:r>
          </w:p>
        </w:tc>
      </w:tr>
      <w:tr w:rsidR="000B4249" w:rsidRPr="000B4249" w:rsidTr="000B4249">
        <w:trPr>
          <w:trHeight w:val="630"/>
        </w:trPr>
        <w:tc>
          <w:tcPr>
            <w:tcW w:w="3654" w:type="dxa"/>
            <w:gridSpan w:val="2"/>
            <w:vMerge/>
            <w:tcBorders>
              <w:top w:val="single" w:sz="4" w:space="0" w:color="auto"/>
              <w:left w:val="single" w:sz="4" w:space="0" w:color="auto"/>
              <w:bottom w:val="single" w:sz="4" w:space="0" w:color="000000"/>
              <w:right w:val="single" w:sz="4" w:space="0" w:color="000000"/>
            </w:tcBorders>
            <w:vAlign w:val="center"/>
            <w:hideMark/>
          </w:tcPr>
          <w:p w:rsidR="000B4249" w:rsidRPr="000B4249" w:rsidRDefault="000B4249" w:rsidP="000B4249">
            <w:pPr>
              <w:rPr>
                <w:rFonts w:ascii="Lucida Bright" w:hAnsi="Lucida Bright" w:cs="Calibri"/>
                <w:b/>
                <w:bCs/>
                <w:color w:val="000000"/>
                <w:sz w:val="14"/>
                <w:szCs w:val="14"/>
                <w:lang w:val="es-ES"/>
              </w:rPr>
            </w:pP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0B4249" w:rsidRPr="000B4249" w:rsidRDefault="000B4249" w:rsidP="000B4249">
            <w:pPr>
              <w:rPr>
                <w:rFonts w:ascii="Lucida Bright" w:hAnsi="Lucida Bright" w:cs="Calibri"/>
                <w:b/>
                <w:bCs/>
                <w:color w:val="000000"/>
                <w:sz w:val="14"/>
                <w:szCs w:val="14"/>
                <w:lang w:val="es-ES"/>
              </w:rPr>
            </w:pPr>
          </w:p>
        </w:tc>
        <w:tc>
          <w:tcPr>
            <w:tcW w:w="1376" w:type="dxa"/>
            <w:tcBorders>
              <w:top w:val="nil"/>
              <w:left w:val="nil"/>
              <w:bottom w:val="single" w:sz="4" w:space="0" w:color="auto"/>
              <w:right w:val="single" w:sz="4" w:space="0" w:color="auto"/>
            </w:tcBorders>
            <w:shd w:val="clear" w:color="000000" w:fill="CCFFCC"/>
            <w:noWrap/>
            <w:vAlign w:val="bottom"/>
            <w:hideMark/>
          </w:tcPr>
          <w:p w:rsidR="000B4249" w:rsidRP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Altas (+)</w:t>
            </w:r>
          </w:p>
        </w:tc>
        <w:tc>
          <w:tcPr>
            <w:tcW w:w="1376" w:type="dxa"/>
            <w:tcBorders>
              <w:top w:val="nil"/>
              <w:left w:val="nil"/>
              <w:bottom w:val="single" w:sz="4" w:space="0" w:color="auto"/>
              <w:right w:val="single" w:sz="4" w:space="0" w:color="auto"/>
            </w:tcBorders>
            <w:shd w:val="clear" w:color="000000" w:fill="CCFFCC"/>
            <w:noWrap/>
            <w:vAlign w:val="bottom"/>
            <w:hideMark/>
          </w:tcPr>
          <w:p w:rsidR="000B4249" w:rsidRPr="000B4249" w:rsidRDefault="000B4249" w:rsidP="000B4249">
            <w:pPr>
              <w:jc w:val="cente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Bajas (-)</w:t>
            </w:r>
          </w:p>
        </w:tc>
        <w:tc>
          <w:tcPr>
            <w:tcW w:w="1556" w:type="dxa"/>
            <w:vMerge/>
            <w:tcBorders>
              <w:top w:val="single" w:sz="4" w:space="0" w:color="auto"/>
              <w:left w:val="single" w:sz="4" w:space="0" w:color="auto"/>
              <w:bottom w:val="single" w:sz="4" w:space="0" w:color="000000"/>
              <w:right w:val="single" w:sz="4" w:space="0" w:color="auto"/>
            </w:tcBorders>
            <w:vAlign w:val="center"/>
            <w:hideMark/>
          </w:tcPr>
          <w:p w:rsidR="000B4249" w:rsidRPr="000B4249" w:rsidRDefault="000B4249" w:rsidP="000B4249">
            <w:pPr>
              <w:rPr>
                <w:rFonts w:ascii="Lucida Bright" w:hAnsi="Lucida Bright" w:cs="Calibri"/>
                <w:b/>
                <w:bCs/>
                <w:color w:val="000000"/>
                <w:sz w:val="14"/>
                <w:szCs w:val="14"/>
                <w:lang w:val="es-ES"/>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0B4249" w:rsidRPr="000B4249" w:rsidRDefault="000B4249" w:rsidP="000B4249">
            <w:pPr>
              <w:rPr>
                <w:rFonts w:ascii="Lucida Bright" w:hAnsi="Lucida Bright" w:cs="Calibri"/>
                <w:b/>
                <w:bCs/>
                <w:color w:val="000000"/>
                <w:sz w:val="14"/>
                <w:szCs w:val="14"/>
                <w:lang w:val="es-ES"/>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0B4249" w:rsidRPr="000B4249" w:rsidRDefault="000B4249" w:rsidP="000B4249">
            <w:pPr>
              <w:rPr>
                <w:rFonts w:ascii="Lucida Bright" w:hAnsi="Lucida Bright" w:cs="Calibri"/>
                <w:b/>
                <w:bCs/>
                <w:color w:val="000000"/>
                <w:sz w:val="14"/>
                <w:szCs w:val="14"/>
                <w:lang w:val="es-ES"/>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0B4249" w:rsidRPr="000B4249" w:rsidRDefault="000B4249" w:rsidP="000B4249">
            <w:pPr>
              <w:rPr>
                <w:rFonts w:ascii="Lucida Bright" w:hAnsi="Lucida Bright" w:cs="Calibri"/>
                <w:b/>
                <w:bCs/>
                <w:color w:val="000000"/>
                <w:sz w:val="14"/>
                <w:szCs w:val="14"/>
                <w:lang w:val="es-ES"/>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0B4249" w:rsidRPr="000B4249" w:rsidRDefault="000B4249" w:rsidP="000B4249">
            <w:pPr>
              <w:rPr>
                <w:rFonts w:ascii="Lucida Bright" w:hAnsi="Lucida Bright" w:cs="Calibri"/>
                <w:b/>
                <w:bCs/>
                <w:color w:val="000000"/>
                <w:sz w:val="14"/>
                <w:szCs w:val="14"/>
                <w:lang w:val="es-ES"/>
              </w:rPr>
            </w:pP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a) Terrenos y bienes naturales</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77.037.656,50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803.085,70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(0,01)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77.840.742,19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b) Construcciones</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576.117.792,63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26.089.917,47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(803.428,36)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(73,85)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(448.967,27)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600.955.240,62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Accesos marítimos</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19.725.653,78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(9,57)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19.725.644,21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Obras de abrigo y defensa</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68.554.422,45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2,80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68.554.425,25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Obras de atraque</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251.163.463,77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2.982.720,75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(84.817,44)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(15,88)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254.061.351,20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Instalaciones para reparación de barcos</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r>
      <w:tr w:rsidR="000B4249" w:rsidRPr="000B4249" w:rsidTr="000B4249">
        <w:trPr>
          <w:trHeight w:val="210"/>
        </w:trPr>
        <w:tc>
          <w:tcPr>
            <w:tcW w:w="3588"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Edificaciones</w:t>
            </w:r>
          </w:p>
        </w:tc>
        <w:tc>
          <w:tcPr>
            <w:tcW w:w="6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100.670.658,60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13.103.155,25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(290.736,22)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(31,55)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(448.967,27)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113.034.078,81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Instalaciones generales</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59.283.949,40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6.501.997,68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(368.570,53)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(7,28)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65.417.369,27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Pavimentos, calzadas y vías de circulación</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76.719.644,63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3.502.043,79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(59.304,17)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(12,37)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80.162.371,88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c) Equipamientos e instalaciones técnicas</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29.489.606,65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287.823,08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(704.055,37)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878,80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29.074.253,16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Instalaciones de ayuda a la navegación</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6.185.100,00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287.823,08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(490.141,59)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883,20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5.983.664,69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Equipos de manipulación de </w:t>
            </w:r>
            <w:r w:rsidR="00DD448C" w:rsidRPr="000B4249">
              <w:rPr>
                <w:rFonts w:ascii="Lucida Bright" w:hAnsi="Lucida Bright" w:cs="Calibri"/>
                <w:sz w:val="14"/>
                <w:szCs w:val="14"/>
                <w:lang w:val="es-ES"/>
              </w:rPr>
              <w:t>mercancías</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21.803.965,39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(48.539,64)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(7,58)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21.755.418,17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Material flotante</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1.318.595,34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(150.464,94)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1,45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1.168.131,85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Material ferroviario</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r>
      <w:tr w:rsidR="000B4249" w:rsidRPr="000B4249" w:rsidTr="000B4249">
        <w:trPr>
          <w:trHeight w:val="210"/>
        </w:trPr>
        <w:tc>
          <w:tcPr>
            <w:tcW w:w="3588"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Equipo de taller</w:t>
            </w:r>
          </w:p>
        </w:tc>
        <w:tc>
          <w:tcPr>
            <w:tcW w:w="6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181.945,92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(14.909,20)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1,73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167.038,45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d) Otro inmovilizado</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19.942.149,12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1.339.357,75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(2.426.078,93)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(30,27)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18.855.397,67 </w:t>
            </w:r>
          </w:p>
        </w:tc>
      </w:tr>
      <w:tr w:rsidR="000B4249" w:rsidRPr="000B4249" w:rsidTr="000B4249">
        <w:trPr>
          <w:trHeight w:val="210"/>
        </w:trPr>
        <w:tc>
          <w:tcPr>
            <w:tcW w:w="3588"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Mobiliario</w:t>
            </w:r>
          </w:p>
        </w:tc>
        <w:tc>
          <w:tcPr>
            <w:tcW w:w="6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2.793.231,73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49.518,25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(140.001,47)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(3,34)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2.702.745,17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Equipos para proceso de información</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3.271.124,58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395.028,40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(229.120,44)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(7,88)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3.437.024,66 </w:t>
            </w:r>
          </w:p>
        </w:tc>
      </w:tr>
      <w:tr w:rsidR="000B4249" w:rsidRPr="000B4249" w:rsidTr="000B4249">
        <w:trPr>
          <w:trHeight w:val="210"/>
        </w:trPr>
        <w:tc>
          <w:tcPr>
            <w:tcW w:w="365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Elementos de transporte</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3.108.526,79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535.092,25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(1,93)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3.643.617,11 </w:t>
            </w:r>
          </w:p>
        </w:tc>
      </w:tr>
      <w:tr w:rsidR="000B4249" w:rsidRPr="000B4249" w:rsidTr="000B4249">
        <w:trPr>
          <w:trHeight w:val="210"/>
        </w:trPr>
        <w:tc>
          <w:tcPr>
            <w:tcW w:w="3588" w:type="dxa"/>
            <w:tcBorders>
              <w:top w:val="nil"/>
              <w:left w:val="single" w:sz="4" w:space="0" w:color="auto"/>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Otro inmovilizado material</w:t>
            </w:r>
          </w:p>
        </w:tc>
        <w:tc>
          <w:tcPr>
            <w:tcW w:w="6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10.769.266,02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359.718,85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(2.056.957,02)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(17,12)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color w:val="000000"/>
                <w:sz w:val="14"/>
                <w:szCs w:val="14"/>
                <w:lang w:val="es-ES"/>
              </w:rPr>
            </w:pPr>
            <w:r w:rsidRPr="000B4249">
              <w:rPr>
                <w:rFonts w:ascii="Lucida Bright" w:hAnsi="Lucida Bright" w:cs="Calibri"/>
                <w:color w:val="000000"/>
                <w:sz w:val="14"/>
                <w:szCs w:val="14"/>
                <w:lang w:val="es-ES"/>
              </w:rPr>
              <w:t xml:space="preserve">9.072.010,73 </w:t>
            </w:r>
          </w:p>
        </w:tc>
      </w:tr>
      <w:tr w:rsidR="000B4249" w:rsidRPr="000B4249" w:rsidTr="000B4249">
        <w:trPr>
          <w:trHeight w:val="210"/>
        </w:trPr>
        <w:tc>
          <w:tcPr>
            <w:tcW w:w="3588"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TOTAL INMOVILIZADO MATERIAL</w:t>
            </w:r>
          </w:p>
        </w:tc>
        <w:tc>
          <w:tcPr>
            <w:tcW w:w="6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702.587.204,90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28.520.184,00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(3.933.562,66)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774,67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(448.967,27)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726.725.633,64 </w:t>
            </w:r>
          </w:p>
        </w:tc>
      </w:tr>
      <w:tr w:rsidR="000B4249" w:rsidRPr="000B4249" w:rsidTr="000B4249">
        <w:trPr>
          <w:trHeight w:val="210"/>
        </w:trPr>
        <w:tc>
          <w:tcPr>
            <w:tcW w:w="3588"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ANTICIPOS E INMOVILIZADO EN CURSO</w:t>
            </w:r>
          </w:p>
        </w:tc>
        <w:tc>
          <w:tcPr>
            <w:tcW w:w="6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56.176.200,63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11.126.247,60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(237.041,42)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(374.952,03)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(151.756,91)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66.538.697,87 </w:t>
            </w:r>
          </w:p>
        </w:tc>
      </w:tr>
      <w:tr w:rsidR="000B4249" w:rsidRPr="000B4249" w:rsidTr="000B4249">
        <w:trPr>
          <w:trHeight w:val="210"/>
        </w:trPr>
        <w:tc>
          <w:tcPr>
            <w:tcW w:w="3588"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TOTAL</w:t>
            </w:r>
          </w:p>
        </w:tc>
        <w:tc>
          <w:tcPr>
            <w:tcW w:w="6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482"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758.763.405,53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39.646.431,60 </w:t>
            </w:r>
          </w:p>
        </w:tc>
        <w:tc>
          <w:tcPr>
            <w:tcW w:w="137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(4.170.604,08) </w:t>
            </w:r>
          </w:p>
        </w:tc>
        <w:tc>
          <w:tcPr>
            <w:tcW w:w="15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(374.177,36)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(600.724,18) </w:t>
            </w:r>
          </w:p>
        </w:tc>
        <w:tc>
          <w:tcPr>
            <w:tcW w:w="121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95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w:t>
            </w:r>
          </w:p>
        </w:tc>
        <w:tc>
          <w:tcPr>
            <w:tcW w:w="1296" w:type="dxa"/>
            <w:tcBorders>
              <w:top w:val="nil"/>
              <w:left w:val="nil"/>
              <w:bottom w:val="single" w:sz="4" w:space="0" w:color="auto"/>
              <w:right w:val="single" w:sz="4" w:space="0" w:color="auto"/>
            </w:tcBorders>
            <w:shd w:val="clear" w:color="auto" w:fill="auto"/>
            <w:noWrap/>
            <w:vAlign w:val="bottom"/>
            <w:hideMark/>
          </w:tcPr>
          <w:p w:rsidR="000B4249" w:rsidRPr="000B4249" w:rsidRDefault="000B4249" w:rsidP="000B4249">
            <w:pPr>
              <w:jc w:val="right"/>
              <w:rPr>
                <w:rFonts w:ascii="Lucida Bright" w:hAnsi="Lucida Bright" w:cs="Calibri"/>
                <w:b/>
                <w:bCs/>
                <w:color w:val="000000"/>
                <w:sz w:val="14"/>
                <w:szCs w:val="14"/>
                <w:lang w:val="es-ES"/>
              </w:rPr>
            </w:pPr>
            <w:r w:rsidRPr="000B4249">
              <w:rPr>
                <w:rFonts w:ascii="Lucida Bright" w:hAnsi="Lucida Bright" w:cs="Calibri"/>
                <w:b/>
                <w:bCs/>
                <w:color w:val="000000"/>
                <w:sz w:val="14"/>
                <w:szCs w:val="14"/>
                <w:lang w:val="es-ES"/>
              </w:rPr>
              <w:t xml:space="preserve">793.264.331,51 </w:t>
            </w:r>
          </w:p>
        </w:tc>
      </w:tr>
    </w:tbl>
    <w:p w:rsidR="00B9194A" w:rsidRDefault="00B9194A" w:rsidP="004E5856">
      <w:pPr>
        <w:shd w:val="clear" w:color="auto" w:fill="FFFFFF"/>
        <w:ind w:left="12" w:right="1108"/>
        <w:rPr>
          <w:rFonts w:ascii="Lucida Bright" w:eastAsia="Lucida Bright" w:hAnsi="Lucida Bright" w:cs="Lucida Bright"/>
          <w:color w:val="000000"/>
          <w:sz w:val="15"/>
          <w:highlight w:val="white"/>
        </w:rPr>
      </w:pPr>
    </w:p>
    <w:p w:rsidR="00B9194A" w:rsidRDefault="00B9194A" w:rsidP="004E5856">
      <w:pPr>
        <w:shd w:val="clear" w:color="auto" w:fill="FFFFFF"/>
        <w:ind w:left="12" w:right="1108"/>
        <w:rPr>
          <w:rFonts w:ascii="Lucida Bright" w:eastAsia="Lucida Bright" w:hAnsi="Lucida Bright" w:cs="Lucida Bright"/>
          <w:color w:val="000000"/>
          <w:sz w:val="15"/>
          <w:highlight w:val="white"/>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tbl>
      <w:tblPr>
        <w:tblW w:w="13608" w:type="dxa"/>
        <w:tblInd w:w="70" w:type="dxa"/>
        <w:tblCellMar>
          <w:left w:w="70" w:type="dxa"/>
          <w:right w:w="70" w:type="dxa"/>
        </w:tblCellMar>
        <w:tblLook w:val="04A0" w:firstRow="1" w:lastRow="0" w:firstColumn="1" w:lastColumn="0" w:noHBand="0" w:noVBand="1"/>
      </w:tblPr>
      <w:tblGrid>
        <w:gridCol w:w="3239"/>
        <w:gridCol w:w="184"/>
        <w:gridCol w:w="1243"/>
        <w:gridCol w:w="1159"/>
        <w:gridCol w:w="1096"/>
        <w:gridCol w:w="1096"/>
        <w:gridCol w:w="1096"/>
        <w:gridCol w:w="1096"/>
        <w:gridCol w:w="1146"/>
        <w:gridCol w:w="1216"/>
        <w:gridCol w:w="1216"/>
      </w:tblGrid>
      <w:tr w:rsidR="000B4249" w:rsidRPr="000B4249" w:rsidTr="000B4249">
        <w:trPr>
          <w:trHeight w:val="300"/>
        </w:trPr>
        <w:tc>
          <w:tcPr>
            <w:tcW w:w="5696" w:type="dxa"/>
            <w:gridSpan w:val="4"/>
            <w:tcBorders>
              <w:top w:val="nil"/>
              <w:left w:val="nil"/>
              <w:bottom w:val="single" w:sz="4" w:space="0" w:color="auto"/>
              <w:right w:val="nil"/>
            </w:tcBorders>
            <w:shd w:val="clear" w:color="000000" w:fill="FFFFFF"/>
            <w:noWrap/>
            <w:vAlign w:val="center"/>
            <w:hideMark/>
          </w:tcPr>
          <w:p w:rsidR="000B4249" w:rsidRPr="000B4249" w:rsidRDefault="000B4249" w:rsidP="000B4249">
            <w:pPr>
              <w:rPr>
                <w:rFonts w:ascii="Lucida Bright" w:hAnsi="Lucida Bright" w:cs="Calibri"/>
                <w:b/>
                <w:bCs/>
                <w:sz w:val="18"/>
                <w:szCs w:val="18"/>
                <w:lang w:val="es-ES"/>
              </w:rPr>
            </w:pPr>
            <w:r w:rsidRPr="000B4249">
              <w:rPr>
                <w:rFonts w:ascii="Lucida Bright" w:hAnsi="Lucida Bright" w:cs="Calibri"/>
                <w:b/>
                <w:bCs/>
                <w:sz w:val="18"/>
                <w:szCs w:val="18"/>
                <w:lang w:val="es-ES"/>
              </w:rPr>
              <w:t>CUADRO: ALTAS DE INMOVILIZADO MATERIAL 2023</w:t>
            </w:r>
          </w:p>
        </w:tc>
        <w:tc>
          <w:tcPr>
            <w:tcW w:w="1096" w:type="dxa"/>
            <w:tcBorders>
              <w:top w:val="nil"/>
              <w:left w:val="nil"/>
              <w:bottom w:val="nil"/>
              <w:right w:val="nil"/>
            </w:tcBorders>
            <w:shd w:val="clear" w:color="000000" w:fill="FFFFFF"/>
            <w:noWrap/>
            <w:vAlign w:val="center"/>
            <w:hideMark/>
          </w:tcPr>
          <w:p w:rsidR="000B4249" w:rsidRPr="000B4249" w:rsidRDefault="000B4249" w:rsidP="000B4249">
            <w:pPr>
              <w:rPr>
                <w:rFonts w:ascii="Arial" w:hAnsi="Arial" w:cs="Arial"/>
                <w:lang w:val="es-ES"/>
              </w:rPr>
            </w:pPr>
            <w:r w:rsidRPr="000B4249">
              <w:rPr>
                <w:rFonts w:ascii="Arial" w:hAnsi="Arial" w:cs="Arial"/>
                <w:lang w:val="es-ES"/>
              </w:rPr>
              <w:t> </w:t>
            </w:r>
          </w:p>
        </w:tc>
        <w:tc>
          <w:tcPr>
            <w:tcW w:w="1096" w:type="dxa"/>
            <w:tcBorders>
              <w:top w:val="nil"/>
              <w:left w:val="nil"/>
              <w:bottom w:val="nil"/>
              <w:right w:val="nil"/>
            </w:tcBorders>
            <w:shd w:val="clear" w:color="000000" w:fill="FFFFFF"/>
            <w:noWrap/>
            <w:vAlign w:val="center"/>
            <w:hideMark/>
          </w:tcPr>
          <w:p w:rsidR="000B4249" w:rsidRPr="000B4249" w:rsidRDefault="000B4249" w:rsidP="000B4249">
            <w:pPr>
              <w:rPr>
                <w:rFonts w:ascii="Arial" w:hAnsi="Arial" w:cs="Arial"/>
                <w:lang w:val="es-ES"/>
              </w:rPr>
            </w:pPr>
            <w:r w:rsidRPr="000B4249">
              <w:rPr>
                <w:rFonts w:ascii="Arial" w:hAnsi="Arial" w:cs="Arial"/>
                <w:lang w:val="es-ES"/>
              </w:rPr>
              <w:t> </w:t>
            </w:r>
          </w:p>
        </w:tc>
        <w:tc>
          <w:tcPr>
            <w:tcW w:w="1096" w:type="dxa"/>
            <w:tcBorders>
              <w:top w:val="nil"/>
              <w:left w:val="nil"/>
              <w:bottom w:val="nil"/>
              <w:right w:val="nil"/>
            </w:tcBorders>
            <w:shd w:val="clear" w:color="000000" w:fill="FFFFFF"/>
            <w:noWrap/>
            <w:vAlign w:val="center"/>
            <w:hideMark/>
          </w:tcPr>
          <w:p w:rsidR="000B4249" w:rsidRPr="000B4249" w:rsidRDefault="000B4249" w:rsidP="000B4249">
            <w:pPr>
              <w:rPr>
                <w:rFonts w:ascii="Arial" w:hAnsi="Arial" w:cs="Arial"/>
                <w:lang w:val="es-ES"/>
              </w:rPr>
            </w:pPr>
            <w:r w:rsidRPr="000B4249">
              <w:rPr>
                <w:rFonts w:ascii="Arial" w:hAnsi="Arial" w:cs="Arial"/>
                <w:lang w:val="es-ES"/>
              </w:rPr>
              <w:t> </w:t>
            </w:r>
          </w:p>
        </w:tc>
        <w:tc>
          <w:tcPr>
            <w:tcW w:w="1096" w:type="dxa"/>
            <w:tcBorders>
              <w:top w:val="nil"/>
              <w:left w:val="nil"/>
              <w:bottom w:val="nil"/>
              <w:right w:val="nil"/>
            </w:tcBorders>
            <w:shd w:val="clear" w:color="000000" w:fill="FFFFFF"/>
            <w:noWrap/>
            <w:vAlign w:val="center"/>
            <w:hideMark/>
          </w:tcPr>
          <w:p w:rsidR="000B4249" w:rsidRPr="000B4249" w:rsidRDefault="000B4249" w:rsidP="000B4249">
            <w:pPr>
              <w:rPr>
                <w:rFonts w:ascii="Arial" w:hAnsi="Arial" w:cs="Arial"/>
                <w:lang w:val="es-ES"/>
              </w:rPr>
            </w:pPr>
            <w:r w:rsidRPr="000B4249">
              <w:rPr>
                <w:rFonts w:ascii="Arial" w:hAnsi="Arial" w:cs="Arial"/>
                <w:lang w:val="es-ES"/>
              </w:rPr>
              <w:t> </w:t>
            </w:r>
          </w:p>
        </w:tc>
        <w:tc>
          <w:tcPr>
            <w:tcW w:w="1096" w:type="dxa"/>
            <w:tcBorders>
              <w:top w:val="nil"/>
              <w:left w:val="nil"/>
              <w:bottom w:val="nil"/>
              <w:right w:val="nil"/>
            </w:tcBorders>
            <w:shd w:val="clear" w:color="000000" w:fill="FFFFFF"/>
            <w:noWrap/>
            <w:vAlign w:val="center"/>
            <w:hideMark/>
          </w:tcPr>
          <w:p w:rsidR="000B4249" w:rsidRPr="000B4249" w:rsidRDefault="000B4249" w:rsidP="000B4249">
            <w:pPr>
              <w:rPr>
                <w:rFonts w:ascii="Arial" w:hAnsi="Arial" w:cs="Arial"/>
                <w:lang w:val="es-ES"/>
              </w:rPr>
            </w:pPr>
            <w:r w:rsidRPr="000B4249">
              <w:rPr>
                <w:rFonts w:ascii="Arial" w:hAnsi="Arial" w:cs="Arial"/>
                <w:lang w:val="es-ES"/>
              </w:rPr>
              <w:t> </w:t>
            </w:r>
          </w:p>
        </w:tc>
        <w:tc>
          <w:tcPr>
            <w:tcW w:w="1216" w:type="dxa"/>
            <w:tcBorders>
              <w:top w:val="nil"/>
              <w:left w:val="nil"/>
              <w:bottom w:val="nil"/>
              <w:right w:val="nil"/>
            </w:tcBorders>
            <w:shd w:val="clear" w:color="000000" w:fill="FFFFFF"/>
            <w:noWrap/>
            <w:vAlign w:val="center"/>
            <w:hideMark/>
          </w:tcPr>
          <w:p w:rsidR="000B4249" w:rsidRPr="000B4249" w:rsidRDefault="000B4249" w:rsidP="000B4249">
            <w:pPr>
              <w:rPr>
                <w:rFonts w:ascii="Arial" w:hAnsi="Arial" w:cs="Arial"/>
                <w:lang w:val="es-ES"/>
              </w:rPr>
            </w:pPr>
            <w:r w:rsidRPr="000B4249">
              <w:rPr>
                <w:rFonts w:ascii="Arial" w:hAnsi="Arial" w:cs="Arial"/>
                <w:lang w:val="es-ES"/>
              </w:rPr>
              <w:t> </w:t>
            </w:r>
          </w:p>
        </w:tc>
        <w:tc>
          <w:tcPr>
            <w:tcW w:w="1216" w:type="dxa"/>
            <w:tcBorders>
              <w:top w:val="nil"/>
              <w:left w:val="nil"/>
              <w:bottom w:val="nil"/>
              <w:right w:val="nil"/>
            </w:tcBorders>
            <w:shd w:val="clear" w:color="000000" w:fill="FFFFFF"/>
            <w:noWrap/>
            <w:vAlign w:val="bottom"/>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(en euros)</w:t>
            </w:r>
          </w:p>
        </w:tc>
      </w:tr>
      <w:tr w:rsidR="000B4249" w:rsidRPr="000B4249" w:rsidTr="000B4249">
        <w:trPr>
          <w:trHeight w:val="915"/>
        </w:trPr>
        <w:tc>
          <w:tcPr>
            <w:tcW w:w="3294" w:type="dxa"/>
            <w:gridSpan w:val="2"/>
            <w:tcBorders>
              <w:top w:val="single" w:sz="4" w:space="0" w:color="auto"/>
              <w:left w:val="single" w:sz="4" w:space="0" w:color="auto"/>
              <w:bottom w:val="single" w:sz="4" w:space="0" w:color="auto"/>
              <w:right w:val="single" w:sz="4" w:space="0" w:color="000000"/>
            </w:tcBorders>
            <w:shd w:val="clear" w:color="000000" w:fill="CCFFCC"/>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CONCEPTO</w:t>
            </w:r>
          </w:p>
        </w:tc>
        <w:tc>
          <w:tcPr>
            <w:tcW w:w="1243" w:type="dxa"/>
            <w:tcBorders>
              <w:top w:val="nil"/>
              <w:left w:val="nil"/>
              <w:bottom w:val="single" w:sz="4" w:space="0" w:color="auto"/>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sz w:val="14"/>
                <w:szCs w:val="14"/>
                <w:lang w:val="es-ES"/>
              </w:rPr>
            </w:pPr>
            <w:r w:rsidRPr="000B4249">
              <w:rPr>
                <w:rFonts w:ascii="Lucida Bright" w:hAnsi="Lucida Bright" w:cs="Calibri"/>
                <w:sz w:val="14"/>
                <w:szCs w:val="14"/>
                <w:lang w:val="es-ES"/>
              </w:rPr>
              <w:t>Adquisiciones</w:t>
            </w:r>
            <w:r w:rsidRPr="000B4249">
              <w:rPr>
                <w:rFonts w:ascii="Lucida Bright" w:hAnsi="Lucida Bright" w:cs="Calibri"/>
                <w:sz w:val="14"/>
                <w:szCs w:val="14"/>
                <w:lang w:val="es-ES"/>
              </w:rPr>
              <w:br/>
              <w:t>a proveedores</w:t>
            </w:r>
            <w:r w:rsidRPr="000B4249">
              <w:rPr>
                <w:rFonts w:ascii="Lucida Bright" w:hAnsi="Lucida Bright" w:cs="Calibri"/>
                <w:sz w:val="14"/>
                <w:szCs w:val="14"/>
                <w:lang w:val="es-ES"/>
              </w:rPr>
              <w:br/>
              <w:t>externos</w:t>
            </w:r>
          </w:p>
        </w:tc>
        <w:tc>
          <w:tcPr>
            <w:tcW w:w="1159" w:type="dxa"/>
            <w:tcBorders>
              <w:top w:val="nil"/>
              <w:left w:val="nil"/>
              <w:bottom w:val="single" w:sz="4" w:space="0" w:color="auto"/>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sz w:val="14"/>
                <w:szCs w:val="14"/>
                <w:lang w:val="es-ES"/>
              </w:rPr>
            </w:pPr>
            <w:r w:rsidRPr="000B4249">
              <w:rPr>
                <w:rFonts w:ascii="Lucida Bright" w:hAnsi="Lucida Bright" w:cs="Calibri"/>
                <w:sz w:val="14"/>
                <w:szCs w:val="14"/>
                <w:lang w:val="es-ES"/>
              </w:rPr>
              <w:t>Adquisiciones</w:t>
            </w:r>
            <w:r w:rsidRPr="000B4249">
              <w:rPr>
                <w:rFonts w:ascii="Lucida Bright" w:hAnsi="Lucida Bright" w:cs="Calibri"/>
                <w:sz w:val="14"/>
                <w:szCs w:val="14"/>
                <w:lang w:val="es-ES"/>
              </w:rPr>
              <w:br/>
              <w:t>a otras AA.PP. y</w:t>
            </w:r>
            <w:r w:rsidRPr="000B4249">
              <w:rPr>
                <w:rFonts w:ascii="Lucida Bright" w:hAnsi="Lucida Bright" w:cs="Calibri"/>
                <w:sz w:val="14"/>
                <w:szCs w:val="14"/>
                <w:lang w:val="es-ES"/>
              </w:rPr>
              <w:br/>
              <w:t>Puertos del Estado</w:t>
            </w:r>
          </w:p>
        </w:tc>
        <w:tc>
          <w:tcPr>
            <w:tcW w:w="1096" w:type="dxa"/>
            <w:tcBorders>
              <w:top w:val="single" w:sz="4" w:space="0" w:color="auto"/>
              <w:left w:val="nil"/>
              <w:bottom w:val="single" w:sz="4" w:space="0" w:color="auto"/>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sz w:val="14"/>
                <w:szCs w:val="14"/>
                <w:lang w:val="es-ES"/>
              </w:rPr>
            </w:pPr>
            <w:r w:rsidRPr="000B4249">
              <w:rPr>
                <w:rFonts w:ascii="Lucida Bright" w:hAnsi="Lucida Bright" w:cs="Calibri"/>
                <w:sz w:val="14"/>
                <w:szCs w:val="14"/>
                <w:lang w:val="es-ES"/>
              </w:rPr>
              <w:t>Incorporación al activo de gastos financieros</w:t>
            </w:r>
          </w:p>
        </w:tc>
        <w:tc>
          <w:tcPr>
            <w:tcW w:w="1096" w:type="dxa"/>
            <w:tcBorders>
              <w:top w:val="single" w:sz="4" w:space="0" w:color="auto"/>
              <w:left w:val="nil"/>
              <w:bottom w:val="single" w:sz="4" w:space="0" w:color="auto"/>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sz w:val="14"/>
                <w:szCs w:val="14"/>
                <w:lang w:val="es-ES"/>
              </w:rPr>
            </w:pPr>
            <w:r w:rsidRPr="000B4249">
              <w:rPr>
                <w:rFonts w:ascii="Lucida Bright" w:hAnsi="Lucida Bright" w:cs="Calibri"/>
                <w:sz w:val="14"/>
                <w:szCs w:val="14"/>
                <w:lang w:val="es-ES"/>
              </w:rPr>
              <w:t>Activos</w:t>
            </w:r>
            <w:r w:rsidRPr="000B4249">
              <w:rPr>
                <w:rFonts w:ascii="Lucida Bright" w:hAnsi="Lucida Bright" w:cs="Calibri"/>
                <w:sz w:val="14"/>
                <w:szCs w:val="14"/>
                <w:lang w:val="es-ES"/>
              </w:rPr>
              <w:br/>
              <w:t>subsumidos</w:t>
            </w:r>
            <w:r w:rsidRPr="000B4249">
              <w:rPr>
                <w:rFonts w:ascii="Lucida Bright" w:hAnsi="Lucida Bright" w:cs="Calibri"/>
                <w:sz w:val="14"/>
                <w:szCs w:val="14"/>
                <w:lang w:val="es-ES"/>
              </w:rPr>
              <w:br/>
              <w:t>en otros</w:t>
            </w:r>
          </w:p>
        </w:tc>
        <w:tc>
          <w:tcPr>
            <w:tcW w:w="1096" w:type="dxa"/>
            <w:tcBorders>
              <w:top w:val="single" w:sz="4" w:space="0" w:color="auto"/>
              <w:left w:val="nil"/>
              <w:bottom w:val="nil"/>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sz w:val="14"/>
                <w:szCs w:val="14"/>
                <w:lang w:val="es-ES"/>
              </w:rPr>
            </w:pPr>
            <w:r w:rsidRPr="000B4249">
              <w:rPr>
                <w:rFonts w:ascii="Lucida Bright" w:hAnsi="Lucida Bright" w:cs="Calibri"/>
                <w:sz w:val="14"/>
                <w:szCs w:val="14"/>
                <w:lang w:val="es-ES"/>
              </w:rPr>
              <w:t>Concesiones</w:t>
            </w:r>
            <w:r w:rsidRPr="000B4249">
              <w:rPr>
                <w:rFonts w:ascii="Lucida Bright" w:hAnsi="Lucida Bright" w:cs="Calibri"/>
                <w:sz w:val="14"/>
                <w:szCs w:val="14"/>
                <w:lang w:val="es-ES"/>
              </w:rPr>
              <w:br/>
              <w:t>revertidas, donaciones y legados</w:t>
            </w:r>
          </w:p>
        </w:tc>
        <w:tc>
          <w:tcPr>
            <w:tcW w:w="1096" w:type="dxa"/>
            <w:tcBorders>
              <w:top w:val="single" w:sz="4" w:space="0" w:color="auto"/>
              <w:left w:val="nil"/>
              <w:bottom w:val="nil"/>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sz w:val="14"/>
                <w:szCs w:val="14"/>
                <w:lang w:val="es-ES"/>
              </w:rPr>
            </w:pPr>
            <w:r w:rsidRPr="000B4249">
              <w:rPr>
                <w:rFonts w:ascii="Lucida Bright" w:hAnsi="Lucida Bright" w:cs="Calibri"/>
                <w:sz w:val="14"/>
                <w:szCs w:val="14"/>
                <w:lang w:val="es-ES"/>
              </w:rPr>
              <w:t>Rescate</w:t>
            </w:r>
            <w:r w:rsidRPr="000B4249">
              <w:rPr>
                <w:rFonts w:ascii="Lucida Bright" w:hAnsi="Lucida Bright" w:cs="Calibri"/>
                <w:sz w:val="14"/>
                <w:szCs w:val="14"/>
                <w:lang w:val="es-ES"/>
              </w:rPr>
              <w:br/>
              <w:t>anticipado</w:t>
            </w:r>
            <w:r>
              <w:rPr>
                <w:rFonts w:ascii="Lucida Bright" w:hAnsi="Lucida Bright" w:cs="Calibri"/>
                <w:sz w:val="14"/>
                <w:szCs w:val="14"/>
                <w:lang w:val="es-ES"/>
              </w:rPr>
              <w:t xml:space="preserve"> </w:t>
            </w:r>
            <w:r w:rsidRPr="000B4249">
              <w:rPr>
                <w:rFonts w:ascii="Lucida Bright" w:hAnsi="Lucida Bright" w:cs="Calibri"/>
                <w:sz w:val="14"/>
                <w:szCs w:val="14"/>
                <w:lang w:val="es-ES"/>
              </w:rPr>
              <w:t>de</w:t>
            </w:r>
            <w:r w:rsidRPr="000B4249">
              <w:rPr>
                <w:rFonts w:ascii="Lucida Bright" w:hAnsi="Lucida Bright" w:cs="Calibri"/>
                <w:sz w:val="14"/>
                <w:szCs w:val="14"/>
                <w:lang w:val="es-ES"/>
              </w:rPr>
              <w:br/>
              <w:t>concesiones</w:t>
            </w:r>
          </w:p>
        </w:tc>
        <w:tc>
          <w:tcPr>
            <w:tcW w:w="1096" w:type="dxa"/>
            <w:tcBorders>
              <w:top w:val="single" w:sz="4" w:space="0" w:color="auto"/>
              <w:left w:val="nil"/>
              <w:bottom w:val="single" w:sz="4" w:space="0" w:color="auto"/>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sz w:val="14"/>
                <w:szCs w:val="14"/>
                <w:lang w:val="es-ES"/>
              </w:rPr>
            </w:pPr>
            <w:r w:rsidRPr="000B4249">
              <w:rPr>
                <w:rFonts w:ascii="Lucida Bright" w:hAnsi="Lucida Bright" w:cs="Calibri"/>
                <w:sz w:val="14"/>
                <w:szCs w:val="14"/>
                <w:lang w:val="es-ES"/>
              </w:rPr>
              <w:t>Transferencias</w:t>
            </w:r>
            <w:r w:rsidRPr="000B4249">
              <w:rPr>
                <w:rFonts w:ascii="Lucida Bright" w:hAnsi="Lucida Bright" w:cs="Calibri"/>
                <w:sz w:val="14"/>
                <w:szCs w:val="14"/>
                <w:lang w:val="es-ES"/>
              </w:rPr>
              <w:br/>
              <w:t>desde otros</w:t>
            </w:r>
            <w:r w:rsidRPr="000B4249">
              <w:rPr>
                <w:rFonts w:ascii="Lucida Bright" w:hAnsi="Lucida Bright" w:cs="Calibri"/>
                <w:sz w:val="14"/>
                <w:szCs w:val="14"/>
                <w:lang w:val="es-ES"/>
              </w:rPr>
              <w:br/>
            </w:r>
            <w:proofErr w:type="spellStart"/>
            <w:r w:rsidRPr="000B4249">
              <w:rPr>
                <w:rFonts w:ascii="Lucida Bright" w:hAnsi="Lucida Bright" w:cs="Calibri"/>
                <w:sz w:val="14"/>
                <w:szCs w:val="14"/>
                <w:lang w:val="es-ES"/>
              </w:rPr>
              <w:t>org</w:t>
            </w:r>
            <w:proofErr w:type="spellEnd"/>
            <w:r w:rsidRPr="000B4249">
              <w:rPr>
                <w:rFonts w:ascii="Lucida Bright" w:hAnsi="Lucida Bright" w:cs="Calibri"/>
                <w:sz w:val="14"/>
                <w:szCs w:val="14"/>
                <w:lang w:val="es-ES"/>
              </w:rPr>
              <w:t>. públicos y otras altas</w:t>
            </w:r>
          </w:p>
        </w:tc>
        <w:tc>
          <w:tcPr>
            <w:tcW w:w="1216" w:type="dxa"/>
            <w:tcBorders>
              <w:top w:val="single" w:sz="4" w:space="0" w:color="auto"/>
              <w:left w:val="nil"/>
              <w:bottom w:val="single" w:sz="4" w:space="0" w:color="auto"/>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sz w:val="14"/>
                <w:szCs w:val="14"/>
                <w:lang w:val="es-ES"/>
              </w:rPr>
            </w:pPr>
            <w:r w:rsidRPr="000B4249">
              <w:rPr>
                <w:rFonts w:ascii="Lucida Bright" w:hAnsi="Lucida Bright" w:cs="Calibri"/>
                <w:sz w:val="14"/>
                <w:szCs w:val="14"/>
                <w:lang w:val="es-ES"/>
              </w:rPr>
              <w:t>Traspasos de inmovilizado</w:t>
            </w:r>
            <w:r w:rsidRPr="000B4249">
              <w:rPr>
                <w:rFonts w:ascii="Lucida Bright" w:hAnsi="Lucida Bright" w:cs="Calibri"/>
                <w:sz w:val="14"/>
                <w:szCs w:val="14"/>
                <w:lang w:val="es-ES"/>
              </w:rPr>
              <w:br/>
              <w:t>en curso</w:t>
            </w:r>
          </w:p>
        </w:tc>
        <w:tc>
          <w:tcPr>
            <w:tcW w:w="1216" w:type="dxa"/>
            <w:tcBorders>
              <w:top w:val="single" w:sz="4" w:space="0" w:color="auto"/>
              <w:left w:val="nil"/>
              <w:bottom w:val="single" w:sz="4" w:space="0" w:color="auto"/>
              <w:right w:val="single" w:sz="4" w:space="0" w:color="auto"/>
            </w:tcBorders>
            <w:shd w:val="clear" w:color="000000" w:fill="CCFFCC"/>
            <w:vAlign w:val="center"/>
            <w:hideMark/>
          </w:tcPr>
          <w:p w:rsidR="000B4249" w:rsidRPr="000B4249" w:rsidRDefault="000B4249" w:rsidP="000B4249">
            <w:pPr>
              <w:jc w:val="center"/>
              <w:rPr>
                <w:rFonts w:ascii="Lucida Bright" w:hAnsi="Lucida Bright" w:cs="Calibri"/>
                <w:sz w:val="14"/>
                <w:szCs w:val="14"/>
                <w:lang w:val="es-ES"/>
              </w:rPr>
            </w:pPr>
            <w:r w:rsidRPr="000B4249">
              <w:rPr>
                <w:rFonts w:ascii="Lucida Bright" w:hAnsi="Lucida Bright" w:cs="Calibri"/>
                <w:sz w:val="14"/>
                <w:szCs w:val="14"/>
                <w:lang w:val="es-ES"/>
              </w:rPr>
              <w:t>Total altas</w:t>
            </w:r>
            <w:r w:rsidRPr="000B4249">
              <w:rPr>
                <w:rFonts w:ascii="Lucida Bright" w:hAnsi="Lucida Bright" w:cs="Calibri"/>
                <w:sz w:val="14"/>
                <w:szCs w:val="14"/>
                <w:lang w:val="es-ES"/>
              </w:rPr>
              <w:br/>
              <w:t>del ejercicio</w:t>
            </w:r>
            <w:r w:rsidRPr="000B4249">
              <w:rPr>
                <w:rFonts w:ascii="Lucida Bright" w:hAnsi="Lucida Bright" w:cs="Calibri"/>
                <w:sz w:val="14"/>
                <w:szCs w:val="14"/>
                <w:lang w:val="es-ES"/>
              </w:rPr>
              <w:br/>
              <w:t>2023</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a) Terrenos y bienes naturales</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803.085,70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803.085,70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b) Construcciones</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26.089.917,47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26.089.917,47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Accesos marítimos</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Obras de abrigo y defensa</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Obras de atraque</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2.982.720,75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2.982.720,75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Instalaciones para reparación de barcos</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r>
      <w:tr w:rsidR="000B4249" w:rsidRPr="000B4249" w:rsidTr="000B4249">
        <w:trPr>
          <w:trHeight w:val="210"/>
        </w:trPr>
        <w:tc>
          <w:tcPr>
            <w:tcW w:w="3239"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Edificaciones</w:t>
            </w:r>
          </w:p>
        </w:tc>
        <w:tc>
          <w:tcPr>
            <w:tcW w:w="55"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13.103.155,25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13.103.155,25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Instalaciones generales</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6.501.997,68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6.501.997,68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Pavimentos, calzadas y vías de circulación</w:t>
            </w:r>
          </w:p>
        </w:tc>
        <w:tc>
          <w:tcPr>
            <w:tcW w:w="1243"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3.502.043,79 </w:t>
            </w:r>
          </w:p>
        </w:tc>
        <w:tc>
          <w:tcPr>
            <w:tcW w:w="1216" w:type="dxa"/>
            <w:tcBorders>
              <w:top w:val="nil"/>
              <w:left w:val="nil"/>
              <w:bottom w:val="nil"/>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3.502.043,79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c) Equipamientos e instalaciones técnicas</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159"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287.823,08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287.823,08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Instalaciones de ayuda a la navegación</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287.823,08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287.823,08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Equipo de manipulación de </w:t>
            </w:r>
            <w:r w:rsidR="00DD448C" w:rsidRPr="000B4249">
              <w:rPr>
                <w:rFonts w:ascii="Lucida Bright" w:hAnsi="Lucida Bright" w:cs="Calibri"/>
                <w:sz w:val="14"/>
                <w:szCs w:val="14"/>
                <w:lang w:val="es-ES"/>
              </w:rPr>
              <w:t>mercancías</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Material flotante</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Material ferroviario</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r>
      <w:tr w:rsidR="000B4249" w:rsidRPr="000B4249" w:rsidTr="000B4249">
        <w:trPr>
          <w:trHeight w:val="210"/>
        </w:trPr>
        <w:tc>
          <w:tcPr>
            <w:tcW w:w="3239"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Equipo de taller</w:t>
            </w:r>
          </w:p>
        </w:tc>
        <w:tc>
          <w:tcPr>
            <w:tcW w:w="55"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43"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d) Otro inmovilizado</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159"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1.339.357,75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1.339.357,75 </w:t>
            </w:r>
          </w:p>
        </w:tc>
      </w:tr>
      <w:tr w:rsidR="000B4249" w:rsidRPr="000B4249" w:rsidTr="000B4249">
        <w:trPr>
          <w:trHeight w:val="210"/>
        </w:trPr>
        <w:tc>
          <w:tcPr>
            <w:tcW w:w="3239"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Mobiliario</w:t>
            </w:r>
          </w:p>
        </w:tc>
        <w:tc>
          <w:tcPr>
            <w:tcW w:w="55"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49.518,25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49.518,25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Equipos de proceso de información</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395.028,40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395.028,40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Elementos de transporte</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535.092,25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535.092,25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xml:space="preserve">      Otro inmovilizado material</w:t>
            </w:r>
          </w:p>
        </w:tc>
        <w:tc>
          <w:tcPr>
            <w:tcW w:w="1243"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159"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nil"/>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216" w:type="dxa"/>
            <w:tcBorders>
              <w:top w:val="nil"/>
              <w:left w:val="nil"/>
              <w:bottom w:val="nil"/>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359.718,85 </w:t>
            </w:r>
          </w:p>
        </w:tc>
        <w:tc>
          <w:tcPr>
            <w:tcW w:w="1216" w:type="dxa"/>
            <w:tcBorders>
              <w:top w:val="nil"/>
              <w:left w:val="nil"/>
              <w:bottom w:val="nil"/>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359.718,85 </w:t>
            </w:r>
          </w:p>
        </w:tc>
      </w:tr>
      <w:tr w:rsidR="000B4249" w:rsidRPr="000B4249" w:rsidTr="000B4249">
        <w:trPr>
          <w:trHeight w:val="210"/>
        </w:trPr>
        <w:tc>
          <w:tcPr>
            <w:tcW w:w="32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TOTAL INMOVILIZADO MATERIAL</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159"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28.520.184,00 </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28.520.184,00 </w:t>
            </w:r>
          </w:p>
        </w:tc>
      </w:tr>
      <w:tr w:rsidR="000B4249" w:rsidRPr="000B4249" w:rsidTr="000B4249">
        <w:trPr>
          <w:trHeight w:val="210"/>
        </w:trPr>
        <w:tc>
          <w:tcPr>
            <w:tcW w:w="3239"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ANTICIPOS E INMOVILIZADO EN CURSO</w:t>
            </w:r>
          </w:p>
        </w:tc>
        <w:tc>
          <w:tcPr>
            <w:tcW w:w="55" w:type="dxa"/>
            <w:tcBorders>
              <w:top w:val="nil"/>
              <w:left w:val="nil"/>
              <w:bottom w:val="nil"/>
              <w:right w:val="nil"/>
            </w:tcBorders>
            <w:shd w:val="clear" w:color="auto" w:fill="auto"/>
            <w:noWrap/>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243" w:type="dxa"/>
            <w:tcBorders>
              <w:top w:val="nil"/>
              <w:left w:val="single" w:sz="4" w:space="0" w:color="auto"/>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39.632.030,52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sz w:val="14"/>
                <w:szCs w:val="14"/>
                <w:lang w:val="es-ES"/>
              </w:rPr>
            </w:pPr>
            <w:r w:rsidRPr="000B4249">
              <w:rPr>
                <w:rFonts w:ascii="Lucida Bright" w:hAnsi="Lucida Bright" w:cs="Calibri"/>
                <w:sz w:val="14"/>
                <w:szCs w:val="14"/>
                <w:lang w:val="es-ES"/>
              </w:rPr>
              <w:t>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14.401,08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(28.520.184,00)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sz w:val="14"/>
                <w:szCs w:val="14"/>
                <w:lang w:val="es-ES"/>
              </w:rPr>
            </w:pPr>
            <w:r w:rsidRPr="000B4249">
              <w:rPr>
                <w:rFonts w:ascii="Lucida Bright" w:hAnsi="Lucida Bright" w:cs="Calibri"/>
                <w:sz w:val="14"/>
                <w:szCs w:val="14"/>
                <w:lang w:val="es-ES"/>
              </w:rPr>
              <w:t xml:space="preserve">11.126.247,60 </w:t>
            </w:r>
          </w:p>
        </w:tc>
      </w:tr>
      <w:tr w:rsidR="000B4249" w:rsidRPr="000B4249" w:rsidTr="000B4249">
        <w:trPr>
          <w:trHeight w:val="210"/>
        </w:trPr>
        <w:tc>
          <w:tcPr>
            <w:tcW w:w="3239" w:type="dxa"/>
            <w:tcBorders>
              <w:top w:val="nil"/>
              <w:left w:val="single" w:sz="4" w:space="0" w:color="auto"/>
              <w:bottom w:val="single" w:sz="4" w:space="0" w:color="auto"/>
              <w:right w:val="nil"/>
            </w:tcBorders>
            <w:shd w:val="clear" w:color="000000" w:fill="FFFFFF"/>
            <w:noWrap/>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TOTAL</w:t>
            </w:r>
          </w:p>
        </w:tc>
        <w:tc>
          <w:tcPr>
            <w:tcW w:w="55" w:type="dxa"/>
            <w:tcBorders>
              <w:top w:val="single" w:sz="4" w:space="0" w:color="auto"/>
              <w:left w:val="nil"/>
              <w:bottom w:val="single" w:sz="4" w:space="0" w:color="auto"/>
              <w:right w:val="single" w:sz="4" w:space="0" w:color="auto"/>
            </w:tcBorders>
            <w:shd w:val="clear" w:color="000000" w:fill="FFFFFF"/>
            <w:noWrap/>
            <w:vAlign w:val="center"/>
            <w:hideMark/>
          </w:tcPr>
          <w:p w:rsidR="000B4249" w:rsidRPr="000B4249" w:rsidRDefault="000B4249" w:rsidP="000B4249">
            <w:pPr>
              <w:jc w:val="center"/>
              <w:rPr>
                <w:rFonts w:ascii="Lucida Bright" w:hAnsi="Lucida Bright" w:cs="Calibri"/>
                <w:b/>
                <w:bCs/>
                <w:sz w:val="14"/>
                <w:szCs w:val="14"/>
                <w:lang w:val="es-ES"/>
              </w:rPr>
            </w:pPr>
            <w:r w:rsidRPr="000B4249">
              <w:rPr>
                <w:rFonts w:ascii="Lucida Bright" w:hAnsi="Lucida Bright" w:cs="Calibri"/>
                <w:b/>
                <w:bCs/>
                <w:sz w:val="14"/>
                <w:szCs w:val="14"/>
                <w:lang w:val="es-ES"/>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39.632.030,52 </w:t>
            </w:r>
          </w:p>
        </w:tc>
        <w:tc>
          <w:tcPr>
            <w:tcW w:w="1159"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14.401,08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rPr>
                <w:rFonts w:ascii="Lucida Bright" w:hAnsi="Lucida Bright" w:cs="Calibri"/>
                <w:b/>
                <w:bCs/>
                <w:sz w:val="14"/>
                <w:szCs w:val="14"/>
                <w:lang w:val="es-ES"/>
              </w:rPr>
            </w:pPr>
            <w:r w:rsidRPr="000B4249">
              <w:rPr>
                <w:rFonts w:ascii="Lucida Bright" w:hAnsi="Lucida Bright" w:cs="Calibri"/>
                <w:b/>
                <w:bCs/>
                <w:sz w:val="14"/>
                <w:szCs w:val="14"/>
                <w:lang w:val="es-ES"/>
              </w:rPr>
              <w:t xml:space="preserve">- </w:t>
            </w:r>
          </w:p>
        </w:tc>
        <w:tc>
          <w:tcPr>
            <w:tcW w:w="1216" w:type="dxa"/>
            <w:tcBorders>
              <w:top w:val="nil"/>
              <w:left w:val="nil"/>
              <w:bottom w:val="single" w:sz="4" w:space="0" w:color="auto"/>
              <w:right w:val="single" w:sz="4" w:space="0" w:color="auto"/>
            </w:tcBorders>
            <w:shd w:val="clear" w:color="000000" w:fill="FFFFFF"/>
            <w:noWrap/>
            <w:vAlign w:val="center"/>
            <w:hideMark/>
          </w:tcPr>
          <w:p w:rsidR="000B4249" w:rsidRPr="000B4249" w:rsidRDefault="000B4249" w:rsidP="000B4249">
            <w:pPr>
              <w:jc w:val="right"/>
              <w:rPr>
                <w:rFonts w:ascii="Lucida Bright" w:hAnsi="Lucida Bright" w:cs="Calibri"/>
                <w:b/>
                <w:bCs/>
                <w:sz w:val="14"/>
                <w:szCs w:val="14"/>
                <w:lang w:val="es-ES"/>
              </w:rPr>
            </w:pPr>
            <w:r w:rsidRPr="000B4249">
              <w:rPr>
                <w:rFonts w:ascii="Lucida Bright" w:hAnsi="Lucida Bright" w:cs="Calibri"/>
                <w:b/>
                <w:bCs/>
                <w:sz w:val="14"/>
                <w:szCs w:val="14"/>
                <w:lang w:val="es-ES"/>
              </w:rPr>
              <w:t xml:space="preserve">39.646.431,60 </w:t>
            </w:r>
          </w:p>
        </w:tc>
      </w:tr>
    </w:tbl>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1C4AD5" w:rsidRDefault="001C4AD5" w:rsidP="004E5856">
      <w:pPr>
        <w:shd w:val="clear" w:color="auto" w:fill="FFFFFF"/>
        <w:ind w:left="12" w:right="1108"/>
        <w:rPr>
          <w:rFonts w:ascii="Lucida Bright" w:eastAsia="Lucida Bright" w:hAnsi="Lucida Bright" w:cs="Lucida Bright"/>
          <w:color w:val="000000"/>
          <w:sz w:val="15"/>
        </w:rPr>
      </w:pPr>
    </w:p>
    <w:p w:rsidR="002075D9" w:rsidRDefault="002075D9" w:rsidP="004E5856">
      <w:pPr>
        <w:shd w:val="clear" w:color="auto" w:fill="FFFFFF"/>
        <w:ind w:left="12" w:right="1108"/>
        <w:rPr>
          <w:rFonts w:ascii="Lucida Bright" w:eastAsia="Lucida Bright" w:hAnsi="Lucida Bright" w:cs="Lucida Bright"/>
          <w:color w:val="000000"/>
          <w:sz w:val="15"/>
        </w:rPr>
      </w:pPr>
    </w:p>
    <w:p w:rsidR="00B9194A" w:rsidRDefault="00B9194A" w:rsidP="004E5856">
      <w:pPr>
        <w:shd w:val="clear" w:color="auto" w:fill="FFFFFF"/>
        <w:ind w:left="12" w:right="1108"/>
        <w:rPr>
          <w:rFonts w:ascii="Lucida Bright" w:eastAsia="Lucida Bright" w:hAnsi="Lucida Bright" w:cs="Lucida Bright"/>
          <w:color w:val="000000"/>
          <w:sz w:val="15"/>
          <w:highlight w:val="white"/>
        </w:rPr>
      </w:pPr>
    </w:p>
    <w:p w:rsidR="002075D9" w:rsidRDefault="002075D9" w:rsidP="004E5856">
      <w:pPr>
        <w:shd w:val="clear" w:color="auto" w:fill="FFFFFF"/>
        <w:ind w:left="12" w:right="1108"/>
        <w:rPr>
          <w:rFonts w:ascii="Lucida Bright" w:eastAsia="Lucida Bright" w:hAnsi="Lucida Bright" w:cs="Lucida Bright"/>
          <w:color w:val="000000"/>
          <w:sz w:val="15"/>
          <w:highlight w:val="white"/>
        </w:rPr>
      </w:pPr>
    </w:p>
    <w:p w:rsidR="002075D9" w:rsidRDefault="002075D9" w:rsidP="004E5856">
      <w:pPr>
        <w:shd w:val="clear" w:color="auto" w:fill="FFFFFF"/>
        <w:ind w:left="12" w:right="1108"/>
        <w:rPr>
          <w:rFonts w:ascii="Lucida Bright" w:eastAsia="Lucida Bright" w:hAnsi="Lucida Bright" w:cs="Lucida Bright"/>
          <w:color w:val="000000"/>
          <w:sz w:val="15"/>
          <w:highlight w:val="white"/>
        </w:rPr>
      </w:pPr>
    </w:p>
    <w:p w:rsidR="002075D9" w:rsidRDefault="002075D9" w:rsidP="004E5856">
      <w:pPr>
        <w:shd w:val="clear" w:color="auto" w:fill="FFFFFF"/>
        <w:ind w:left="12" w:right="1108"/>
        <w:rPr>
          <w:rFonts w:ascii="Lucida Bright" w:eastAsia="Lucida Bright" w:hAnsi="Lucida Bright" w:cs="Lucida Bright"/>
          <w:color w:val="000000"/>
          <w:sz w:val="15"/>
          <w:highlight w:val="white"/>
        </w:rPr>
      </w:pPr>
    </w:p>
    <w:p w:rsidR="002075D9" w:rsidRDefault="002075D9" w:rsidP="004E5856">
      <w:pPr>
        <w:shd w:val="clear" w:color="auto" w:fill="FFFFFF"/>
        <w:ind w:left="12" w:right="1108"/>
        <w:rPr>
          <w:rFonts w:ascii="Lucida Bright" w:eastAsia="Lucida Bright" w:hAnsi="Lucida Bright" w:cs="Lucida Bright"/>
          <w:color w:val="000000"/>
          <w:sz w:val="15"/>
          <w:highlight w:val="white"/>
        </w:rPr>
      </w:pPr>
    </w:p>
    <w:tbl>
      <w:tblPr>
        <w:tblW w:w="15452" w:type="dxa"/>
        <w:tblInd w:w="-781" w:type="dxa"/>
        <w:tblCellMar>
          <w:left w:w="70" w:type="dxa"/>
          <w:right w:w="70" w:type="dxa"/>
        </w:tblCellMar>
        <w:tblLook w:val="04A0" w:firstRow="1" w:lastRow="0" w:firstColumn="1" w:lastColumn="0" w:noHBand="0" w:noVBand="1"/>
      </w:tblPr>
      <w:tblGrid>
        <w:gridCol w:w="2853"/>
        <w:gridCol w:w="367"/>
        <w:gridCol w:w="1220"/>
        <w:gridCol w:w="1132"/>
        <w:gridCol w:w="1136"/>
        <w:gridCol w:w="999"/>
        <w:gridCol w:w="1200"/>
        <w:gridCol w:w="1069"/>
        <w:gridCol w:w="673"/>
        <w:gridCol w:w="673"/>
        <w:gridCol w:w="1065"/>
        <w:gridCol w:w="893"/>
        <w:gridCol w:w="920"/>
        <w:gridCol w:w="1252"/>
      </w:tblGrid>
      <w:tr w:rsidR="002075D9" w:rsidRPr="002075D9" w:rsidTr="001E4C9E">
        <w:trPr>
          <w:trHeight w:val="300"/>
        </w:trPr>
        <w:tc>
          <w:tcPr>
            <w:tcW w:w="0" w:type="auto"/>
            <w:gridSpan w:val="7"/>
            <w:tcBorders>
              <w:top w:val="nil"/>
              <w:left w:val="nil"/>
              <w:bottom w:val="single" w:sz="4" w:space="0" w:color="auto"/>
              <w:right w:val="nil"/>
            </w:tcBorders>
            <w:shd w:val="clear" w:color="000000" w:fill="FFFFFF"/>
            <w:noWrap/>
            <w:vAlign w:val="center"/>
            <w:hideMark/>
          </w:tcPr>
          <w:p w:rsidR="002075D9" w:rsidRPr="002075D9" w:rsidRDefault="002075D9" w:rsidP="002075D9">
            <w:pPr>
              <w:rPr>
                <w:rFonts w:ascii="Lucida Bright" w:hAnsi="Lucida Bright" w:cs="Calibri"/>
                <w:b/>
                <w:bCs/>
                <w:sz w:val="18"/>
                <w:szCs w:val="18"/>
                <w:lang w:val="es-ES"/>
              </w:rPr>
            </w:pPr>
            <w:r w:rsidRPr="002075D9">
              <w:rPr>
                <w:rFonts w:ascii="Lucida Bright" w:hAnsi="Lucida Bright" w:cs="Calibri"/>
                <w:b/>
                <w:bCs/>
                <w:sz w:val="18"/>
                <w:szCs w:val="18"/>
                <w:lang w:val="es-ES"/>
              </w:rPr>
              <w:t>CUADRO: AMORTIZACIÓN ACUMULADA DEL INMOVILIZADO MATERIAL 2023</w:t>
            </w:r>
          </w:p>
        </w:tc>
        <w:tc>
          <w:tcPr>
            <w:tcW w:w="0" w:type="auto"/>
            <w:tcBorders>
              <w:top w:val="nil"/>
              <w:left w:val="nil"/>
              <w:bottom w:val="nil"/>
              <w:right w:val="nil"/>
            </w:tcBorders>
            <w:shd w:val="clear" w:color="000000" w:fill="FFFFFF"/>
            <w:noWrap/>
            <w:vAlign w:val="center"/>
            <w:hideMark/>
          </w:tcPr>
          <w:p w:rsidR="002075D9" w:rsidRPr="002075D9" w:rsidRDefault="002075D9" w:rsidP="002075D9">
            <w:pPr>
              <w:rPr>
                <w:rFonts w:ascii="Tahoma" w:hAnsi="Tahoma" w:cs="Tahoma"/>
                <w:lang w:val="es-ES"/>
              </w:rPr>
            </w:pPr>
            <w:r w:rsidRPr="002075D9">
              <w:rPr>
                <w:rFonts w:ascii="Tahoma" w:hAnsi="Tahoma" w:cs="Tahoma"/>
                <w:lang w:val="es-ES"/>
              </w:rPr>
              <w:t> </w:t>
            </w:r>
          </w:p>
        </w:tc>
        <w:tc>
          <w:tcPr>
            <w:tcW w:w="0" w:type="auto"/>
            <w:tcBorders>
              <w:top w:val="nil"/>
              <w:left w:val="nil"/>
              <w:bottom w:val="nil"/>
              <w:right w:val="nil"/>
            </w:tcBorders>
            <w:shd w:val="clear" w:color="000000" w:fill="FFFFFF"/>
            <w:noWrap/>
            <w:vAlign w:val="center"/>
            <w:hideMark/>
          </w:tcPr>
          <w:p w:rsidR="002075D9" w:rsidRPr="002075D9" w:rsidRDefault="002075D9" w:rsidP="002075D9">
            <w:pPr>
              <w:rPr>
                <w:rFonts w:ascii="Tahoma" w:hAnsi="Tahoma" w:cs="Tahoma"/>
                <w:lang w:val="es-ES"/>
              </w:rPr>
            </w:pPr>
            <w:r w:rsidRPr="002075D9">
              <w:rPr>
                <w:rFonts w:ascii="Tahoma" w:hAnsi="Tahoma" w:cs="Tahoma"/>
                <w:lang w:val="es-ES"/>
              </w:rPr>
              <w:t> </w:t>
            </w:r>
          </w:p>
        </w:tc>
        <w:tc>
          <w:tcPr>
            <w:tcW w:w="0" w:type="auto"/>
            <w:tcBorders>
              <w:top w:val="nil"/>
              <w:left w:val="nil"/>
              <w:bottom w:val="nil"/>
              <w:right w:val="nil"/>
            </w:tcBorders>
            <w:shd w:val="clear" w:color="000000" w:fill="FFFFFF"/>
            <w:noWrap/>
            <w:vAlign w:val="center"/>
            <w:hideMark/>
          </w:tcPr>
          <w:p w:rsidR="002075D9" w:rsidRPr="002075D9" w:rsidRDefault="002075D9" w:rsidP="002075D9">
            <w:pPr>
              <w:rPr>
                <w:rFonts w:ascii="Tahoma" w:hAnsi="Tahoma" w:cs="Tahoma"/>
                <w:lang w:val="es-ES"/>
              </w:rPr>
            </w:pPr>
            <w:r w:rsidRPr="002075D9">
              <w:rPr>
                <w:rFonts w:ascii="Tahoma" w:hAnsi="Tahoma" w:cs="Tahoma"/>
                <w:lang w:val="es-ES"/>
              </w:rPr>
              <w:t> </w:t>
            </w:r>
          </w:p>
        </w:tc>
        <w:tc>
          <w:tcPr>
            <w:tcW w:w="0" w:type="auto"/>
            <w:tcBorders>
              <w:top w:val="nil"/>
              <w:left w:val="nil"/>
              <w:bottom w:val="nil"/>
              <w:right w:val="nil"/>
            </w:tcBorders>
            <w:shd w:val="clear" w:color="000000" w:fill="FFFFFF"/>
            <w:noWrap/>
            <w:vAlign w:val="center"/>
            <w:hideMark/>
          </w:tcPr>
          <w:p w:rsidR="002075D9" w:rsidRPr="002075D9" w:rsidRDefault="002075D9" w:rsidP="002075D9">
            <w:pPr>
              <w:rPr>
                <w:rFonts w:ascii="Tahoma" w:hAnsi="Tahoma" w:cs="Tahoma"/>
                <w:lang w:val="es-ES"/>
              </w:rPr>
            </w:pPr>
            <w:r w:rsidRPr="002075D9">
              <w:rPr>
                <w:rFonts w:ascii="Tahoma" w:hAnsi="Tahoma" w:cs="Tahoma"/>
                <w:lang w:val="es-ES"/>
              </w:rPr>
              <w:t> </w:t>
            </w:r>
          </w:p>
        </w:tc>
        <w:tc>
          <w:tcPr>
            <w:tcW w:w="0" w:type="auto"/>
            <w:tcBorders>
              <w:top w:val="nil"/>
              <w:left w:val="nil"/>
              <w:bottom w:val="nil"/>
              <w:right w:val="nil"/>
            </w:tcBorders>
            <w:shd w:val="clear" w:color="000000" w:fill="FFFFFF"/>
            <w:noWrap/>
            <w:vAlign w:val="bottom"/>
            <w:hideMark/>
          </w:tcPr>
          <w:p w:rsidR="002075D9" w:rsidRPr="002075D9" w:rsidRDefault="002075D9" w:rsidP="002075D9">
            <w:pPr>
              <w:jc w:val="center"/>
              <w:rPr>
                <w:rFonts w:ascii="Lucida Bright" w:hAnsi="Lucida Bright" w:cs="Calibri"/>
                <w:sz w:val="14"/>
                <w:szCs w:val="14"/>
                <w:lang w:val="es-ES"/>
              </w:rPr>
            </w:pPr>
            <w:r w:rsidRPr="002075D9">
              <w:rPr>
                <w:rFonts w:ascii="Lucida Bright" w:hAnsi="Lucida Bright" w:cs="Calibri"/>
                <w:sz w:val="14"/>
                <w:szCs w:val="14"/>
                <w:lang w:val="es-ES"/>
              </w:rPr>
              <w:t>(en euros)</w:t>
            </w:r>
          </w:p>
        </w:tc>
        <w:tc>
          <w:tcPr>
            <w:tcW w:w="0" w:type="auto"/>
            <w:tcBorders>
              <w:top w:val="nil"/>
              <w:left w:val="nil"/>
              <w:bottom w:val="nil"/>
              <w:right w:val="nil"/>
            </w:tcBorders>
            <w:shd w:val="clear" w:color="000000" w:fill="FFFFFF"/>
            <w:noWrap/>
            <w:vAlign w:val="center"/>
            <w:hideMark/>
          </w:tcPr>
          <w:p w:rsidR="002075D9" w:rsidRPr="002075D9" w:rsidRDefault="002075D9" w:rsidP="002075D9">
            <w:pPr>
              <w:rPr>
                <w:rFonts w:ascii="Tahoma" w:hAnsi="Tahoma" w:cs="Tahoma"/>
                <w:lang w:val="es-ES"/>
              </w:rPr>
            </w:pPr>
            <w:r w:rsidRPr="002075D9">
              <w:rPr>
                <w:rFonts w:ascii="Tahoma" w:hAnsi="Tahoma" w:cs="Tahoma"/>
                <w:lang w:val="es-ES"/>
              </w:rPr>
              <w:t> </w:t>
            </w:r>
          </w:p>
        </w:tc>
        <w:tc>
          <w:tcPr>
            <w:tcW w:w="1252" w:type="dxa"/>
            <w:tcBorders>
              <w:top w:val="nil"/>
              <w:left w:val="nil"/>
              <w:bottom w:val="nil"/>
              <w:right w:val="nil"/>
            </w:tcBorders>
            <w:shd w:val="clear" w:color="000000" w:fill="FFFFFF"/>
            <w:noWrap/>
            <w:vAlign w:val="center"/>
            <w:hideMark/>
          </w:tcPr>
          <w:p w:rsidR="002075D9" w:rsidRPr="002075D9" w:rsidRDefault="002075D9" w:rsidP="002075D9">
            <w:pPr>
              <w:rPr>
                <w:rFonts w:ascii="Tahoma" w:hAnsi="Tahoma" w:cs="Tahoma"/>
                <w:lang w:val="es-ES"/>
              </w:rPr>
            </w:pPr>
            <w:r w:rsidRPr="002075D9">
              <w:rPr>
                <w:rFonts w:ascii="Tahoma" w:hAnsi="Tahoma" w:cs="Tahoma"/>
                <w:lang w:val="es-ES"/>
              </w:rPr>
              <w:t> </w:t>
            </w:r>
          </w:p>
        </w:tc>
      </w:tr>
      <w:tr w:rsidR="002075D9" w:rsidRPr="002075D9" w:rsidTr="001E4C9E">
        <w:trPr>
          <w:trHeight w:val="33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2075D9" w:rsidRPr="002075D9" w:rsidRDefault="002075D9" w:rsidP="002075D9">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CONCEPTO</w:t>
            </w:r>
          </w:p>
        </w:tc>
        <w:tc>
          <w:tcPr>
            <w:tcW w:w="0" w:type="auto"/>
            <w:vMerge w:val="restart"/>
            <w:tcBorders>
              <w:top w:val="nil"/>
              <w:left w:val="single" w:sz="4" w:space="0" w:color="auto"/>
              <w:bottom w:val="single" w:sz="4" w:space="0" w:color="000000"/>
              <w:right w:val="single" w:sz="4" w:space="0" w:color="auto"/>
            </w:tcBorders>
            <w:shd w:val="clear" w:color="000000" w:fill="CCFFCC"/>
            <w:vAlign w:val="center"/>
            <w:hideMark/>
          </w:tcPr>
          <w:p w:rsidR="002075D9" w:rsidRPr="002075D9" w:rsidRDefault="002075D9" w:rsidP="002075D9">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Saldo a</w:t>
            </w:r>
            <w:r w:rsidRPr="002075D9">
              <w:rPr>
                <w:rFonts w:ascii="Lucida Bright" w:hAnsi="Lucida Bright" w:cs="Calibri"/>
                <w:b/>
                <w:bCs/>
                <w:sz w:val="14"/>
                <w:szCs w:val="14"/>
                <w:lang w:val="es-ES"/>
              </w:rPr>
              <w:br/>
            </w:r>
            <w:r w:rsidRPr="002075D9">
              <w:rPr>
                <w:rFonts w:ascii="Lucida Bright" w:hAnsi="Lucida Bright" w:cs="Calibri"/>
                <w:b/>
                <w:bCs/>
                <w:sz w:val="14"/>
                <w:szCs w:val="14"/>
                <w:lang w:val="es-ES"/>
              </w:rPr>
              <w:br/>
              <w:t>31-12-22</w:t>
            </w:r>
          </w:p>
        </w:tc>
        <w:tc>
          <w:tcPr>
            <w:tcW w:w="0" w:type="auto"/>
            <w:vMerge w:val="restart"/>
            <w:tcBorders>
              <w:top w:val="nil"/>
              <w:left w:val="single" w:sz="4" w:space="0" w:color="auto"/>
              <w:bottom w:val="single" w:sz="4" w:space="0" w:color="000000"/>
              <w:right w:val="single" w:sz="4" w:space="0" w:color="auto"/>
            </w:tcBorders>
            <w:shd w:val="clear" w:color="000000" w:fill="CCFFCC"/>
            <w:vAlign w:val="center"/>
            <w:hideMark/>
          </w:tcPr>
          <w:p w:rsidR="002075D9" w:rsidRPr="002075D9" w:rsidRDefault="002075D9" w:rsidP="002075D9">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Dotaciones</w:t>
            </w:r>
            <w:r w:rsidRPr="002075D9">
              <w:rPr>
                <w:rFonts w:ascii="Lucida Bright" w:hAnsi="Lucida Bright" w:cs="Calibri"/>
                <w:b/>
                <w:bCs/>
                <w:sz w:val="14"/>
                <w:szCs w:val="14"/>
                <w:lang w:val="es-ES"/>
              </w:rPr>
              <w:br/>
            </w:r>
            <w:r w:rsidRPr="002075D9">
              <w:rPr>
                <w:rFonts w:ascii="Lucida Bright" w:hAnsi="Lucida Bright" w:cs="Calibri"/>
                <w:b/>
                <w:bCs/>
                <w:sz w:val="14"/>
                <w:szCs w:val="14"/>
                <w:lang w:val="es-ES"/>
              </w:rPr>
              <w:br/>
              <w:t>(+)</w:t>
            </w:r>
          </w:p>
        </w:tc>
        <w:tc>
          <w:tcPr>
            <w:tcW w:w="0" w:type="auto"/>
            <w:gridSpan w:val="4"/>
            <w:tcBorders>
              <w:top w:val="single" w:sz="4" w:space="0" w:color="auto"/>
              <w:left w:val="nil"/>
              <w:bottom w:val="single" w:sz="4" w:space="0" w:color="auto"/>
              <w:right w:val="single" w:sz="4" w:space="0" w:color="000000"/>
            </w:tcBorders>
            <w:shd w:val="clear" w:color="000000" w:fill="CCFFCC"/>
            <w:noWrap/>
            <w:vAlign w:val="center"/>
            <w:hideMark/>
          </w:tcPr>
          <w:p w:rsidR="002075D9" w:rsidRPr="002075D9" w:rsidRDefault="002075D9" w:rsidP="002075D9">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Bajas</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2075D9" w:rsidRPr="002075D9" w:rsidRDefault="002075D9" w:rsidP="002075D9">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Reclasificaciones</w:t>
            </w:r>
            <w:r w:rsidRPr="002075D9">
              <w:rPr>
                <w:rFonts w:ascii="Lucida Bright" w:hAnsi="Lucida Bright" w:cs="Calibri"/>
                <w:b/>
                <w:bCs/>
                <w:sz w:val="14"/>
                <w:szCs w:val="14"/>
                <w:lang w:val="es-ES"/>
              </w:rPr>
              <w:br/>
              <w: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2075D9" w:rsidRPr="002075D9" w:rsidRDefault="002075D9" w:rsidP="001E4C9E">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Traspaso a / de inversiones inmobiliarias</w:t>
            </w:r>
            <w:r w:rsidRPr="002075D9">
              <w:rPr>
                <w:rFonts w:ascii="Lucida Bright" w:hAnsi="Lucida Bright" w:cs="Calibri"/>
                <w:b/>
                <w:bCs/>
                <w:sz w:val="14"/>
                <w:szCs w:val="14"/>
                <w:lang w:val="es-ES"/>
              </w:rPr>
              <w:br/>
              <w: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2075D9" w:rsidRPr="002075D9" w:rsidRDefault="002075D9" w:rsidP="001E4C9E">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Traspaso a activo</w:t>
            </w:r>
            <w:r w:rsidRPr="002075D9">
              <w:rPr>
                <w:rFonts w:ascii="Lucida Bright" w:hAnsi="Lucida Bright" w:cs="Calibri"/>
                <w:b/>
                <w:bCs/>
                <w:sz w:val="14"/>
                <w:szCs w:val="14"/>
                <w:lang w:val="es-ES"/>
              </w:rPr>
              <w:br/>
              <w:t>no corriente mantenido</w:t>
            </w:r>
            <w:r w:rsidRPr="002075D9">
              <w:rPr>
                <w:rFonts w:ascii="Lucida Bright" w:hAnsi="Lucida Bright" w:cs="Calibri"/>
                <w:b/>
                <w:bCs/>
                <w:sz w:val="14"/>
                <w:szCs w:val="14"/>
                <w:lang w:val="es-ES"/>
              </w:rPr>
              <w:br/>
              <w:t>para la venta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2075D9" w:rsidRPr="002075D9" w:rsidRDefault="002075D9" w:rsidP="001E4C9E">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Ajustes</w:t>
            </w:r>
            <w:r w:rsidRPr="002075D9">
              <w:rPr>
                <w:rFonts w:ascii="Lucida Bright" w:hAnsi="Lucida Bright" w:cs="Calibri"/>
                <w:b/>
                <w:bCs/>
                <w:sz w:val="14"/>
                <w:szCs w:val="14"/>
                <w:lang w:val="es-ES"/>
              </w:rPr>
              <w:br/>
              <w:t>contra</w:t>
            </w:r>
            <w:r w:rsidRPr="002075D9">
              <w:rPr>
                <w:rFonts w:ascii="Lucida Bright" w:hAnsi="Lucida Bright" w:cs="Calibri"/>
                <w:b/>
                <w:bCs/>
                <w:sz w:val="14"/>
                <w:szCs w:val="14"/>
                <w:lang w:val="es-ES"/>
              </w:rPr>
              <w:br/>
              <w:t>patrimonio (+/-)</w:t>
            </w:r>
          </w:p>
        </w:tc>
        <w:tc>
          <w:tcPr>
            <w:tcW w:w="1252"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2075D9" w:rsidRPr="002075D9" w:rsidRDefault="002075D9" w:rsidP="002075D9">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Saldo a</w:t>
            </w:r>
            <w:r w:rsidRPr="002075D9">
              <w:rPr>
                <w:rFonts w:ascii="Lucida Bright" w:hAnsi="Lucida Bright" w:cs="Calibri"/>
                <w:b/>
                <w:bCs/>
                <w:sz w:val="14"/>
                <w:szCs w:val="14"/>
                <w:lang w:val="es-ES"/>
              </w:rPr>
              <w:br/>
            </w:r>
            <w:r w:rsidRPr="002075D9">
              <w:rPr>
                <w:rFonts w:ascii="Lucida Bright" w:hAnsi="Lucida Bright" w:cs="Calibri"/>
                <w:b/>
                <w:bCs/>
                <w:sz w:val="14"/>
                <w:szCs w:val="14"/>
                <w:lang w:val="es-ES"/>
              </w:rPr>
              <w:br/>
              <w:t>31-12-23</w:t>
            </w:r>
          </w:p>
        </w:tc>
      </w:tr>
      <w:tr w:rsidR="002075D9" w:rsidRPr="002075D9" w:rsidTr="001E4C9E">
        <w:trPr>
          <w:trHeight w:val="96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2075D9" w:rsidRPr="002075D9" w:rsidRDefault="002075D9" w:rsidP="002075D9">
            <w:pPr>
              <w:rPr>
                <w:rFonts w:ascii="Lucida Bright" w:hAnsi="Lucida Bright" w:cs="Calibri"/>
                <w:b/>
                <w:bCs/>
                <w:sz w:val="14"/>
                <w:szCs w:val="14"/>
                <w:lang w:val="es-ES"/>
              </w:rPr>
            </w:pPr>
          </w:p>
        </w:tc>
        <w:tc>
          <w:tcPr>
            <w:tcW w:w="0" w:type="auto"/>
            <w:vMerge/>
            <w:tcBorders>
              <w:top w:val="nil"/>
              <w:left w:val="single" w:sz="4" w:space="0" w:color="auto"/>
              <w:bottom w:val="single" w:sz="4" w:space="0" w:color="000000"/>
              <w:right w:val="single" w:sz="4" w:space="0" w:color="auto"/>
            </w:tcBorders>
            <w:vAlign w:val="center"/>
            <w:hideMark/>
          </w:tcPr>
          <w:p w:rsidR="002075D9" w:rsidRPr="002075D9" w:rsidRDefault="002075D9" w:rsidP="002075D9">
            <w:pPr>
              <w:rPr>
                <w:rFonts w:ascii="Lucida Bright" w:hAnsi="Lucida Bright" w:cs="Calibri"/>
                <w:b/>
                <w:bCs/>
                <w:sz w:val="14"/>
                <w:szCs w:val="14"/>
                <w:lang w:val="es-ES"/>
              </w:rPr>
            </w:pPr>
          </w:p>
        </w:tc>
        <w:tc>
          <w:tcPr>
            <w:tcW w:w="0" w:type="auto"/>
            <w:vMerge/>
            <w:tcBorders>
              <w:top w:val="nil"/>
              <w:left w:val="single" w:sz="4" w:space="0" w:color="auto"/>
              <w:bottom w:val="single" w:sz="4" w:space="0" w:color="000000"/>
              <w:right w:val="single" w:sz="4" w:space="0" w:color="auto"/>
            </w:tcBorders>
            <w:vAlign w:val="center"/>
            <w:hideMark/>
          </w:tcPr>
          <w:p w:rsidR="002075D9" w:rsidRPr="002075D9" w:rsidRDefault="002075D9" w:rsidP="002075D9">
            <w:pPr>
              <w:rPr>
                <w:rFonts w:ascii="Lucida Bright" w:hAnsi="Lucida Bright" w:cs="Calibri"/>
                <w:b/>
                <w:bCs/>
                <w:sz w:val="14"/>
                <w:szCs w:val="14"/>
                <w:lang w:val="es-ES"/>
              </w:rPr>
            </w:pPr>
          </w:p>
        </w:tc>
        <w:tc>
          <w:tcPr>
            <w:tcW w:w="0" w:type="auto"/>
            <w:tcBorders>
              <w:top w:val="nil"/>
              <w:left w:val="nil"/>
              <w:bottom w:val="single" w:sz="4" w:space="0" w:color="auto"/>
              <w:right w:val="single" w:sz="4" w:space="0" w:color="auto"/>
            </w:tcBorders>
            <w:shd w:val="clear" w:color="000000" w:fill="CCFFCC"/>
            <w:vAlign w:val="center"/>
            <w:hideMark/>
          </w:tcPr>
          <w:p w:rsidR="002075D9" w:rsidRPr="002075D9" w:rsidRDefault="002075D9" w:rsidP="001E4C9E">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Ventas,</w:t>
            </w:r>
            <w:r w:rsidRPr="002075D9">
              <w:rPr>
                <w:rFonts w:ascii="Lucida Bright" w:hAnsi="Lucida Bright" w:cs="Calibri"/>
                <w:b/>
                <w:bCs/>
                <w:sz w:val="14"/>
                <w:szCs w:val="14"/>
                <w:lang w:val="es-ES"/>
              </w:rPr>
              <w:br/>
              <w:t>Retiros</w:t>
            </w:r>
            <w:r w:rsidRPr="002075D9">
              <w:rPr>
                <w:rFonts w:ascii="Lucida Bright" w:hAnsi="Lucida Bright" w:cs="Calibri"/>
                <w:b/>
                <w:bCs/>
                <w:sz w:val="14"/>
                <w:szCs w:val="14"/>
                <w:lang w:val="es-ES"/>
              </w:rPr>
              <w:br/>
              <w:t>y otras bajas</w:t>
            </w:r>
            <w:r w:rsidRPr="002075D9">
              <w:rPr>
                <w:rFonts w:ascii="Lucida Bright" w:hAnsi="Lucida Bright" w:cs="Calibri"/>
                <w:b/>
                <w:bCs/>
                <w:sz w:val="14"/>
                <w:szCs w:val="14"/>
                <w:lang w:val="es-ES"/>
              </w:rPr>
              <w:br/>
              <w:t>(-)</w:t>
            </w:r>
          </w:p>
        </w:tc>
        <w:tc>
          <w:tcPr>
            <w:tcW w:w="0" w:type="auto"/>
            <w:tcBorders>
              <w:top w:val="nil"/>
              <w:left w:val="nil"/>
              <w:bottom w:val="nil"/>
              <w:right w:val="single" w:sz="4" w:space="0" w:color="auto"/>
            </w:tcBorders>
            <w:shd w:val="clear" w:color="000000" w:fill="CCFFCC"/>
            <w:vAlign w:val="center"/>
            <w:hideMark/>
          </w:tcPr>
          <w:p w:rsidR="002075D9" w:rsidRPr="002075D9" w:rsidRDefault="002075D9" w:rsidP="001E4C9E">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Elementos</w:t>
            </w:r>
            <w:r w:rsidRPr="002075D9">
              <w:rPr>
                <w:rFonts w:ascii="Lucida Bright" w:hAnsi="Lucida Bright" w:cs="Calibri"/>
                <w:b/>
                <w:bCs/>
                <w:sz w:val="14"/>
                <w:szCs w:val="14"/>
                <w:lang w:val="es-ES"/>
              </w:rPr>
              <w:br/>
              <w:t>subsumidos</w:t>
            </w:r>
            <w:r w:rsidRPr="002075D9">
              <w:rPr>
                <w:rFonts w:ascii="Lucida Bright" w:hAnsi="Lucida Bright" w:cs="Calibri"/>
                <w:b/>
                <w:bCs/>
                <w:sz w:val="14"/>
                <w:szCs w:val="14"/>
                <w:lang w:val="es-ES"/>
              </w:rPr>
              <w:br/>
              <w:t>(-)</w:t>
            </w:r>
          </w:p>
        </w:tc>
        <w:tc>
          <w:tcPr>
            <w:tcW w:w="0" w:type="auto"/>
            <w:tcBorders>
              <w:top w:val="nil"/>
              <w:left w:val="nil"/>
              <w:bottom w:val="nil"/>
              <w:right w:val="single" w:sz="4" w:space="0" w:color="auto"/>
            </w:tcBorders>
            <w:shd w:val="clear" w:color="000000" w:fill="CCFFCC"/>
            <w:vAlign w:val="center"/>
            <w:hideMark/>
          </w:tcPr>
          <w:p w:rsidR="002075D9" w:rsidRPr="002075D9" w:rsidRDefault="002075D9" w:rsidP="001E4C9E">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Transferencias</w:t>
            </w:r>
            <w:r w:rsidRPr="002075D9">
              <w:rPr>
                <w:rFonts w:ascii="Lucida Bright" w:hAnsi="Lucida Bright" w:cs="Calibri"/>
                <w:b/>
                <w:bCs/>
                <w:sz w:val="14"/>
                <w:szCs w:val="14"/>
                <w:lang w:val="es-ES"/>
              </w:rPr>
              <w:br/>
              <w:t>a otros</w:t>
            </w:r>
            <w:r w:rsidRPr="002075D9">
              <w:rPr>
                <w:rFonts w:ascii="Lucida Bright" w:hAnsi="Lucida Bright" w:cs="Calibri"/>
                <w:b/>
                <w:bCs/>
                <w:sz w:val="14"/>
                <w:szCs w:val="14"/>
                <w:lang w:val="es-ES"/>
              </w:rPr>
              <w:br/>
              <w:t>Organismos</w:t>
            </w:r>
            <w:r w:rsidRPr="002075D9">
              <w:rPr>
                <w:rFonts w:ascii="Lucida Bright" w:hAnsi="Lucida Bright" w:cs="Calibri"/>
                <w:b/>
                <w:bCs/>
                <w:sz w:val="14"/>
                <w:szCs w:val="14"/>
                <w:lang w:val="es-ES"/>
              </w:rPr>
              <w:br/>
              <w:t>Públicos (-)</w:t>
            </w:r>
          </w:p>
        </w:tc>
        <w:tc>
          <w:tcPr>
            <w:tcW w:w="0" w:type="auto"/>
            <w:tcBorders>
              <w:top w:val="nil"/>
              <w:left w:val="nil"/>
              <w:bottom w:val="nil"/>
              <w:right w:val="single" w:sz="4" w:space="0" w:color="auto"/>
            </w:tcBorders>
            <w:shd w:val="clear" w:color="000000" w:fill="CCFFCC"/>
            <w:vAlign w:val="center"/>
            <w:hideMark/>
          </w:tcPr>
          <w:p w:rsidR="002075D9" w:rsidRPr="002075D9" w:rsidRDefault="002075D9" w:rsidP="001E4C9E">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Inmovilizado</w:t>
            </w:r>
            <w:r w:rsidRPr="002075D9">
              <w:rPr>
                <w:rFonts w:ascii="Lucida Bright" w:hAnsi="Lucida Bright" w:cs="Calibri"/>
                <w:b/>
                <w:bCs/>
                <w:sz w:val="14"/>
                <w:szCs w:val="14"/>
                <w:lang w:val="es-ES"/>
              </w:rPr>
              <w:br/>
              <w:t>abierto al</w:t>
            </w:r>
            <w:r w:rsidRPr="002075D9">
              <w:rPr>
                <w:rFonts w:ascii="Lucida Bright" w:hAnsi="Lucida Bright" w:cs="Calibri"/>
                <w:b/>
                <w:bCs/>
                <w:sz w:val="14"/>
                <w:szCs w:val="14"/>
                <w:lang w:val="es-ES"/>
              </w:rPr>
              <w:br/>
              <w:t>uso general (-)</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2075D9" w:rsidRPr="002075D9" w:rsidRDefault="002075D9" w:rsidP="002075D9">
            <w:pPr>
              <w:rPr>
                <w:rFonts w:ascii="Lucida Bright" w:hAnsi="Lucida Bright" w:cs="Calibri"/>
                <w:b/>
                <w:bCs/>
                <w:sz w:val="14"/>
                <w:szCs w:val="14"/>
                <w:lang w:val="es-E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75D9" w:rsidRPr="002075D9" w:rsidRDefault="002075D9" w:rsidP="002075D9">
            <w:pPr>
              <w:rPr>
                <w:rFonts w:ascii="Lucida Bright" w:hAnsi="Lucida Bright" w:cs="Calibri"/>
                <w:b/>
                <w:bCs/>
                <w:sz w:val="14"/>
                <w:szCs w:val="14"/>
                <w:lang w:val="es-E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75D9" w:rsidRPr="002075D9" w:rsidRDefault="002075D9" w:rsidP="002075D9">
            <w:pPr>
              <w:rPr>
                <w:rFonts w:ascii="Lucida Bright" w:hAnsi="Lucida Bright" w:cs="Calibri"/>
                <w:b/>
                <w:bCs/>
                <w:sz w:val="14"/>
                <w:szCs w:val="14"/>
                <w:lang w:val="es-E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075D9" w:rsidRPr="002075D9" w:rsidRDefault="002075D9" w:rsidP="002075D9">
            <w:pPr>
              <w:rPr>
                <w:rFonts w:ascii="Lucida Bright" w:hAnsi="Lucida Bright" w:cs="Calibri"/>
                <w:b/>
                <w:bCs/>
                <w:sz w:val="14"/>
                <w:szCs w:val="14"/>
                <w:lang w:val="es-ES"/>
              </w:rPr>
            </w:pPr>
          </w:p>
        </w:tc>
        <w:tc>
          <w:tcPr>
            <w:tcW w:w="1252" w:type="dxa"/>
            <w:vMerge/>
            <w:tcBorders>
              <w:top w:val="single" w:sz="4" w:space="0" w:color="auto"/>
              <w:left w:val="single" w:sz="4" w:space="0" w:color="auto"/>
              <w:bottom w:val="single" w:sz="4" w:space="0" w:color="000000"/>
              <w:right w:val="single" w:sz="4" w:space="0" w:color="auto"/>
            </w:tcBorders>
            <w:vAlign w:val="center"/>
            <w:hideMark/>
          </w:tcPr>
          <w:p w:rsidR="002075D9" w:rsidRPr="002075D9" w:rsidRDefault="002075D9" w:rsidP="002075D9">
            <w:pPr>
              <w:rPr>
                <w:rFonts w:ascii="Lucida Bright" w:hAnsi="Lucida Bright" w:cs="Calibri"/>
                <w:b/>
                <w:bCs/>
                <w:sz w:val="14"/>
                <w:szCs w:val="14"/>
                <w:lang w:val="es-ES"/>
              </w:rPr>
            </w:pP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a) Terrenos y bienes naturales</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b) Construcciones</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330.562.558,22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16.098.169,67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(693.680,26)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(1.977,49)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345.965.070,14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Accesos marítimos</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7.292.450,38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380.722,20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0,02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7.673.172,60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Obras de abrigo y defensa</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46.672.994,56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788.227,50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(0,02)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47.461.222,04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Obras de atraque</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137.146.938,36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7.140.318,42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(82.967,57)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(1,34)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144.204.287,87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Instalaciones para reparación de barcos</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r>
      <w:tr w:rsidR="002075D9" w:rsidRPr="002075D9" w:rsidTr="001E4C9E">
        <w:trPr>
          <w:trHeight w:val="210"/>
        </w:trPr>
        <w:tc>
          <w:tcPr>
            <w:tcW w:w="0" w:type="auto"/>
            <w:tcBorders>
              <w:top w:val="nil"/>
              <w:left w:val="single" w:sz="4" w:space="0" w:color="auto"/>
              <w:bottom w:val="single" w:sz="4" w:space="0" w:color="auto"/>
              <w:right w:val="nil"/>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Edificaciones</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41.654.203,48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2.607.880,45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(189.513,83)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332,78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44.072.902,88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Instalaciones generales</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40.523.260,27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2.520.226,88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(361.894,69)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(2.990,02)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42.678.602,44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Pavimentos, calzadas y vías de circulación</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57.272.711,17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2.660.794,22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(59.304,17)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681,09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59.874.882,31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c) Equipamientos e instalaciones técnicas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20.933.675,75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1.174.432,94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(703.161,12)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886,73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21.405.834,30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Instalaciones de ayuda a la navegación</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5.710.412,00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157.473,40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(490.141,59)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891,35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5.378.635,16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Equipo de manipulación de </w:t>
            </w:r>
            <w:r w:rsidR="00DD448C" w:rsidRPr="002075D9">
              <w:rPr>
                <w:rFonts w:ascii="Lucida Bright" w:hAnsi="Lucida Bright" w:cs="Calibri"/>
                <w:sz w:val="14"/>
                <w:szCs w:val="14"/>
                <w:lang w:val="es-ES"/>
              </w:rPr>
              <w:t>mercancías</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13.888.146,33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988.853,41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(48.539,64)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(0,16)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14.828.459,94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Material flotante</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1.154.170,88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27.999,33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(150.464,94)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(4,52)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1.031.700,75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Material ferroviario</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r>
      <w:tr w:rsidR="002075D9" w:rsidRPr="002075D9" w:rsidTr="001E4C9E">
        <w:trPr>
          <w:trHeight w:val="210"/>
        </w:trPr>
        <w:tc>
          <w:tcPr>
            <w:tcW w:w="0" w:type="auto"/>
            <w:tcBorders>
              <w:top w:val="nil"/>
              <w:left w:val="single" w:sz="4" w:space="0" w:color="auto"/>
              <w:bottom w:val="single" w:sz="4" w:space="0" w:color="auto"/>
              <w:right w:val="nil"/>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Equipo de taller</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180.946,54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106,80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(14.014,95)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0,06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167.038,45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d) Otro inmovilizado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17.813.324,03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1.023.882,15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(2.426.078,93)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(3,04)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16.411.124,21 </w:t>
            </w:r>
          </w:p>
        </w:tc>
      </w:tr>
      <w:tr w:rsidR="002075D9" w:rsidRPr="002075D9" w:rsidTr="001E4C9E">
        <w:trPr>
          <w:trHeight w:val="210"/>
        </w:trPr>
        <w:tc>
          <w:tcPr>
            <w:tcW w:w="0" w:type="auto"/>
            <w:tcBorders>
              <w:top w:val="nil"/>
              <w:left w:val="single" w:sz="4" w:space="0" w:color="auto"/>
              <w:bottom w:val="single" w:sz="4" w:space="0" w:color="auto"/>
              <w:right w:val="nil"/>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Mobiliario</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2.718.645,46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25.220,02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(140.001,47)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(0,07)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2.603.863,94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Equipos de proceso de información</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2.538.354,36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271.425,76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(229.120,44)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(1,02)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2.580.658,66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Elementos de transporte</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2.624.194,51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301.998,06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(0,72)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2.926.191,85 </w:t>
            </w:r>
          </w:p>
        </w:tc>
      </w:tr>
      <w:tr w:rsidR="002075D9" w:rsidRPr="002075D9" w:rsidTr="001E4C9E">
        <w:trPr>
          <w:trHeight w:val="2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xml:space="preserve">     Otro inmovilizado material</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9.932.129,70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425.238,31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(2.056.957,02)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gridSpan w:val="2"/>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(1,23)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center"/>
            <w:hideMark/>
          </w:tcPr>
          <w:p w:rsidR="002075D9" w:rsidRPr="002075D9" w:rsidRDefault="002075D9" w:rsidP="002075D9">
            <w:pPr>
              <w:rPr>
                <w:rFonts w:ascii="Lucida Bright" w:hAnsi="Lucida Bright" w:cs="Calibri"/>
                <w:sz w:val="14"/>
                <w:szCs w:val="14"/>
                <w:lang w:val="es-ES"/>
              </w:rPr>
            </w:pPr>
            <w:r w:rsidRPr="002075D9">
              <w:rPr>
                <w:rFonts w:ascii="Lucida Bright" w:hAnsi="Lucida Bright" w:cs="Calibri"/>
                <w:sz w:val="14"/>
                <w:szCs w:val="14"/>
                <w:lang w:val="es-ES"/>
              </w:rPr>
              <w:t> </w:t>
            </w:r>
          </w:p>
        </w:tc>
        <w:tc>
          <w:tcPr>
            <w:tcW w:w="1252" w:type="dxa"/>
            <w:tcBorders>
              <w:top w:val="nil"/>
              <w:left w:val="nil"/>
              <w:bottom w:val="nil"/>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sz w:val="14"/>
                <w:szCs w:val="14"/>
                <w:lang w:val="es-ES"/>
              </w:rPr>
            </w:pPr>
            <w:r w:rsidRPr="002075D9">
              <w:rPr>
                <w:rFonts w:ascii="Lucida Bright" w:hAnsi="Lucida Bright" w:cs="Calibri"/>
                <w:sz w:val="14"/>
                <w:szCs w:val="14"/>
                <w:lang w:val="es-ES"/>
              </w:rPr>
              <w:t xml:space="preserve">8.300.409,76 </w:t>
            </w:r>
          </w:p>
        </w:tc>
      </w:tr>
      <w:tr w:rsidR="002075D9" w:rsidRPr="002075D9" w:rsidTr="001E4C9E">
        <w:trPr>
          <w:trHeight w:val="210"/>
        </w:trPr>
        <w:tc>
          <w:tcPr>
            <w:tcW w:w="0" w:type="auto"/>
            <w:tcBorders>
              <w:top w:val="nil"/>
              <w:left w:val="single" w:sz="4" w:space="0" w:color="auto"/>
              <w:bottom w:val="single" w:sz="4" w:space="0" w:color="auto"/>
              <w:right w:val="nil"/>
            </w:tcBorders>
            <w:shd w:val="clear" w:color="000000" w:fill="FFFFFF"/>
            <w:noWrap/>
            <w:vAlign w:val="center"/>
            <w:hideMark/>
          </w:tcPr>
          <w:p w:rsidR="002075D9" w:rsidRPr="002075D9" w:rsidRDefault="002075D9" w:rsidP="002075D9">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TOTAL</w:t>
            </w:r>
          </w:p>
        </w:tc>
        <w:tc>
          <w:tcPr>
            <w:tcW w:w="0" w:type="auto"/>
            <w:tcBorders>
              <w:top w:val="nil"/>
              <w:left w:val="nil"/>
              <w:bottom w:val="single" w:sz="4" w:space="0" w:color="auto"/>
              <w:right w:val="single" w:sz="4" w:space="0" w:color="auto"/>
            </w:tcBorders>
            <w:shd w:val="clear" w:color="000000" w:fill="FFFFFF"/>
            <w:noWrap/>
            <w:vAlign w:val="center"/>
            <w:hideMark/>
          </w:tcPr>
          <w:p w:rsidR="002075D9" w:rsidRPr="002075D9" w:rsidRDefault="002075D9" w:rsidP="002075D9">
            <w:pPr>
              <w:jc w:val="center"/>
              <w:rPr>
                <w:rFonts w:ascii="Lucida Bright" w:hAnsi="Lucida Bright" w:cs="Calibri"/>
                <w:b/>
                <w:bCs/>
                <w:sz w:val="14"/>
                <w:szCs w:val="14"/>
                <w:lang w:val="es-ES"/>
              </w:rPr>
            </w:pPr>
            <w:r w:rsidRPr="002075D9">
              <w:rPr>
                <w:rFonts w:ascii="Lucida Bright" w:hAnsi="Lucida Bright" w:cs="Calibri"/>
                <w:b/>
                <w:bCs/>
                <w:sz w:val="14"/>
                <w:szCs w:val="14"/>
                <w:lang w:val="es-ES"/>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369.309.558,00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18.296.484,76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(3.822.920,31)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(1.093,80)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rPr>
                <w:rFonts w:ascii="Lucida Bright" w:hAnsi="Lucida Bright" w:cs="Calibri"/>
                <w:b/>
                <w:bCs/>
                <w:sz w:val="14"/>
                <w:szCs w:val="14"/>
                <w:lang w:val="es-ES"/>
              </w:rPr>
            </w:pPr>
            <w:r w:rsidRPr="002075D9">
              <w:rPr>
                <w:rFonts w:ascii="Lucida Bright" w:hAnsi="Lucida Bright" w:cs="Calibri"/>
                <w:b/>
                <w:bCs/>
                <w:sz w:val="14"/>
                <w:szCs w:val="14"/>
                <w:lang w:val="es-ES"/>
              </w:rPr>
              <w:t xml:space="preserve">- </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2075D9" w:rsidRPr="002075D9" w:rsidRDefault="002075D9" w:rsidP="002075D9">
            <w:pPr>
              <w:jc w:val="right"/>
              <w:rPr>
                <w:rFonts w:ascii="Lucida Bright" w:hAnsi="Lucida Bright" w:cs="Calibri"/>
                <w:b/>
                <w:bCs/>
                <w:sz w:val="14"/>
                <w:szCs w:val="14"/>
                <w:lang w:val="es-ES"/>
              </w:rPr>
            </w:pPr>
            <w:r w:rsidRPr="002075D9">
              <w:rPr>
                <w:rFonts w:ascii="Lucida Bright" w:hAnsi="Lucida Bright" w:cs="Calibri"/>
                <w:b/>
                <w:bCs/>
                <w:sz w:val="14"/>
                <w:szCs w:val="14"/>
                <w:lang w:val="es-ES"/>
              </w:rPr>
              <w:t xml:space="preserve">383.782.028,65 </w:t>
            </w:r>
          </w:p>
        </w:tc>
      </w:tr>
    </w:tbl>
    <w:p w:rsidR="00462607" w:rsidRDefault="00462607" w:rsidP="00462607">
      <w:pPr>
        <w:shd w:val="clear" w:color="auto" w:fill="FFFFFF"/>
        <w:ind w:right="1108"/>
        <w:rPr>
          <w:rFonts w:ascii="Lucida Bright" w:eastAsia="Lucida Bright" w:hAnsi="Lucida Bright" w:cs="Lucida Bright"/>
          <w:color w:val="000000"/>
          <w:sz w:val="15"/>
          <w:highlight w:val="white"/>
        </w:rPr>
        <w:sectPr w:rsidR="00462607" w:rsidSect="00855D01">
          <w:pgSz w:w="16840" w:h="11907" w:orient="landscape" w:code="9"/>
          <w:pgMar w:top="1985" w:right="1701" w:bottom="1418" w:left="1701" w:header="567" w:footer="641" w:gutter="0"/>
          <w:cols w:space="720"/>
          <w:docGrid w:linePitch="272"/>
        </w:sectPr>
      </w:pPr>
    </w:p>
    <w:p w:rsidR="00B9194A" w:rsidRDefault="00B9194A" w:rsidP="004E5856">
      <w:pPr>
        <w:shd w:val="clear" w:color="auto" w:fill="FFFFFF"/>
        <w:ind w:left="12" w:right="1108"/>
        <w:rPr>
          <w:rFonts w:ascii="Lucida Bright" w:eastAsia="Lucida Bright" w:hAnsi="Lucida Bright" w:cs="Lucida Bright"/>
          <w:color w:val="000000"/>
          <w:sz w:val="15"/>
          <w:highlight w:val="white"/>
        </w:rPr>
      </w:pPr>
    </w:p>
    <w:tbl>
      <w:tblPr>
        <w:tblW w:w="5000" w:type="pct"/>
        <w:tblCellMar>
          <w:left w:w="70" w:type="dxa"/>
          <w:right w:w="70" w:type="dxa"/>
        </w:tblCellMar>
        <w:tblLook w:val="04A0" w:firstRow="1" w:lastRow="0" w:firstColumn="1" w:lastColumn="0" w:noHBand="0" w:noVBand="1"/>
      </w:tblPr>
      <w:tblGrid>
        <w:gridCol w:w="3091"/>
        <w:gridCol w:w="183"/>
        <w:gridCol w:w="1728"/>
        <w:gridCol w:w="1310"/>
        <w:gridCol w:w="1312"/>
        <w:gridCol w:w="1483"/>
        <w:gridCol w:w="1158"/>
        <w:gridCol w:w="1158"/>
        <w:gridCol w:w="920"/>
        <w:gridCol w:w="1235"/>
      </w:tblGrid>
      <w:tr w:rsidR="00FE5DBD" w:rsidRPr="00FE5DBD" w:rsidTr="00FE5DBD">
        <w:trPr>
          <w:trHeight w:val="300"/>
        </w:trPr>
        <w:tc>
          <w:tcPr>
            <w:tcW w:w="1840" w:type="pct"/>
            <w:gridSpan w:val="3"/>
            <w:tcBorders>
              <w:top w:val="nil"/>
              <w:left w:val="nil"/>
              <w:bottom w:val="nil"/>
              <w:right w:val="nil"/>
            </w:tcBorders>
            <w:shd w:val="clear" w:color="auto" w:fill="auto"/>
            <w:noWrap/>
            <w:vAlign w:val="bottom"/>
            <w:hideMark/>
          </w:tcPr>
          <w:p w:rsidR="00FE5DBD" w:rsidRPr="00FE5DBD" w:rsidRDefault="00FE5DBD" w:rsidP="00FE5DBD">
            <w:pPr>
              <w:rPr>
                <w:rFonts w:ascii="Lucida Bright" w:hAnsi="Lucida Bright" w:cs="Calibri"/>
                <w:b/>
                <w:bCs/>
                <w:color w:val="000000"/>
                <w:sz w:val="18"/>
                <w:szCs w:val="18"/>
                <w:lang w:val="es-ES"/>
              </w:rPr>
            </w:pPr>
            <w:r w:rsidRPr="00FE5DBD">
              <w:rPr>
                <w:rFonts w:ascii="Lucida Bright" w:hAnsi="Lucida Bright" w:cs="Calibri"/>
                <w:b/>
                <w:bCs/>
                <w:color w:val="000000"/>
                <w:sz w:val="18"/>
                <w:szCs w:val="18"/>
                <w:lang w:val="es-ES"/>
              </w:rPr>
              <w:t>CUADRO: INMOVILIZADO MATERIAL 2022</w:t>
            </w:r>
          </w:p>
        </w:tc>
        <w:tc>
          <w:tcPr>
            <w:tcW w:w="483" w:type="pct"/>
            <w:tcBorders>
              <w:top w:val="nil"/>
              <w:left w:val="nil"/>
              <w:bottom w:val="nil"/>
              <w:right w:val="nil"/>
            </w:tcBorders>
            <w:shd w:val="clear" w:color="auto" w:fill="auto"/>
            <w:noWrap/>
            <w:vAlign w:val="bottom"/>
            <w:hideMark/>
          </w:tcPr>
          <w:p w:rsidR="00FE5DBD" w:rsidRPr="00FE5DBD" w:rsidRDefault="00FE5DBD" w:rsidP="00FE5DBD">
            <w:pPr>
              <w:rPr>
                <w:rFonts w:ascii="Lucida Bright" w:hAnsi="Lucida Bright" w:cs="Calibri"/>
                <w:color w:val="000000"/>
                <w:sz w:val="18"/>
                <w:szCs w:val="18"/>
                <w:lang w:val="es-ES"/>
              </w:rPr>
            </w:pPr>
          </w:p>
        </w:tc>
        <w:tc>
          <w:tcPr>
            <w:tcW w:w="483" w:type="pct"/>
            <w:tcBorders>
              <w:top w:val="nil"/>
              <w:left w:val="nil"/>
              <w:bottom w:val="nil"/>
              <w:right w:val="nil"/>
            </w:tcBorders>
            <w:shd w:val="clear" w:color="auto" w:fill="auto"/>
            <w:noWrap/>
            <w:vAlign w:val="bottom"/>
            <w:hideMark/>
          </w:tcPr>
          <w:p w:rsidR="00FE5DBD" w:rsidRPr="00FE5DBD" w:rsidRDefault="00FE5DBD" w:rsidP="00FE5DBD">
            <w:pPr>
              <w:rPr>
                <w:rFonts w:ascii="Lucida Bright" w:hAnsi="Lucida Bright" w:cs="Calibri"/>
                <w:color w:val="000000"/>
                <w:sz w:val="18"/>
                <w:szCs w:val="18"/>
                <w:lang w:val="es-ES"/>
              </w:rPr>
            </w:pPr>
          </w:p>
        </w:tc>
        <w:tc>
          <w:tcPr>
            <w:tcW w:w="547" w:type="pct"/>
            <w:tcBorders>
              <w:top w:val="nil"/>
              <w:left w:val="nil"/>
              <w:bottom w:val="nil"/>
              <w:right w:val="nil"/>
            </w:tcBorders>
            <w:shd w:val="clear" w:color="auto" w:fill="auto"/>
            <w:noWrap/>
            <w:vAlign w:val="bottom"/>
            <w:hideMark/>
          </w:tcPr>
          <w:p w:rsidR="00FE5DBD" w:rsidRPr="00FE5DBD" w:rsidRDefault="00FE5DBD" w:rsidP="00FE5DBD">
            <w:pPr>
              <w:rPr>
                <w:rFonts w:ascii="Lucida Bright" w:hAnsi="Lucida Bright" w:cs="Calibri"/>
                <w:color w:val="000000"/>
                <w:sz w:val="18"/>
                <w:szCs w:val="18"/>
                <w:lang w:val="es-ES"/>
              </w:rPr>
            </w:pPr>
          </w:p>
        </w:tc>
        <w:tc>
          <w:tcPr>
            <w:tcW w:w="427" w:type="pct"/>
            <w:tcBorders>
              <w:top w:val="nil"/>
              <w:left w:val="nil"/>
              <w:bottom w:val="nil"/>
              <w:right w:val="nil"/>
            </w:tcBorders>
            <w:shd w:val="clear" w:color="auto" w:fill="auto"/>
            <w:noWrap/>
            <w:vAlign w:val="bottom"/>
            <w:hideMark/>
          </w:tcPr>
          <w:p w:rsidR="00FE5DBD" w:rsidRPr="00FE5DBD" w:rsidRDefault="00FE5DBD" w:rsidP="00FE5DBD">
            <w:pPr>
              <w:rPr>
                <w:rFonts w:ascii="Lucida Bright" w:hAnsi="Lucida Bright" w:cs="Calibri"/>
                <w:color w:val="000000"/>
                <w:sz w:val="18"/>
                <w:szCs w:val="18"/>
                <w:lang w:val="es-ES"/>
              </w:rPr>
            </w:pPr>
          </w:p>
        </w:tc>
        <w:tc>
          <w:tcPr>
            <w:tcW w:w="427" w:type="pct"/>
            <w:tcBorders>
              <w:top w:val="nil"/>
              <w:left w:val="nil"/>
              <w:bottom w:val="nil"/>
              <w:right w:val="nil"/>
            </w:tcBorders>
            <w:shd w:val="clear" w:color="auto" w:fill="auto"/>
            <w:noWrap/>
            <w:vAlign w:val="bottom"/>
            <w:hideMark/>
          </w:tcPr>
          <w:p w:rsidR="00FE5DBD" w:rsidRPr="00FE5DBD" w:rsidRDefault="00FE5DBD" w:rsidP="00FE5DBD">
            <w:pPr>
              <w:rPr>
                <w:rFonts w:ascii="Lucida Bright" w:hAnsi="Lucida Bright" w:cs="Calibri"/>
                <w:color w:val="000000"/>
                <w:sz w:val="18"/>
                <w:szCs w:val="18"/>
                <w:lang w:val="es-ES"/>
              </w:rPr>
            </w:pPr>
          </w:p>
        </w:tc>
        <w:tc>
          <w:tcPr>
            <w:tcW w:w="336" w:type="pct"/>
            <w:tcBorders>
              <w:top w:val="nil"/>
              <w:left w:val="nil"/>
              <w:bottom w:val="nil"/>
              <w:right w:val="nil"/>
            </w:tcBorders>
            <w:shd w:val="clear" w:color="auto" w:fill="auto"/>
            <w:noWrap/>
            <w:vAlign w:val="bottom"/>
            <w:hideMark/>
          </w:tcPr>
          <w:p w:rsidR="00FE5DBD" w:rsidRPr="00FE5DBD" w:rsidRDefault="00FE5DBD" w:rsidP="00FE5DBD">
            <w:pPr>
              <w:rPr>
                <w:rFonts w:ascii="Lucida Bright" w:hAnsi="Lucida Bright" w:cs="Calibri"/>
                <w:color w:val="000000"/>
                <w:sz w:val="18"/>
                <w:szCs w:val="18"/>
                <w:lang w:val="es-ES"/>
              </w:rPr>
            </w:pPr>
          </w:p>
        </w:tc>
        <w:tc>
          <w:tcPr>
            <w:tcW w:w="455" w:type="pct"/>
            <w:tcBorders>
              <w:top w:val="nil"/>
              <w:left w:val="nil"/>
              <w:bottom w:val="nil"/>
              <w:right w:val="nil"/>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(en euros)</w:t>
            </w:r>
          </w:p>
        </w:tc>
      </w:tr>
      <w:tr w:rsidR="00FE5DBD" w:rsidRPr="00FE5DBD" w:rsidTr="00FE5DBD">
        <w:trPr>
          <w:trHeight w:val="630"/>
        </w:trPr>
        <w:tc>
          <w:tcPr>
            <w:tcW w:w="1203" w:type="pct"/>
            <w:gridSpan w:val="2"/>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CONCEPTO</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Saldo a</w:t>
            </w:r>
            <w:r w:rsidRPr="00FE5DBD">
              <w:rPr>
                <w:rFonts w:ascii="Lucida Bright" w:hAnsi="Lucida Bright" w:cs="Calibri"/>
                <w:b/>
                <w:bCs/>
                <w:color w:val="000000"/>
                <w:sz w:val="14"/>
                <w:szCs w:val="14"/>
                <w:lang w:val="es-ES"/>
              </w:rPr>
              <w:br/>
              <w:t>31-12-21</w:t>
            </w:r>
          </w:p>
        </w:tc>
        <w:tc>
          <w:tcPr>
            <w:tcW w:w="967" w:type="pct"/>
            <w:gridSpan w:val="2"/>
            <w:tcBorders>
              <w:top w:val="single" w:sz="4" w:space="0" w:color="auto"/>
              <w:left w:val="nil"/>
              <w:bottom w:val="single" w:sz="4" w:space="0" w:color="auto"/>
              <w:right w:val="single" w:sz="4" w:space="0" w:color="auto"/>
            </w:tcBorders>
            <w:shd w:val="clear" w:color="000000" w:fill="CCFFCC"/>
            <w:noWrap/>
            <w:vAlign w:val="center"/>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Variaciones del ejercicio</w:t>
            </w:r>
          </w:p>
        </w:tc>
        <w:tc>
          <w:tcPr>
            <w:tcW w:w="547" w:type="pct"/>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Reclasificaciones</w:t>
            </w:r>
            <w:r w:rsidRPr="00FE5DBD">
              <w:rPr>
                <w:rFonts w:ascii="Lucida Bright" w:hAnsi="Lucida Bright" w:cs="Calibri"/>
                <w:b/>
                <w:bCs/>
                <w:color w:val="000000"/>
                <w:sz w:val="14"/>
                <w:szCs w:val="14"/>
                <w:lang w:val="es-ES"/>
              </w:rPr>
              <w:br/>
              <w:t>(+/-)</w:t>
            </w:r>
          </w:p>
        </w:tc>
        <w:tc>
          <w:tcPr>
            <w:tcW w:w="427" w:type="pct"/>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Traspaso a / de inversiones inmobiliarias (-/+)</w:t>
            </w:r>
          </w:p>
        </w:tc>
        <w:tc>
          <w:tcPr>
            <w:tcW w:w="427" w:type="pct"/>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Traspaso a activo</w:t>
            </w:r>
            <w:r w:rsidRPr="00FE5DBD">
              <w:rPr>
                <w:rFonts w:ascii="Lucida Bright" w:hAnsi="Lucida Bright" w:cs="Calibri"/>
                <w:b/>
                <w:bCs/>
                <w:color w:val="000000"/>
                <w:sz w:val="14"/>
                <w:szCs w:val="14"/>
                <w:lang w:val="es-ES"/>
              </w:rPr>
              <w:br/>
              <w:t>no corriente mantenido para</w:t>
            </w:r>
            <w:r w:rsidRPr="00FE5DBD">
              <w:rPr>
                <w:rFonts w:ascii="Lucida Bright" w:hAnsi="Lucida Bright" w:cs="Calibri"/>
                <w:b/>
                <w:bCs/>
                <w:color w:val="000000"/>
                <w:sz w:val="14"/>
                <w:szCs w:val="14"/>
                <w:lang w:val="es-ES"/>
              </w:rPr>
              <w:br/>
              <w:t>la venta (-)</w:t>
            </w:r>
          </w:p>
        </w:tc>
        <w:tc>
          <w:tcPr>
            <w:tcW w:w="336" w:type="pct"/>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Ajustes contra patrimonio (+/-)</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Saldo a</w:t>
            </w:r>
            <w:r w:rsidRPr="00FE5DBD">
              <w:rPr>
                <w:rFonts w:ascii="Lucida Bright" w:hAnsi="Lucida Bright" w:cs="Calibri"/>
                <w:b/>
                <w:bCs/>
                <w:color w:val="000000"/>
                <w:sz w:val="14"/>
                <w:szCs w:val="14"/>
                <w:lang w:val="es-ES"/>
              </w:rPr>
              <w:br/>
              <w:t>31-12-22</w:t>
            </w:r>
          </w:p>
        </w:tc>
      </w:tr>
      <w:tr w:rsidR="00FE5DBD" w:rsidRPr="00FE5DBD" w:rsidTr="00FE5DBD">
        <w:trPr>
          <w:trHeight w:val="300"/>
        </w:trPr>
        <w:tc>
          <w:tcPr>
            <w:tcW w:w="1203" w:type="pct"/>
            <w:gridSpan w:val="2"/>
            <w:vMerge/>
            <w:tcBorders>
              <w:top w:val="single" w:sz="4" w:space="0" w:color="auto"/>
              <w:left w:val="single" w:sz="4" w:space="0" w:color="auto"/>
              <w:bottom w:val="single" w:sz="4" w:space="0" w:color="auto"/>
              <w:right w:val="single" w:sz="4" w:space="0" w:color="auto"/>
            </w:tcBorders>
            <w:vAlign w:val="center"/>
            <w:hideMark/>
          </w:tcPr>
          <w:p w:rsidR="00FE5DBD" w:rsidRPr="00FE5DBD" w:rsidRDefault="00FE5DBD" w:rsidP="00FE5DBD">
            <w:pPr>
              <w:rPr>
                <w:rFonts w:ascii="Lucida Bright" w:hAnsi="Lucida Bright" w:cs="Calibri"/>
                <w:b/>
                <w:bCs/>
                <w:color w:val="000000"/>
                <w:sz w:val="14"/>
                <w:szCs w:val="14"/>
                <w:lang w:val="es-E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FE5DBD" w:rsidRPr="00FE5DBD" w:rsidRDefault="00FE5DBD" w:rsidP="00FE5DBD">
            <w:pPr>
              <w:rPr>
                <w:rFonts w:ascii="Lucida Bright" w:hAnsi="Lucida Bright" w:cs="Calibri"/>
                <w:b/>
                <w:bCs/>
                <w:color w:val="000000"/>
                <w:sz w:val="14"/>
                <w:szCs w:val="14"/>
                <w:lang w:val="es-ES"/>
              </w:rPr>
            </w:pPr>
          </w:p>
        </w:tc>
        <w:tc>
          <w:tcPr>
            <w:tcW w:w="483" w:type="pct"/>
            <w:tcBorders>
              <w:top w:val="nil"/>
              <w:left w:val="nil"/>
              <w:bottom w:val="single" w:sz="4" w:space="0" w:color="auto"/>
              <w:right w:val="single" w:sz="4" w:space="0" w:color="auto"/>
            </w:tcBorders>
            <w:shd w:val="clear" w:color="000000" w:fill="CCFFCC"/>
            <w:noWrap/>
            <w:vAlign w:val="bottom"/>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Altas (+)</w:t>
            </w:r>
          </w:p>
        </w:tc>
        <w:tc>
          <w:tcPr>
            <w:tcW w:w="483" w:type="pct"/>
            <w:tcBorders>
              <w:top w:val="nil"/>
              <w:left w:val="nil"/>
              <w:bottom w:val="single" w:sz="4" w:space="0" w:color="auto"/>
              <w:right w:val="single" w:sz="4" w:space="0" w:color="auto"/>
            </w:tcBorders>
            <w:shd w:val="clear" w:color="000000" w:fill="CCFFCC"/>
            <w:noWrap/>
            <w:vAlign w:val="bottom"/>
            <w:hideMark/>
          </w:tcPr>
          <w:p w:rsidR="00FE5DBD" w:rsidRPr="00FE5DBD" w:rsidRDefault="00FE5DBD" w:rsidP="00FE5DBD">
            <w:pPr>
              <w:jc w:val="cente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Bajas (-)</w:t>
            </w: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FE5DBD" w:rsidRPr="00FE5DBD" w:rsidRDefault="00FE5DBD" w:rsidP="00FE5DBD">
            <w:pPr>
              <w:rPr>
                <w:rFonts w:ascii="Lucida Bright" w:hAnsi="Lucida Bright" w:cs="Calibri"/>
                <w:b/>
                <w:bCs/>
                <w:color w:val="000000"/>
                <w:sz w:val="14"/>
                <w:szCs w:val="14"/>
                <w:lang w:val="es-ES"/>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FE5DBD" w:rsidRPr="00FE5DBD" w:rsidRDefault="00FE5DBD" w:rsidP="00FE5DBD">
            <w:pPr>
              <w:rPr>
                <w:rFonts w:ascii="Lucida Bright" w:hAnsi="Lucida Bright" w:cs="Calibri"/>
                <w:b/>
                <w:bCs/>
                <w:color w:val="000000"/>
                <w:sz w:val="14"/>
                <w:szCs w:val="14"/>
                <w:lang w:val="es-ES"/>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FE5DBD" w:rsidRPr="00FE5DBD" w:rsidRDefault="00FE5DBD" w:rsidP="00FE5DBD">
            <w:pPr>
              <w:rPr>
                <w:rFonts w:ascii="Lucida Bright" w:hAnsi="Lucida Bright" w:cs="Calibri"/>
                <w:b/>
                <w:bCs/>
                <w:color w:val="000000"/>
                <w:sz w:val="14"/>
                <w:szCs w:val="14"/>
                <w:lang w:val="es-ES"/>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FE5DBD" w:rsidRPr="00FE5DBD" w:rsidRDefault="00FE5DBD" w:rsidP="00FE5DBD">
            <w:pPr>
              <w:rPr>
                <w:rFonts w:ascii="Lucida Bright" w:hAnsi="Lucida Bright" w:cs="Calibri"/>
                <w:b/>
                <w:bCs/>
                <w:color w:val="000000"/>
                <w:sz w:val="14"/>
                <w:szCs w:val="14"/>
                <w:lang w:val="es-E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FE5DBD" w:rsidRPr="00FE5DBD" w:rsidRDefault="00FE5DBD" w:rsidP="00FE5DBD">
            <w:pPr>
              <w:rPr>
                <w:rFonts w:ascii="Lucida Bright" w:hAnsi="Lucida Bright" w:cs="Calibri"/>
                <w:b/>
                <w:bCs/>
                <w:color w:val="000000"/>
                <w:sz w:val="14"/>
                <w:szCs w:val="14"/>
                <w:lang w:val="es-ES"/>
              </w:rPr>
            </w:pP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xml:space="preserve"> a) Terrenos y bienes naturales</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77.085.886,48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13.354,02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(61.584,00)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77.037.656,50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xml:space="preserve"> b) Construcciones</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561.423.256,37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14.694.536,26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576.117.792,63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Accesos marítimos</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19.404.546,66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321.107,12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19.725.653,78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Obras de abrigo y defensa</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68.457.260,90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97.161,55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68.554.422,45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Obras de atraque</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246.459.999,25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4.703.464,52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251.163.463,77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Instalaciones para reparación de barcos</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Edificaciones</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100.170.436,34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500.222,26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100.670.658,60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Instalaciones generales</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56.267.583,98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3.016.365,42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59.283.949,40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Pavimentos, calzadas y vías de circulación</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70.663.429,24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6.056.215,39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76.719.644,63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xml:space="preserve"> c) Equipamientos e instalaciones técnicas</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29.279.877,66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209.728,99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29.489.606,65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Instalaciones de ayuda a la navegación</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5.975.371,01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209.728,99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6.185.100,00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Equipos de manipulación de </w:t>
            </w:r>
            <w:proofErr w:type="spellStart"/>
            <w:r w:rsidRPr="00FE5DBD">
              <w:rPr>
                <w:rFonts w:ascii="Lucida Bright" w:hAnsi="Lucida Bright" w:cs="Calibri"/>
                <w:sz w:val="14"/>
                <w:szCs w:val="14"/>
                <w:lang w:val="es-ES"/>
              </w:rPr>
              <w:t>mercancias</w:t>
            </w:r>
            <w:proofErr w:type="spellEnd"/>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21.803.965,39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21.803.965,39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Material flotante</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1.318.595,34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1.318.595,34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Material ferroviario</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Equipo de taller</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181.945,92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181.945,92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xml:space="preserve"> d) Otro inmovilizado</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19.394.062,03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548.087,09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19.942.149,12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Mobiliario</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2.781.841,32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11.390,41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2.793.231,73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Equipos para proceso de información</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2.997.919,10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273.205,48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3.271.124,58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Elementos de transporte</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2.979.283,34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129.243,45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3.108.526,79 </w:t>
            </w:r>
          </w:p>
        </w:tc>
      </w:tr>
      <w:tr w:rsidR="00FE5DBD" w:rsidRPr="00FE5DBD" w:rsidTr="00FE5DBD">
        <w:trPr>
          <w:trHeight w:val="210"/>
        </w:trPr>
        <w:tc>
          <w:tcPr>
            <w:tcW w:w="1139" w:type="pct"/>
            <w:tcBorders>
              <w:top w:val="nil"/>
              <w:left w:val="single" w:sz="4" w:space="0" w:color="auto"/>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Otro inmovilizado material</w:t>
            </w:r>
          </w:p>
        </w:tc>
        <w:tc>
          <w:tcPr>
            <w:tcW w:w="64"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10.635.018,27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134.247,75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color w:val="000000"/>
                <w:sz w:val="14"/>
                <w:szCs w:val="14"/>
                <w:lang w:val="es-ES"/>
              </w:rPr>
            </w:pPr>
            <w:r w:rsidRPr="00FE5DBD">
              <w:rPr>
                <w:rFonts w:ascii="Lucida Bright" w:hAnsi="Lucida Bright" w:cs="Calibri"/>
                <w:color w:val="000000"/>
                <w:sz w:val="14"/>
                <w:szCs w:val="14"/>
                <w:lang w:val="es-ES"/>
              </w:rPr>
              <w:t xml:space="preserve">10.769.266,02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jc w:val="center"/>
              <w:rPr>
                <w:rFonts w:ascii="Lucida Bright" w:hAnsi="Lucida Bright" w:cs="Calibri"/>
                <w:b/>
                <w:bCs/>
                <w:sz w:val="14"/>
                <w:szCs w:val="14"/>
                <w:lang w:val="es-ES"/>
              </w:rPr>
            </w:pPr>
            <w:r w:rsidRPr="00FE5DBD">
              <w:rPr>
                <w:rFonts w:ascii="Lucida Bright" w:hAnsi="Lucida Bright" w:cs="Calibri"/>
                <w:b/>
                <w:bCs/>
                <w:sz w:val="14"/>
                <w:szCs w:val="14"/>
                <w:lang w:val="es-ES"/>
              </w:rPr>
              <w:t>TOTAL INMOVILIZADO MATERIAL</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687.183.082,54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15.465.706,36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(61.584,00)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702.587.204,90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jc w:val="center"/>
              <w:rPr>
                <w:rFonts w:ascii="Lucida Bright" w:hAnsi="Lucida Bright" w:cs="Calibri"/>
                <w:b/>
                <w:bCs/>
                <w:sz w:val="14"/>
                <w:szCs w:val="14"/>
                <w:lang w:val="es-ES"/>
              </w:rPr>
            </w:pPr>
            <w:r w:rsidRPr="00FE5DBD">
              <w:rPr>
                <w:rFonts w:ascii="Lucida Bright" w:hAnsi="Lucida Bright" w:cs="Calibri"/>
                <w:b/>
                <w:bCs/>
                <w:sz w:val="14"/>
                <w:szCs w:val="14"/>
                <w:lang w:val="es-ES"/>
              </w:rPr>
              <w:t>ANTICIPOS E INMOVILIZADO EN CURSO</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51.162.815,00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5.315.174,46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(119.074,17)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(182.714,66)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56.176.200,63 </w:t>
            </w:r>
          </w:p>
        </w:tc>
      </w:tr>
      <w:tr w:rsidR="00FE5DBD" w:rsidRPr="00FE5DBD" w:rsidTr="00FE5DBD">
        <w:trPr>
          <w:trHeight w:val="210"/>
        </w:trPr>
        <w:tc>
          <w:tcPr>
            <w:tcW w:w="1203"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jc w:val="center"/>
              <w:rPr>
                <w:rFonts w:ascii="Lucida Bright" w:hAnsi="Lucida Bright" w:cs="Calibri"/>
                <w:b/>
                <w:bCs/>
                <w:sz w:val="14"/>
                <w:szCs w:val="14"/>
                <w:lang w:val="es-ES"/>
              </w:rPr>
            </w:pPr>
            <w:r w:rsidRPr="00FE5DBD">
              <w:rPr>
                <w:rFonts w:ascii="Lucida Bright" w:hAnsi="Lucida Bright" w:cs="Calibri"/>
                <w:b/>
                <w:bCs/>
                <w:sz w:val="14"/>
                <w:szCs w:val="14"/>
                <w:lang w:val="es-ES"/>
              </w:rPr>
              <w:t>TOTAL</w:t>
            </w:r>
          </w:p>
        </w:tc>
        <w:tc>
          <w:tcPr>
            <w:tcW w:w="63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738.345.897,54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20.780.880,82 </w:t>
            </w:r>
          </w:p>
        </w:tc>
        <w:tc>
          <w:tcPr>
            <w:tcW w:w="483"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(61.584,00) </w:t>
            </w:r>
          </w:p>
        </w:tc>
        <w:tc>
          <w:tcPr>
            <w:tcW w:w="54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(119.074,17)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(182.714,66) </w:t>
            </w:r>
          </w:p>
        </w:tc>
        <w:tc>
          <w:tcPr>
            <w:tcW w:w="427"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336"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w:t>
            </w:r>
          </w:p>
        </w:tc>
        <w:tc>
          <w:tcPr>
            <w:tcW w:w="455" w:type="pct"/>
            <w:tcBorders>
              <w:top w:val="nil"/>
              <w:left w:val="nil"/>
              <w:bottom w:val="single" w:sz="4" w:space="0" w:color="auto"/>
              <w:right w:val="single" w:sz="4" w:space="0" w:color="auto"/>
            </w:tcBorders>
            <w:shd w:val="clear" w:color="auto" w:fill="auto"/>
            <w:noWrap/>
            <w:vAlign w:val="bottom"/>
            <w:hideMark/>
          </w:tcPr>
          <w:p w:rsidR="00FE5DBD" w:rsidRPr="00FE5DBD" w:rsidRDefault="00FE5DBD" w:rsidP="00FE5DBD">
            <w:pPr>
              <w:jc w:val="right"/>
              <w:rPr>
                <w:rFonts w:ascii="Lucida Bright" w:hAnsi="Lucida Bright" w:cs="Calibri"/>
                <w:b/>
                <w:bCs/>
                <w:color w:val="000000"/>
                <w:sz w:val="14"/>
                <w:szCs w:val="14"/>
                <w:lang w:val="es-ES"/>
              </w:rPr>
            </w:pPr>
            <w:r w:rsidRPr="00FE5DBD">
              <w:rPr>
                <w:rFonts w:ascii="Lucida Bright" w:hAnsi="Lucida Bright" w:cs="Calibri"/>
                <w:b/>
                <w:bCs/>
                <w:color w:val="000000"/>
                <w:sz w:val="14"/>
                <w:szCs w:val="14"/>
                <w:lang w:val="es-ES"/>
              </w:rPr>
              <w:t xml:space="preserve">758.763.405,53 </w:t>
            </w:r>
          </w:p>
        </w:tc>
      </w:tr>
    </w:tbl>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FE5DBD" w:rsidRDefault="00FE5DBD"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tbl>
      <w:tblPr>
        <w:tblW w:w="5000" w:type="pct"/>
        <w:tblCellMar>
          <w:left w:w="70" w:type="dxa"/>
          <w:right w:w="70" w:type="dxa"/>
        </w:tblCellMar>
        <w:tblLook w:val="04A0" w:firstRow="1" w:lastRow="0" w:firstColumn="1" w:lastColumn="0" w:noHBand="0" w:noVBand="1"/>
      </w:tblPr>
      <w:tblGrid>
        <w:gridCol w:w="3187"/>
        <w:gridCol w:w="184"/>
        <w:gridCol w:w="1221"/>
        <w:gridCol w:w="1137"/>
        <w:gridCol w:w="1091"/>
        <w:gridCol w:w="1074"/>
        <w:gridCol w:w="1074"/>
        <w:gridCol w:w="1074"/>
        <w:gridCol w:w="1146"/>
        <w:gridCol w:w="1195"/>
        <w:gridCol w:w="1195"/>
      </w:tblGrid>
      <w:tr w:rsidR="00FE5DBD" w:rsidRPr="00FE5DBD" w:rsidTr="00FE5DBD">
        <w:trPr>
          <w:trHeight w:val="300"/>
        </w:trPr>
        <w:tc>
          <w:tcPr>
            <w:tcW w:w="2112" w:type="pct"/>
            <w:gridSpan w:val="4"/>
            <w:tcBorders>
              <w:top w:val="nil"/>
              <w:left w:val="nil"/>
              <w:bottom w:val="single" w:sz="4" w:space="0" w:color="auto"/>
              <w:right w:val="nil"/>
            </w:tcBorders>
            <w:shd w:val="clear" w:color="000000" w:fill="FFFFFF"/>
            <w:noWrap/>
            <w:vAlign w:val="center"/>
            <w:hideMark/>
          </w:tcPr>
          <w:p w:rsidR="00FE5DBD" w:rsidRPr="00FE5DBD" w:rsidRDefault="00FE5DBD" w:rsidP="00FE5DBD">
            <w:pPr>
              <w:rPr>
                <w:rFonts w:ascii="Lucida Bright" w:hAnsi="Lucida Bright" w:cs="Calibri"/>
                <w:b/>
                <w:bCs/>
                <w:sz w:val="18"/>
                <w:szCs w:val="18"/>
                <w:lang w:val="es-ES"/>
              </w:rPr>
            </w:pPr>
            <w:r w:rsidRPr="00FE5DBD">
              <w:rPr>
                <w:rFonts w:ascii="Lucida Bright" w:hAnsi="Lucida Bright" w:cs="Calibri"/>
                <w:b/>
                <w:bCs/>
                <w:sz w:val="18"/>
                <w:szCs w:val="18"/>
                <w:lang w:val="es-ES"/>
              </w:rPr>
              <w:t>CUADRO: ALTAS DE INMOVILIZADO MATERIAL 2022</w:t>
            </w:r>
          </w:p>
        </w:tc>
        <w:tc>
          <w:tcPr>
            <w:tcW w:w="397" w:type="pct"/>
            <w:tcBorders>
              <w:top w:val="nil"/>
              <w:left w:val="nil"/>
              <w:bottom w:val="nil"/>
              <w:right w:val="nil"/>
            </w:tcBorders>
            <w:shd w:val="clear" w:color="000000" w:fill="FFFFFF"/>
            <w:noWrap/>
            <w:vAlign w:val="center"/>
            <w:hideMark/>
          </w:tcPr>
          <w:p w:rsidR="00FE5DBD" w:rsidRPr="00FE5DBD" w:rsidRDefault="00FE5DBD" w:rsidP="00FE5DBD">
            <w:pPr>
              <w:rPr>
                <w:rFonts w:ascii="Arial" w:hAnsi="Arial" w:cs="Arial"/>
                <w:lang w:val="es-ES"/>
              </w:rPr>
            </w:pPr>
            <w:r w:rsidRPr="00FE5DBD">
              <w:rPr>
                <w:rFonts w:ascii="Arial" w:hAnsi="Arial" w:cs="Arial"/>
                <w:lang w:val="es-ES"/>
              </w:rPr>
              <w:t> </w:t>
            </w:r>
          </w:p>
        </w:tc>
        <w:tc>
          <w:tcPr>
            <w:tcW w:w="397" w:type="pct"/>
            <w:tcBorders>
              <w:top w:val="nil"/>
              <w:left w:val="nil"/>
              <w:bottom w:val="nil"/>
              <w:right w:val="nil"/>
            </w:tcBorders>
            <w:shd w:val="clear" w:color="000000" w:fill="FFFFFF"/>
            <w:noWrap/>
            <w:vAlign w:val="center"/>
            <w:hideMark/>
          </w:tcPr>
          <w:p w:rsidR="00FE5DBD" w:rsidRPr="00FE5DBD" w:rsidRDefault="00FE5DBD" w:rsidP="00FE5DBD">
            <w:pPr>
              <w:rPr>
                <w:rFonts w:ascii="Arial" w:hAnsi="Arial" w:cs="Arial"/>
                <w:lang w:val="es-ES"/>
              </w:rPr>
            </w:pPr>
            <w:r w:rsidRPr="00FE5DBD">
              <w:rPr>
                <w:rFonts w:ascii="Arial" w:hAnsi="Arial" w:cs="Arial"/>
                <w:lang w:val="es-ES"/>
              </w:rPr>
              <w:t> </w:t>
            </w:r>
          </w:p>
        </w:tc>
        <w:tc>
          <w:tcPr>
            <w:tcW w:w="397" w:type="pct"/>
            <w:tcBorders>
              <w:top w:val="nil"/>
              <w:left w:val="nil"/>
              <w:bottom w:val="nil"/>
              <w:right w:val="nil"/>
            </w:tcBorders>
            <w:shd w:val="clear" w:color="000000" w:fill="FFFFFF"/>
            <w:noWrap/>
            <w:vAlign w:val="center"/>
            <w:hideMark/>
          </w:tcPr>
          <w:p w:rsidR="00FE5DBD" w:rsidRPr="00FE5DBD" w:rsidRDefault="00FE5DBD" w:rsidP="00FE5DBD">
            <w:pPr>
              <w:rPr>
                <w:rFonts w:ascii="Arial" w:hAnsi="Arial" w:cs="Arial"/>
                <w:lang w:val="es-ES"/>
              </w:rPr>
            </w:pPr>
            <w:r w:rsidRPr="00FE5DBD">
              <w:rPr>
                <w:rFonts w:ascii="Arial" w:hAnsi="Arial" w:cs="Arial"/>
                <w:lang w:val="es-ES"/>
              </w:rPr>
              <w:t> </w:t>
            </w:r>
          </w:p>
        </w:tc>
        <w:tc>
          <w:tcPr>
            <w:tcW w:w="397" w:type="pct"/>
            <w:tcBorders>
              <w:top w:val="nil"/>
              <w:left w:val="nil"/>
              <w:bottom w:val="nil"/>
              <w:right w:val="nil"/>
            </w:tcBorders>
            <w:shd w:val="clear" w:color="000000" w:fill="FFFFFF"/>
            <w:noWrap/>
            <w:vAlign w:val="center"/>
            <w:hideMark/>
          </w:tcPr>
          <w:p w:rsidR="00FE5DBD" w:rsidRPr="00FE5DBD" w:rsidRDefault="00FE5DBD" w:rsidP="00FE5DBD">
            <w:pPr>
              <w:rPr>
                <w:rFonts w:ascii="Arial" w:hAnsi="Arial" w:cs="Arial"/>
                <w:lang w:val="es-ES"/>
              </w:rPr>
            </w:pPr>
            <w:r w:rsidRPr="00FE5DBD">
              <w:rPr>
                <w:rFonts w:ascii="Arial" w:hAnsi="Arial" w:cs="Arial"/>
                <w:lang w:val="es-ES"/>
              </w:rPr>
              <w:t> </w:t>
            </w:r>
          </w:p>
        </w:tc>
        <w:tc>
          <w:tcPr>
            <w:tcW w:w="416" w:type="pct"/>
            <w:tcBorders>
              <w:top w:val="nil"/>
              <w:left w:val="nil"/>
              <w:bottom w:val="nil"/>
              <w:right w:val="nil"/>
            </w:tcBorders>
            <w:shd w:val="clear" w:color="000000" w:fill="FFFFFF"/>
            <w:noWrap/>
            <w:vAlign w:val="center"/>
            <w:hideMark/>
          </w:tcPr>
          <w:p w:rsidR="00FE5DBD" w:rsidRPr="00FE5DBD" w:rsidRDefault="00FE5DBD" w:rsidP="00FE5DBD">
            <w:pPr>
              <w:rPr>
                <w:rFonts w:ascii="Arial" w:hAnsi="Arial" w:cs="Arial"/>
                <w:lang w:val="es-ES"/>
              </w:rPr>
            </w:pPr>
            <w:r w:rsidRPr="00FE5DBD">
              <w:rPr>
                <w:rFonts w:ascii="Arial" w:hAnsi="Arial" w:cs="Arial"/>
                <w:lang w:val="es-ES"/>
              </w:rPr>
              <w:t> </w:t>
            </w:r>
          </w:p>
        </w:tc>
        <w:tc>
          <w:tcPr>
            <w:tcW w:w="441" w:type="pct"/>
            <w:tcBorders>
              <w:top w:val="nil"/>
              <w:left w:val="nil"/>
              <w:bottom w:val="nil"/>
              <w:right w:val="nil"/>
            </w:tcBorders>
            <w:shd w:val="clear" w:color="000000" w:fill="FFFFFF"/>
            <w:noWrap/>
            <w:vAlign w:val="center"/>
            <w:hideMark/>
          </w:tcPr>
          <w:p w:rsidR="00FE5DBD" w:rsidRPr="00FE5DBD" w:rsidRDefault="00FE5DBD" w:rsidP="00FE5DBD">
            <w:pPr>
              <w:rPr>
                <w:rFonts w:ascii="Arial" w:hAnsi="Arial" w:cs="Arial"/>
                <w:lang w:val="es-ES"/>
              </w:rPr>
            </w:pPr>
            <w:r w:rsidRPr="00FE5DBD">
              <w:rPr>
                <w:rFonts w:ascii="Arial" w:hAnsi="Arial" w:cs="Arial"/>
                <w:lang w:val="es-ES"/>
              </w:rPr>
              <w:t> </w:t>
            </w:r>
          </w:p>
        </w:tc>
        <w:tc>
          <w:tcPr>
            <w:tcW w:w="441" w:type="pct"/>
            <w:tcBorders>
              <w:top w:val="nil"/>
              <w:left w:val="nil"/>
              <w:bottom w:val="nil"/>
              <w:right w:val="nil"/>
            </w:tcBorders>
            <w:shd w:val="clear" w:color="000000" w:fill="FFFFFF"/>
            <w:noWrap/>
            <w:vAlign w:val="bottom"/>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(en euros)</w:t>
            </w:r>
          </w:p>
        </w:tc>
      </w:tr>
      <w:tr w:rsidR="00FE5DBD" w:rsidRPr="00FE5DBD" w:rsidTr="00FE5DBD">
        <w:trPr>
          <w:trHeight w:val="915"/>
        </w:trPr>
        <w:tc>
          <w:tcPr>
            <w:tcW w:w="1241" w:type="pct"/>
            <w:gridSpan w:val="2"/>
            <w:tcBorders>
              <w:top w:val="single" w:sz="4" w:space="0" w:color="auto"/>
              <w:left w:val="single" w:sz="4" w:space="0" w:color="auto"/>
              <w:bottom w:val="single" w:sz="4" w:space="0" w:color="auto"/>
              <w:right w:val="single" w:sz="4" w:space="0" w:color="000000"/>
            </w:tcBorders>
            <w:shd w:val="clear" w:color="000000" w:fill="CCFFCC"/>
            <w:vAlign w:val="center"/>
            <w:hideMark/>
          </w:tcPr>
          <w:p w:rsidR="00FE5DBD" w:rsidRPr="00FE5DBD" w:rsidRDefault="00FE5DBD" w:rsidP="00FE5DBD">
            <w:pPr>
              <w:jc w:val="center"/>
              <w:rPr>
                <w:rFonts w:ascii="Lucida Bright" w:hAnsi="Lucida Bright" w:cs="Calibri"/>
                <w:b/>
                <w:bCs/>
                <w:sz w:val="14"/>
                <w:szCs w:val="14"/>
                <w:lang w:val="es-ES"/>
              </w:rPr>
            </w:pPr>
            <w:r w:rsidRPr="00FE5DBD">
              <w:rPr>
                <w:rFonts w:ascii="Lucida Bright" w:hAnsi="Lucida Bright" w:cs="Calibri"/>
                <w:b/>
                <w:bCs/>
                <w:sz w:val="14"/>
                <w:szCs w:val="14"/>
                <w:lang w:val="es-ES"/>
              </w:rPr>
              <w:t>CONCEPTO</w:t>
            </w:r>
          </w:p>
        </w:tc>
        <w:tc>
          <w:tcPr>
            <w:tcW w:w="451" w:type="pct"/>
            <w:tcBorders>
              <w:top w:val="nil"/>
              <w:left w:val="nil"/>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sz w:val="14"/>
                <w:szCs w:val="14"/>
                <w:lang w:val="es-ES"/>
              </w:rPr>
            </w:pPr>
            <w:r w:rsidRPr="00FE5DBD">
              <w:rPr>
                <w:rFonts w:ascii="Lucida Bright" w:hAnsi="Lucida Bright" w:cs="Calibri"/>
                <w:sz w:val="14"/>
                <w:szCs w:val="14"/>
                <w:lang w:val="es-ES"/>
              </w:rPr>
              <w:t>Adquisiciones</w:t>
            </w:r>
            <w:r w:rsidRPr="00FE5DBD">
              <w:rPr>
                <w:rFonts w:ascii="Lucida Bright" w:hAnsi="Lucida Bright" w:cs="Calibri"/>
                <w:sz w:val="14"/>
                <w:szCs w:val="14"/>
                <w:lang w:val="es-ES"/>
              </w:rPr>
              <w:br/>
              <w:t>a proveedores</w:t>
            </w:r>
            <w:r w:rsidRPr="00FE5DBD">
              <w:rPr>
                <w:rFonts w:ascii="Lucida Bright" w:hAnsi="Lucida Bright" w:cs="Calibri"/>
                <w:sz w:val="14"/>
                <w:szCs w:val="14"/>
                <w:lang w:val="es-ES"/>
              </w:rPr>
              <w:br/>
              <w:t>externos</w:t>
            </w:r>
          </w:p>
        </w:tc>
        <w:tc>
          <w:tcPr>
            <w:tcW w:w="420" w:type="pct"/>
            <w:tcBorders>
              <w:top w:val="nil"/>
              <w:left w:val="nil"/>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sz w:val="14"/>
                <w:szCs w:val="14"/>
                <w:lang w:val="es-ES"/>
              </w:rPr>
            </w:pPr>
            <w:r w:rsidRPr="00FE5DBD">
              <w:rPr>
                <w:rFonts w:ascii="Lucida Bright" w:hAnsi="Lucida Bright" w:cs="Calibri"/>
                <w:sz w:val="14"/>
                <w:szCs w:val="14"/>
                <w:lang w:val="es-ES"/>
              </w:rPr>
              <w:t>Adquisiciones</w:t>
            </w:r>
            <w:r w:rsidRPr="00FE5DBD">
              <w:rPr>
                <w:rFonts w:ascii="Lucida Bright" w:hAnsi="Lucida Bright" w:cs="Calibri"/>
                <w:sz w:val="14"/>
                <w:szCs w:val="14"/>
                <w:lang w:val="es-ES"/>
              </w:rPr>
              <w:br/>
              <w:t>a otras AA.PP. y</w:t>
            </w:r>
            <w:r w:rsidRPr="00FE5DBD">
              <w:rPr>
                <w:rFonts w:ascii="Lucida Bright" w:hAnsi="Lucida Bright" w:cs="Calibri"/>
                <w:sz w:val="14"/>
                <w:szCs w:val="14"/>
                <w:lang w:val="es-ES"/>
              </w:rPr>
              <w:br/>
              <w:t>Puertos del Estado</w:t>
            </w:r>
          </w:p>
        </w:tc>
        <w:tc>
          <w:tcPr>
            <w:tcW w:w="397" w:type="pct"/>
            <w:tcBorders>
              <w:top w:val="single" w:sz="4" w:space="0" w:color="auto"/>
              <w:left w:val="nil"/>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sz w:val="14"/>
                <w:szCs w:val="14"/>
                <w:lang w:val="es-ES"/>
              </w:rPr>
            </w:pPr>
            <w:r w:rsidRPr="00FE5DBD">
              <w:rPr>
                <w:rFonts w:ascii="Lucida Bright" w:hAnsi="Lucida Bright" w:cs="Calibri"/>
                <w:sz w:val="14"/>
                <w:szCs w:val="14"/>
                <w:lang w:val="es-ES"/>
              </w:rPr>
              <w:t>Incorporación al activo de gastos financieros</w:t>
            </w:r>
          </w:p>
        </w:tc>
        <w:tc>
          <w:tcPr>
            <w:tcW w:w="397" w:type="pct"/>
            <w:tcBorders>
              <w:top w:val="single" w:sz="4" w:space="0" w:color="auto"/>
              <w:left w:val="nil"/>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sz w:val="14"/>
                <w:szCs w:val="14"/>
                <w:lang w:val="es-ES"/>
              </w:rPr>
            </w:pPr>
            <w:r w:rsidRPr="00FE5DBD">
              <w:rPr>
                <w:rFonts w:ascii="Lucida Bright" w:hAnsi="Lucida Bright" w:cs="Calibri"/>
                <w:sz w:val="14"/>
                <w:szCs w:val="14"/>
                <w:lang w:val="es-ES"/>
              </w:rPr>
              <w:t>Activos</w:t>
            </w:r>
            <w:r w:rsidRPr="00FE5DBD">
              <w:rPr>
                <w:rFonts w:ascii="Lucida Bright" w:hAnsi="Lucida Bright" w:cs="Calibri"/>
                <w:sz w:val="14"/>
                <w:szCs w:val="14"/>
                <w:lang w:val="es-ES"/>
              </w:rPr>
              <w:br/>
              <w:t>subsumidos</w:t>
            </w:r>
            <w:r w:rsidRPr="00FE5DBD">
              <w:rPr>
                <w:rFonts w:ascii="Lucida Bright" w:hAnsi="Lucida Bright" w:cs="Calibri"/>
                <w:sz w:val="14"/>
                <w:szCs w:val="14"/>
                <w:lang w:val="es-ES"/>
              </w:rPr>
              <w:br/>
              <w:t>en otros</w:t>
            </w:r>
          </w:p>
        </w:tc>
        <w:tc>
          <w:tcPr>
            <w:tcW w:w="397" w:type="pct"/>
            <w:tcBorders>
              <w:top w:val="single" w:sz="4" w:space="0" w:color="auto"/>
              <w:left w:val="nil"/>
              <w:bottom w:val="nil"/>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sz w:val="14"/>
                <w:szCs w:val="14"/>
                <w:lang w:val="es-ES"/>
              </w:rPr>
            </w:pPr>
            <w:r w:rsidRPr="00FE5DBD">
              <w:rPr>
                <w:rFonts w:ascii="Lucida Bright" w:hAnsi="Lucida Bright" w:cs="Calibri"/>
                <w:sz w:val="14"/>
                <w:szCs w:val="14"/>
                <w:lang w:val="es-ES"/>
              </w:rPr>
              <w:t>Concesiones</w:t>
            </w:r>
            <w:r w:rsidRPr="00FE5DBD">
              <w:rPr>
                <w:rFonts w:ascii="Lucida Bright" w:hAnsi="Lucida Bright" w:cs="Calibri"/>
                <w:sz w:val="14"/>
                <w:szCs w:val="14"/>
                <w:lang w:val="es-ES"/>
              </w:rPr>
              <w:br/>
              <w:t>revertidas, donaciones y legados</w:t>
            </w:r>
          </w:p>
        </w:tc>
        <w:tc>
          <w:tcPr>
            <w:tcW w:w="397" w:type="pct"/>
            <w:tcBorders>
              <w:top w:val="single" w:sz="4" w:space="0" w:color="auto"/>
              <w:left w:val="nil"/>
              <w:bottom w:val="nil"/>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sz w:val="14"/>
                <w:szCs w:val="14"/>
                <w:lang w:val="es-ES"/>
              </w:rPr>
            </w:pPr>
            <w:r w:rsidRPr="00FE5DBD">
              <w:rPr>
                <w:rFonts w:ascii="Lucida Bright" w:hAnsi="Lucida Bright" w:cs="Calibri"/>
                <w:sz w:val="14"/>
                <w:szCs w:val="14"/>
                <w:lang w:val="es-ES"/>
              </w:rPr>
              <w:t>Rescate</w:t>
            </w:r>
            <w:r w:rsidRPr="00FE5DBD">
              <w:rPr>
                <w:rFonts w:ascii="Lucida Bright" w:hAnsi="Lucida Bright" w:cs="Calibri"/>
                <w:sz w:val="14"/>
                <w:szCs w:val="14"/>
                <w:lang w:val="es-ES"/>
              </w:rPr>
              <w:br/>
              <w:t>anticipado de</w:t>
            </w:r>
            <w:r w:rsidRPr="00FE5DBD">
              <w:rPr>
                <w:rFonts w:ascii="Lucida Bright" w:hAnsi="Lucida Bright" w:cs="Calibri"/>
                <w:sz w:val="14"/>
                <w:szCs w:val="14"/>
                <w:lang w:val="es-ES"/>
              </w:rPr>
              <w:br/>
              <w:t>concesiones</w:t>
            </w:r>
          </w:p>
        </w:tc>
        <w:tc>
          <w:tcPr>
            <w:tcW w:w="416" w:type="pct"/>
            <w:tcBorders>
              <w:top w:val="single" w:sz="4" w:space="0" w:color="auto"/>
              <w:left w:val="nil"/>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sz w:val="14"/>
                <w:szCs w:val="14"/>
                <w:lang w:val="es-ES"/>
              </w:rPr>
            </w:pPr>
            <w:r w:rsidRPr="00FE5DBD">
              <w:rPr>
                <w:rFonts w:ascii="Lucida Bright" w:hAnsi="Lucida Bright" w:cs="Calibri"/>
                <w:sz w:val="14"/>
                <w:szCs w:val="14"/>
                <w:lang w:val="es-ES"/>
              </w:rPr>
              <w:t>Transferencias</w:t>
            </w:r>
            <w:r w:rsidRPr="00FE5DBD">
              <w:rPr>
                <w:rFonts w:ascii="Lucida Bright" w:hAnsi="Lucida Bright" w:cs="Calibri"/>
                <w:sz w:val="14"/>
                <w:szCs w:val="14"/>
                <w:lang w:val="es-ES"/>
              </w:rPr>
              <w:br/>
              <w:t>desde otros</w:t>
            </w:r>
            <w:r w:rsidRPr="00FE5DBD">
              <w:rPr>
                <w:rFonts w:ascii="Lucida Bright" w:hAnsi="Lucida Bright" w:cs="Calibri"/>
                <w:sz w:val="14"/>
                <w:szCs w:val="14"/>
                <w:lang w:val="es-ES"/>
              </w:rPr>
              <w:br/>
            </w:r>
            <w:proofErr w:type="spellStart"/>
            <w:r w:rsidRPr="00FE5DBD">
              <w:rPr>
                <w:rFonts w:ascii="Lucida Bright" w:hAnsi="Lucida Bright" w:cs="Calibri"/>
                <w:sz w:val="14"/>
                <w:szCs w:val="14"/>
                <w:lang w:val="es-ES"/>
              </w:rPr>
              <w:t>org</w:t>
            </w:r>
            <w:proofErr w:type="spellEnd"/>
            <w:r w:rsidRPr="00FE5DBD">
              <w:rPr>
                <w:rFonts w:ascii="Lucida Bright" w:hAnsi="Lucida Bright" w:cs="Calibri"/>
                <w:sz w:val="14"/>
                <w:szCs w:val="14"/>
                <w:lang w:val="es-ES"/>
              </w:rPr>
              <w:t>. públicos y otras altas</w:t>
            </w:r>
          </w:p>
        </w:tc>
        <w:tc>
          <w:tcPr>
            <w:tcW w:w="441" w:type="pct"/>
            <w:tcBorders>
              <w:top w:val="single" w:sz="4" w:space="0" w:color="auto"/>
              <w:left w:val="nil"/>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sz w:val="14"/>
                <w:szCs w:val="14"/>
                <w:lang w:val="es-ES"/>
              </w:rPr>
            </w:pPr>
            <w:r w:rsidRPr="00FE5DBD">
              <w:rPr>
                <w:rFonts w:ascii="Lucida Bright" w:hAnsi="Lucida Bright" w:cs="Calibri"/>
                <w:sz w:val="14"/>
                <w:szCs w:val="14"/>
                <w:lang w:val="es-ES"/>
              </w:rPr>
              <w:t>Traspasos de inmovilizado</w:t>
            </w:r>
            <w:r w:rsidRPr="00FE5DBD">
              <w:rPr>
                <w:rFonts w:ascii="Lucida Bright" w:hAnsi="Lucida Bright" w:cs="Calibri"/>
                <w:sz w:val="14"/>
                <w:szCs w:val="14"/>
                <w:lang w:val="es-ES"/>
              </w:rPr>
              <w:br/>
              <w:t>en curso</w:t>
            </w:r>
          </w:p>
        </w:tc>
        <w:tc>
          <w:tcPr>
            <w:tcW w:w="441" w:type="pct"/>
            <w:tcBorders>
              <w:top w:val="single" w:sz="4" w:space="0" w:color="auto"/>
              <w:left w:val="nil"/>
              <w:bottom w:val="single" w:sz="4" w:space="0" w:color="auto"/>
              <w:right w:val="single" w:sz="4" w:space="0" w:color="auto"/>
            </w:tcBorders>
            <w:shd w:val="clear" w:color="000000" w:fill="CCFFCC"/>
            <w:vAlign w:val="center"/>
            <w:hideMark/>
          </w:tcPr>
          <w:p w:rsidR="00FE5DBD" w:rsidRPr="00FE5DBD" w:rsidRDefault="00FE5DBD" w:rsidP="00FE5DBD">
            <w:pPr>
              <w:jc w:val="center"/>
              <w:rPr>
                <w:rFonts w:ascii="Lucida Bright" w:hAnsi="Lucida Bright" w:cs="Calibri"/>
                <w:sz w:val="14"/>
                <w:szCs w:val="14"/>
                <w:lang w:val="es-ES"/>
              </w:rPr>
            </w:pPr>
            <w:r w:rsidRPr="00FE5DBD">
              <w:rPr>
                <w:rFonts w:ascii="Lucida Bright" w:hAnsi="Lucida Bright" w:cs="Calibri"/>
                <w:sz w:val="14"/>
                <w:szCs w:val="14"/>
                <w:lang w:val="es-ES"/>
              </w:rPr>
              <w:t>Total altas</w:t>
            </w:r>
            <w:r w:rsidRPr="00FE5DBD">
              <w:rPr>
                <w:rFonts w:ascii="Lucida Bright" w:hAnsi="Lucida Bright" w:cs="Calibri"/>
                <w:sz w:val="14"/>
                <w:szCs w:val="14"/>
                <w:lang w:val="es-ES"/>
              </w:rPr>
              <w:br/>
              <w:t>del ejercicio</w:t>
            </w:r>
            <w:r w:rsidRPr="00FE5DBD">
              <w:rPr>
                <w:rFonts w:ascii="Lucida Bright" w:hAnsi="Lucida Bright" w:cs="Calibri"/>
                <w:sz w:val="14"/>
                <w:szCs w:val="14"/>
                <w:lang w:val="es-ES"/>
              </w:rPr>
              <w:br/>
              <w:t>2022</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xml:space="preserve"> a) Terrenos y bienes naturales</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13.354,02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13.354,02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xml:space="preserve"> b) Construcciones</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14.694.536,26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14.694.536,26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Accesos marítimos</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321.107,12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321.107,12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Obras de abrigo y defensa</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97.161,55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97.161,55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Obras de atraque</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4.703.464,52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4.703.464,52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Instalaciones para reparación de barcos</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Edificaciones</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500.222,26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500.222,26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Instalaciones generales</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3.016.365,42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3.016.365,42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Pavimentos, calzadas y vías de circulación</w:t>
            </w:r>
          </w:p>
        </w:tc>
        <w:tc>
          <w:tcPr>
            <w:tcW w:w="451"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nil"/>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6.056.215,39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6.056.215,39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xml:space="preserve"> c) Equipamientos e instalaciones técnicas</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20"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16"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209.728,99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209.728,99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Instalaciones de ayuda a la navegación</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209.728,99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209.728,99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Equipo de manipulación de </w:t>
            </w:r>
            <w:proofErr w:type="spellStart"/>
            <w:r w:rsidRPr="00FE5DBD">
              <w:rPr>
                <w:rFonts w:ascii="Lucida Bright" w:hAnsi="Lucida Bright" w:cs="Calibri"/>
                <w:sz w:val="14"/>
                <w:szCs w:val="14"/>
                <w:lang w:val="es-ES"/>
              </w:rPr>
              <w:t>mercancias</w:t>
            </w:r>
            <w:proofErr w:type="spellEnd"/>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Material flotante</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Material ferroviario</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Equipo de taller</w:t>
            </w:r>
          </w:p>
        </w:tc>
        <w:tc>
          <w:tcPr>
            <w:tcW w:w="451"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xml:space="preserve"> d) Otro inmovilizado</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20"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16"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548.087,09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548.087,09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Mobiliario</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11.390,41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11.390,41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Equipos de proceso de información</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273.205,48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273.205,48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Elementos de transporte</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129.243,45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129.243,45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xml:space="preserve">      Otro inmovilizado material</w:t>
            </w:r>
          </w:p>
        </w:tc>
        <w:tc>
          <w:tcPr>
            <w:tcW w:w="451"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20"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nil"/>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nil"/>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134.247,75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134.247,75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TOTAL INMOVILIZADO MATERIAL</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20"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16"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15.465.706,36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15.465.706,36 </w:t>
            </w:r>
          </w:p>
        </w:tc>
      </w:tr>
      <w:tr w:rsidR="00FE5DBD" w:rsidRPr="00FE5DBD" w:rsidTr="00FE5DBD">
        <w:trPr>
          <w:trHeight w:val="210"/>
        </w:trPr>
        <w:tc>
          <w:tcPr>
            <w:tcW w:w="1175" w:type="pct"/>
            <w:tcBorders>
              <w:top w:val="nil"/>
              <w:left w:val="single" w:sz="4" w:space="0" w:color="auto"/>
              <w:bottom w:val="single" w:sz="4" w:space="0" w:color="auto"/>
              <w:right w:val="nil"/>
            </w:tcBorders>
            <w:shd w:val="clear" w:color="000000" w:fill="FFFFFF"/>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ANTICIPOS E INMOVILIZADO EN CURSO</w:t>
            </w:r>
          </w:p>
        </w:tc>
        <w:tc>
          <w:tcPr>
            <w:tcW w:w="67" w:type="pct"/>
            <w:tcBorders>
              <w:top w:val="nil"/>
              <w:left w:val="nil"/>
              <w:bottom w:val="nil"/>
              <w:right w:val="nil"/>
            </w:tcBorders>
            <w:shd w:val="clear" w:color="auto" w:fill="auto"/>
            <w:noWrap/>
            <w:vAlign w:val="center"/>
            <w:hideMark/>
          </w:tcPr>
          <w:p w:rsidR="00FE5DBD" w:rsidRPr="00FE5DBD" w:rsidRDefault="00FE5DBD" w:rsidP="00FE5DBD">
            <w:pPr>
              <w:rPr>
                <w:rFonts w:ascii="Lucida Bright" w:hAnsi="Lucida Bright" w:cs="Calibri"/>
                <w:b/>
                <w:bCs/>
                <w:sz w:val="14"/>
                <w:szCs w:val="14"/>
                <w:lang w:val="es-ES"/>
              </w:rPr>
            </w:pPr>
            <w:r w:rsidRPr="00FE5DBD">
              <w:rPr>
                <w:rFonts w:ascii="Lucida Bright" w:hAnsi="Lucida Bright" w:cs="Calibri"/>
                <w:b/>
                <w:bCs/>
                <w:sz w:val="14"/>
                <w:szCs w:val="14"/>
                <w:lang w:val="es-ES"/>
              </w:rPr>
              <w:t> </w:t>
            </w:r>
          </w:p>
        </w:tc>
        <w:tc>
          <w:tcPr>
            <w:tcW w:w="451" w:type="pct"/>
            <w:tcBorders>
              <w:top w:val="nil"/>
              <w:left w:val="single" w:sz="4" w:space="0" w:color="auto"/>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20.780.880,82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rPr>
                <w:rFonts w:ascii="Lucida Bright" w:hAnsi="Lucida Bright" w:cs="Calibri"/>
                <w:sz w:val="14"/>
                <w:szCs w:val="14"/>
                <w:lang w:val="es-ES"/>
              </w:rPr>
            </w:pPr>
            <w:r w:rsidRPr="00FE5DBD">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(15.465.706,36)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sz w:val="14"/>
                <w:szCs w:val="14"/>
                <w:lang w:val="es-ES"/>
              </w:rPr>
            </w:pPr>
            <w:r w:rsidRPr="00FE5DBD">
              <w:rPr>
                <w:rFonts w:ascii="Lucida Bright" w:hAnsi="Lucida Bright" w:cs="Calibri"/>
                <w:sz w:val="14"/>
                <w:szCs w:val="14"/>
                <w:lang w:val="es-ES"/>
              </w:rPr>
              <w:t xml:space="preserve">5.315.174,46 </w:t>
            </w:r>
          </w:p>
        </w:tc>
      </w:tr>
      <w:tr w:rsidR="00FE5DBD" w:rsidRPr="00FE5DBD" w:rsidTr="00FE5DBD">
        <w:trPr>
          <w:trHeight w:val="210"/>
        </w:trPr>
        <w:tc>
          <w:tcPr>
            <w:tcW w:w="124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DBD" w:rsidRPr="00FE5DBD" w:rsidRDefault="00FE5DBD" w:rsidP="00FE5DBD">
            <w:pPr>
              <w:jc w:val="center"/>
              <w:rPr>
                <w:rFonts w:ascii="Lucida Bright" w:hAnsi="Lucida Bright" w:cs="Calibri"/>
                <w:b/>
                <w:bCs/>
                <w:sz w:val="14"/>
                <w:szCs w:val="14"/>
                <w:lang w:val="es-ES"/>
              </w:rPr>
            </w:pPr>
            <w:r w:rsidRPr="00FE5DBD">
              <w:rPr>
                <w:rFonts w:ascii="Lucida Bright" w:hAnsi="Lucida Bright" w:cs="Calibri"/>
                <w:b/>
                <w:bCs/>
                <w:sz w:val="14"/>
                <w:szCs w:val="14"/>
                <w:lang w:val="es-ES"/>
              </w:rPr>
              <w:t>TOTAL</w:t>
            </w:r>
          </w:p>
        </w:tc>
        <w:tc>
          <w:tcPr>
            <w:tcW w:w="45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20.780.880,82 </w:t>
            </w:r>
          </w:p>
        </w:tc>
        <w:tc>
          <w:tcPr>
            <w:tcW w:w="420"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397"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16"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41" w:type="pct"/>
            <w:tcBorders>
              <w:top w:val="nil"/>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FE5DBD" w:rsidRPr="00FE5DBD" w:rsidRDefault="00FE5DBD" w:rsidP="00FE5DBD">
            <w:pPr>
              <w:jc w:val="right"/>
              <w:rPr>
                <w:rFonts w:ascii="Lucida Bright" w:hAnsi="Lucida Bright" w:cs="Calibri"/>
                <w:b/>
                <w:bCs/>
                <w:sz w:val="14"/>
                <w:szCs w:val="14"/>
                <w:lang w:val="es-ES"/>
              </w:rPr>
            </w:pPr>
            <w:r w:rsidRPr="00FE5DBD">
              <w:rPr>
                <w:rFonts w:ascii="Lucida Bright" w:hAnsi="Lucida Bright" w:cs="Calibri"/>
                <w:b/>
                <w:bCs/>
                <w:sz w:val="14"/>
                <w:szCs w:val="14"/>
                <w:lang w:val="es-ES"/>
              </w:rPr>
              <w:t xml:space="preserve">20.780.880,82 </w:t>
            </w:r>
          </w:p>
        </w:tc>
      </w:tr>
    </w:tbl>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FE5DBD" w:rsidRDefault="00FE5DBD" w:rsidP="003F45CD">
      <w:pPr>
        <w:pStyle w:val="Sangra3detindependiente"/>
        <w:tabs>
          <w:tab w:val="clear" w:pos="5671"/>
          <w:tab w:val="clear" w:pos="7797"/>
        </w:tabs>
        <w:rPr>
          <w:rFonts w:ascii="NewBaskerville" w:hAnsi="NewBaskerville"/>
          <w:sz w:val="20"/>
          <w:szCs w:val="20"/>
        </w:rPr>
      </w:pPr>
    </w:p>
    <w:p w:rsidR="00FE5DBD" w:rsidRDefault="00FE5DBD" w:rsidP="003F45CD">
      <w:pPr>
        <w:pStyle w:val="Sangra3detindependiente"/>
        <w:tabs>
          <w:tab w:val="clear" w:pos="5671"/>
          <w:tab w:val="clear" w:pos="7797"/>
        </w:tabs>
        <w:rPr>
          <w:rFonts w:ascii="NewBaskerville" w:hAnsi="NewBaskerville"/>
          <w:sz w:val="20"/>
          <w:szCs w:val="20"/>
        </w:rPr>
      </w:pPr>
    </w:p>
    <w:p w:rsidR="0034275A" w:rsidRDefault="0034275A"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8D60E9">
      <w:pPr>
        <w:pStyle w:val="Sangra3detindependiente"/>
        <w:tabs>
          <w:tab w:val="clear" w:pos="5671"/>
          <w:tab w:val="clear" w:pos="7797"/>
        </w:tabs>
        <w:ind w:firstLine="0"/>
        <w:rPr>
          <w:rFonts w:ascii="NewBaskerville" w:hAnsi="NewBaskerville"/>
          <w:sz w:val="20"/>
          <w:szCs w:val="20"/>
        </w:rPr>
      </w:pPr>
    </w:p>
    <w:tbl>
      <w:tblPr>
        <w:tblW w:w="5533" w:type="pct"/>
        <w:tblInd w:w="-639" w:type="dxa"/>
        <w:tblCellMar>
          <w:left w:w="70" w:type="dxa"/>
          <w:right w:w="70" w:type="dxa"/>
        </w:tblCellMar>
        <w:tblLook w:val="04A0" w:firstRow="1" w:lastRow="0" w:firstColumn="1" w:lastColumn="0" w:noHBand="0" w:noVBand="1"/>
      </w:tblPr>
      <w:tblGrid>
        <w:gridCol w:w="3220"/>
        <w:gridCol w:w="1212"/>
        <w:gridCol w:w="1125"/>
        <w:gridCol w:w="876"/>
        <w:gridCol w:w="992"/>
        <w:gridCol w:w="1192"/>
        <w:gridCol w:w="1069"/>
        <w:gridCol w:w="1346"/>
        <w:gridCol w:w="1065"/>
        <w:gridCol w:w="893"/>
        <w:gridCol w:w="920"/>
        <w:gridCol w:w="1212"/>
      </w:tblGrid>
      <w:tr w:rsidR="001E4C9E" w:rsidRPr="001E4C9E" w:rsidTr="001E4C9E">
        <w:trPr>
          <w:trHeight w:val="300"/>
        </w:trPr>
        <w:tc>
          <w:tcPr>
            <w:tcW w:w="2324" w:type="pct"/>
            <w:gridSpan w:val="5"/>
            <w:tcBorders>
              <w:top w:val="nil"/>
              <w:left w:val="nil"/>
              <w:bottom w:val="single" w:sz="4" w:space="0" w:color="auto"/>
              <w:right w:val="nil"/>
            </w:tcBorders>
            <w:shd w:val="clear" w:color="000000" w:fill="FFFFFF"/>
            <w:noWrap/>
            <w:vAlign w:val="center"/>
            <w:hideMark/>
          </w:tcPr>
          <w:p w:rsidR="001E4C9E" w:rsidRPr="001E4C9E" w:rsidRDefault="001E4C9E" w:rsidP="001E4C9E">
            <w:pPr>
              <w:rPr>
                <w:rFonts w:ascii="Lucida Bright" w:hAnsi="Lucida Bright" w:cs="Calibri"/>
                <w:b/>
                <w:bCs/>
                <w:sz w:val="18"/>
                <w:szCs w:val="18"/>
                <w:lang w:val="es-ES"/>
              </w:rPr>
            </w:pPr>
            <w:r w:rsidRPr="001E4C9E">
              <w:rPr>
                <w:rFonts w:ascii="Lucida Bright" w:hAnsi="Lucida Bright" w:cs="Calibri"/>
                <w:b/>
                <w:bCs/>
                <w:sz w:val="18"/>
                <w:szCs w:val="18"/>
                <w:lang w:val="es-ES"/>
              </w:rPr>
              <w:t>CUADRO: AMORTIZACIÓN ACUMULADA DEL INMOVILIZADO MATERIAL 2022</w:t>
            </w:r>
          </w:p>
        </w:tc>
        <w:tc>
          <w:tcPr>
            <w:tcW w:w="372" w:type="pct"/>
            <w:tcBorders>
              <w:top w:val="nil"/>
              <w:left w:val="nil"/>
              <w:bottom w:val="nil"/>
              <w:right w:val="nil"/>
            </w:tcBorders>
            <w:shd w:val="clear" w:color="000000" w:fill="FFFFFF"/>
            <w:noWrap/>
            <w:vAlign w:val="center"/>
            <w:hideMark/>
          </w:tcPr>
          <w:p w:rsidR="001E4C9E" w:rsidRPr="001E4C9E" w:rsidRDefault="001E4C9E" w:rsidP="001E4C9E">
            <w:pPr>
              <w:rPr>
                <w:rFonts w:ascii="Tahoma" w:hAnsi="Tahoma" w:cs="Tahoma"/>
                <w:lang w:val="es-ES"/>
              </w:rPr>
            </w:pPr>
            <w:r w:rsidRPr="001E4C9E">
              <w:rPr>
                <w:rFonts w:ascii="Tahoma" w:hAnsi="Tahoma" w:cs="Tahoma"/>
                <w:lang w:val="es-ES"/>
              </w:rPr>
              <w:t> </w:t>
            </w:r>
          </w:p>
        </w:tc>
        <w:tc>
          <w:tcPr>
            <w:tcW w:w="334" w:type="pct"/>
            <w:tcBorders>
              <w:top w:val="nil"/>
              <w:left w:val="nil"/>
              <w:bottom w:val="nil"/>
              <w:right w:val="nil"/>
            </w:tcBorders>
            <w:shd w:val="clear" w:color="000000" w:fill="FFFFFF"/>
            <w:noWrap/>
            <w:vAlign w:val="center"/>
            <w:hideMark/>
          </w:tcPr>
          <w:p w:rsidR="001E4C9E" w:rsidRPr="001E4C9E" w:rsidRDefault="001E4C9E" w:rsidP="001E4C9E">
            <w:pPr>
              <w:rPr>
                <w:rFonts w:ascii="Tahoma" w:hAnsi="Tahoma" w:cs="Tahoma"/>
                <w:lang w:val="es-ES"/>
              </w:rPr>
            </w:pPr>
            <w:r w:rsidRPr="001E4C9E">
              <w:rPr>
                <w:rFonts w:ascii="Tahoma" w:hAnsi="Tahoma" w:cs="Tahoma"/>
                <w:lang w:val="es-ES"/>
              </w:rPr>
              <w:t> </w:t>
            </w:r>
          </w:p>
        </w:tc>
        <w:tc>
          <w:tcPr>
            <w:tcW w:w="420" w:type="pct"/>
            <w:tcBorders>
              <w:top w:val="nil"/>
              <w:left w:val="nil"/>
              <w:bottom w:val="nil"/>
              <w:right w:val="nil"/>
            </w:tcBorders>
            <w:shd w:val="clear" w:color="000000" w:fill="FFFFFF"/>
            <w:noWrap/>
            <w:vAlign w:val="center"/>
            <w:hideMark/>
          </w:tcPr>
          <w:p w:rsidR="001E4C9E" w:rsidRPr="001E4C9E" w:rsidRDefault="001E4C9E" w:rsidP="001E4C9E">
            <w:pPr>
              <w:rPr>
                <w:rFonts w:ascii="Tahoma" w:hAnsi="Tahoma" w:cs="Tahoma"/>
                <w:lang w:val="es-ES"/>
              </w:rPr>
            </w:pPr>
            <w:r w:rsidRPr="001E4C9E">
              <w:rPr>
                <w:rFonts w:ascii="Tahoma" w:hAnsi="Tahoma" w:cs="Tahoma"/>
                <w:lang w:val="es-ES"/>
              </w:rPr>
              <w:t> </w:t>
            </w:r>
          </w:p>
        </w:tc>
        <w:tc>
          <w:tcPr>
            <w:tcW w:w="333" w:type="pct"/>
            <w:tcBorders>
              <w:top w:val="nil"/>
              <w:left w:val="nil"/>
              <w:bottom w:val="nil"/>
              <w:right w:val="nil"/>
            </w:tcBorders>
            <w:shd w:val="clear" w:color="000000" w:fill="FFFFFF"/>
            <w:noWrap/>
            <w:vAlign w:val="center"/>
            <w:hideMark/>
          </w:tcPr>
          <w:p w:rsidR="001E4C9E" w:rsidRPr="001E4C9E" w:rsidRDefault="001E4C9E" w:rsidP="001E4C9E">
            <w:pPr>
              <w:rPr>
                <w:rFonts w:ascii="Tahoma" w:hAnsi="Tahoma" w:cs="Tahoma"/>
                <w:lang w:val="es-ES"/>
              </w:rPr>
            </w:pPr>
            <w:r w:rsidRPr="001E4C9E">
              <w:rPr>
                <w:rFonts w:ascii="Tahoma" w:hAnsi="Tahoma" w:cs="Tahoma"/>
                <w:lang w:val="es-ES"/>
              </w:rPr>
              <w:t> </w:t>
            </w:r>
          </w:p>
        </w:tc>
        <w:tc>
          <w:tcPr>
            <w:tcW w:w="280" w:type="pct"/>
            <w:tcBorders>
              <w:top w:val="nil"/>
              <w:left w:val="nil"/>
              <w:bottom w:val="nil"/>
              <w:right w:val="nil"/>
            </w:tcBorders>
            <w:shd w:val="clear" w:color="000000" w:fill="FFFFFF"/>
            <w:noWrap/>
            <w:vAlign w:val="bottom"/>
            <w:hideMark/>
          </w:tcPr>
          <w:p w:rsidR="001E4C9E" w:rsidRPr="001E4C9E" w:rsidRDefault="001E4C9E" w:rsidP="001E4C9E">
            <w:pPr>
              <w:jc w:val="center"/>
              <w:rPr>
                <w:rFonts w:ascii="Lucida Bright" w:hAnsi="Lucida Bright" w:cs="Calibri"/>
                <w:sz w:val="14"/>
                <w:szCs w:val="14"/>
                <w:lang w:val="es-ES"/>
              </w:rPr>
            </w:pPr>
            <w:r w:rsidRPr="001E4C9E">
              <w:rPr>
                <w:rFonts w:ascii="Lucida Bright" w:hAnsi="Lucida Bright" w:cs="Calibri"/>
                <w:sz w:val="14"/>
                <w:szCs w:val="14"/>
                <w:lang w:val="es-ES"/>
              </w:rPr>
              <w:t>(en euros)</w:t>
            </w:r>
          </w:p>
        </w:tc>
        <w:tc>
          <w:tcPr>
            <w:tcW w:w="288" w:type="pct"/>
            <w:tcBorders>
              <w:top w:val="nil"/>
              <w:left w:val="nil"/>
              <w:bottom w:val="nil"/>
              <w:right w:val="nil"/>
            </w:tcBorders>
            <w:shd w:val="clear" w:color="000000" w:fill="FFFFFF"/>
            <w:noWrap/>
            <w:vAlign w:val="center"/>
            <w:hideMark/>
          </w:tcPr>
          <w:p w:rsidR="001E4C9E" w:rsidRPr="001E4C9E" w:rsidRDefault="001E4C9E" w:rsidP="001E4C9E">
            <w:pPr>
              <w:rPr>
                <w:rFonts w:ascii="Tahoma" w:hAnsi="Tahoma" w:cs="Tahoma"/>
                <w:lang w:val="es-ES"/>
              </w:rPr>
            </w:pPr>
            <w:r w:rsidRPr="001E4C9E">
              <w:rPr>
                <w:rFonts w:ascii="Tahoma" w:hAnsi="Tahoma" w:cs="Tahoma"/>
                <w:lang w:val="es-ES"/>
              </w:rPr>
              <w:t> </w:t>
            </w:r>
          </w:p>
        </w:tc>
        <w:tc>
          <w:tcPr>
            <w:tcW w:w="648" w:type="pct"/>
            <w:tcBorders>
              <w:top w:val="nil"/>
              <w:left w:val="nil"/>
              <w:bottom w:val="nil"/>
              <w:right w:val="nil"/>
            </w:tcBorders>
            <w:shd w:val="clear" w:color="000000" w:fill="FFFFFF"/>
            <w:noWrap/>
            <w:vAlign w:val="center"/>
            <w:hideMark/>
          </w:tcPr>
          <w:p w:rsidR="001E4C9E" w:rsidRPr="001E4C9E" w:rsidRDefault="001E4C9E" w:rsidP="001E4C9E">
            <w:pPr>
              <w:rPr>
                <w:rFonts w:ascii="Tahoma" w:hAnsi="Tahoma" w:cs="Tahoma"/>
                <w:lang w:val="es-ES"/>
              </w:rPr>
            </w:pPr>
            <w:r w:rsidRPr="001E4C9E">
              <w:rPr>
                <w:rFonts w:ascii="Tahoma" w:hAnsi="Tahoma" w:cs="Tahoma"/>
                <w:lang w:val="es-ES"/>
              </w:rPr>
              <w:t> </w:t>
            </w:r>
          </w:p>
        </w:tc>
      </w:tr>
      <w:tr w:rsidR="001E4C9E" w:rsidRPr="001E4C9E" w:rsidTr="001E4C9E">
        <w:trPr>
          <w:trHeight w:val="330"/>
        </w:trPr>
        <w:tc>
          <w:tcPr>
            <w:tcW w:w="1001" w:type="pct"/>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CONCEPTO</w:t>
            </w:r>
          </w:p>
        </w:tc>
        <w:tc>
          <w:tcPr>
            <w:tcW w:w="379" w:type="pct"/>
            <w:vMerge w:val="restart"/>
            <w:tcBorders>
              <w:top w:val="nil"/>
              <w:left w:val="single" w:sz="4" w:space="0" w:color="auto"/>
              <w:bottom w:val="single" w:sz="4" w:space="0" w:color="000000"/>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Saldo a</w:t>
            </w:r>
            <w:r w:rsidRPr="001E4C9E">
              <w:rPr>
                <w:rFonts w:ascii="Lucida Bright" w:hAnsi="Lucida Bright" w:cs="Calibri"/>
                <w:b/>
                <w:bCs/>
                <w:sz w:val="14"/>
                <w:szCs w:val="14"/>
                <w:lang w:val="es-ES"/>
              </w:rPr>
              <w:br/>
              <w:t>31-12-21</w:t>
            </w:r>
          </w:p>
        </w:tc>
        <w:tc>
          <w:tcPr>
            <w:tcW w:w="356" w:type="pct"/>
            <w:vMerge w:val="restart"/>
            <w:tcBorders>
              <w:top w:val="nil"/>
              <w:left w:val="single" w:sz="4" w:space="0" w:color="auto"/>
              <w:bottom w:val="single" w:sz="4" w:space="0" w:color="000000"/>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Dotaciones</w:t>
            </w:r>
            <w:r w:rsidRPr="001E4C9E">
              <w:rPr>
                <w:rFonts w:ascii="Lucida Bright" w:hAnsi="Lucida Bright" w:cs="Calibri"/>
                <w:b/>
                <w:bCs/>
                <w:sz w:val="14"/>
                <w:szCs w:val="14"/>
                <w:lang w:val="es-ES"/>
              </w:rPr>
              <w:br/>
              <w:t>(+)</w:t>
            </w:r>
          </w:p>
        </w:tc>
        <w:tc>
          <w:tcPr>
            <w:tcW w:w="1295" w:type="pct"/>
            <w:gridSpan w:val="4"/>
            <w:tcBorders>
              <w:top w:val="single" w:sz="4" w:space="0" w:color="auto"/>
              <w:left w:val="nil"/>
              <w:bottom w:val="single" w:sz="4" w:space="0" w:color="auto"/>
              <w:right w:val="single" w:sz="4" w:space="0" w:color="000000"/>
            </w:tcBorders>
            <w:shd w:val="clear" w:color="000000" w:fill="CCFFCC"/>
            <w:noWrap/>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Bajas</w:t>
            </w:r>
          </w:p>
        </w:tc>
        <w:tc>
          <w:tcPr>
            <w:tcW w:w="420"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Reclasificaciones</w:t>
            </w:r>
            <w:r w:rsidRPr="001E4C9E">
              <w:rPr>
                <w:rFonts w:ascii="Lucida Bright" w:hAnsi="Lucida Bright" w:cs="Calibri"/>
                <w:b/>
                <w:bCs/>
                <w:sz w:val="14"/>
                <w:szCs w:val="14"/>
                <w:lang w:val="es-ES"/>
              </w:rPr>
              <w:br/>
              <w:t>(+/-)</w:t>
            </w:r>
          </w:p>
        </w:tc>
        <w:tc>
          <w:tcPr>
            <w:tcW w:w="333"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Traspaso a / de inversiones inmobiliarias</w:t>
            </w:r>
            <w:r w:rsidRPr="001E4C9E">
              <w:rPr>
                <w:rFonts w:ascii="Lucida Bright" w:hAnsi="Lucida Bright" w:cs="Calibri"/>
                <w:b/>
                <w:bCs/>
                <w:sz w:val="14"/>
                <w:szCs w:val="14"/>
                <w:lang w:val="es-ES"/>
              </w:rPr>
              <w:br/>
              <w:t>(-/+)</w:t>
            </w:r>
          </w:p>
        </w:tc>
        <w:tc>
          <w:tcPr>
            <w:tcW w:w="280"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Traspaso a activo</w:t>
            </w:r>
            <w:r w:rsidRPr="001E4C9E">
              <w:rPr>
                <w:rFonts w:ascii="Lucida Bright" w:hAnsi="Lucida Bright" w:cs="Calibri"/>
                <w:b/>
                <w:bCs/>
                <w:sz w:val="14"/>
                <w:szCs w:val="14"/>
                <w:lang w:val="es-ES"/>
              </w:rPr>
              <w:br/>
              <w:t>no corriente mantenido</w:t>
            </w:r>
            <w:r w:rsidRPr="001E4C9E">
              <w:rPr>
                <w:rFonts w:ascii="Lucida Bright" w:hAnsi="Lucida Bright" w:cs="Calibri"/>
                <w:b/>
                <w:bCs/>
                <w:sz w:val="14"/>
                <w:szCs w:val="14"/>
                <w:lang w:val="es-ES"/>
              </w:rPr>
              <w:br/>
              <w:t>para la venta (-)</w:t>
            </w:r>
          </w:p>
        </w:tc>
        <w:tc>
          <w:tcPr>
            <w:tcW w:w="288"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Ajustes</w:t>
            </w:r>
            <w:r w:rsidRPr="001E4C9E">
              <w:rPr>
                <w:rFonts w:ascii="Lucida Bright" w:hAnsi="Lucida Bright" w:cs="Calibri"/>
                <w:b/>
                <w:bCs/>
                <w:sz w:val="14"/>
                <w:szCs w:val="14"/>
                <w:lang w:val="es-ES"/>
              </w:rPr>
              <w:br/>
              <w:t>contra</w:t>
            </w:r>
            <w:r w:rsidRPr="001E4C9E">
              <w:rPr>
                <w:rFonts w:ascii="Lucida Bright" w:hAnsi="Lucida Bright" w:cs="Calibri"/>
                <w:b/>
                <w:bCs/>
                <w:sz w:val="14"/>
                <w:szCs w:val="14"/>
                <w:lang w:val="es-ES"/>
              </w:rPr>
              <w:br/>
              <w:t>patrimonio (+/-)</w:t>
            </w:r>
          </w:p>
        </w:tc>
        <w:tc>
          <w:tcPr>
            <w:tcW w:w="648" w:type="pct"/>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Saldo a</w:t>
            </w:r>
            <w:r w:rsidRPr="001E4C9E">
              <w:rPr>
                <w:rFonts w:ascii="Lucida Bright" w:hAnsi="Lucida Bright" w:cs="Calibri"/>
                <w:b/>
                <w:bCs/>
                <w:sz w:val="14"/>
                <w:szCs w:val="14"/>
                <w:lang w:val="es-ES"/>
              </w:rPr>
              <w:br/>
              <w:t>31-12-22</w:t>
            </w:r>
          </w:p>
        </w:tc>
      </w:tr>
      <w:tr w:rsidR="001E4C9E" w:rsidRPr="001E4C9E" w:rsidTr="001E4C9E">
        <w:trPr>
          <w:trHeight w:val="960"/>
        </w:trPr>
        <w:tc>
          <w:tcPr>
            <w:tcW w:w="1001" w:type="pct"/>
            <w:vMerge/>
            <w:tcBorders>
              <w:top w:val="single" w:sz="4" w:space="0" w:color="auto"/>
              <w:left w:val="single" w:sz="4" w:space="0" w:color="auto"/>
              <w:bottom w:val="single" w:sz="4" w:space="0" w:color="000000"/>
              <w:right w:val="single" w:sz="4" w:space="0" w:color="000000"/>
            </w:tcBorders>
            <w:vAlign w:val="center"/>
            <w:hideMark/>
          </w:tcPr>
          <w:p w:rsidR="001E4C9E" w:rsidRPr="001E4C9E" w:rsidRDefault="001E4C9E" w:rsidP="001E4C9E">
            <w:pPr>
              <w:rPr>
                <w:rFonts w:ascii="Lucida Bright" w:hAnsi="Lucida Bright" w:cs="Calibri"/>
                <w:b/>
                <w:bCs/>
                <w:sz w:val="14"/>
                <w:szCs w:val="14"/>
                <w:lang w:val="es-ES"/>
              </w:rPr>
            </w:pPr>
          </w:p>
        </w:tc>
        <w:tc>
          <w:tcPr>
            <w:tcW w:w="379" w:type="pct"/>
            <w:vMerge/>
            <w:tcBorders>
              <w:top w:val="nil"/>
              <w:left w:val="single" w:sz="4" w:space="0" w:color="auto"/>
              <w:bottom w:val="single" w:sz="4" w:space="0" w:color="000000"/>
              <w:right w:val="single" w:sz="4" w:space="0" w:color="auto"/>
            </w:tcBorders>
            <w:vAlign w:val="center"/>
            <w:hideMark/>
          </w:tcPr>
          <w:p w:rsidR="001E4C9E" w:rsidRPr="001E4C9E" w:rsidRDefault="001E4C9E" w:rsidP="001E4C9E">
            <w:pPr>
              <w:rPr>
                <w:rFonts w:ascii="Lucida Bright" w:hAnsi="Lucida Bright" w:cs="Calibri"/>
                <w:b/>
                <w:bCs/>
                <w:sz w:val="14"/>
                <w:szCs w:val="14"/>
                <w:lang w:val="es-ES"/>
              </w:rPr>
            </w:pPr>
          </w:p>
        </w:tc>
        <w:tc>
          <w:tcPr>
            <w:tcW w:w="356" w:type="pct"/>
            <w:vMerge/>
            <w:tcBorders>
              <w:top w:val="nil"/>
              <w:left w:val="single" w:sz="4" w:space="0" w:color="auto"/>
              <w:bottom w:val="single" w:sz="4" w:space="0" w:color="000000"/>
              <w:right w:val="single" w:sz="4" w:space="0" w:color="auto"/>
            </w:tcBorders>
            <w:vAlign w:val="center"/>
            <w:hideMark/>
          </w:tcPr>
          <w:p w:rsidR="001E4C9E" w:rsidRPr="001E4C9E" w:rsidRDefault="001E4C9E" w:rsidP="001E4C9E">
            <w:pPr>
              <w:rPr>
                <w:rFonts w:ascii="Lucida Bright" w:hAnsi="Lucida Bright" w:cs="Calibri"/>
                <w:b/>
                <w:bCs/>
                <w:sz w:val="14"/>
                <w:szCs w:val="14"/>
                <w:lang w:val="es-ES"/>
              </w:rPr>
            </w:pPr>
          </w:p>
        </w:tc>
        <w:tc>
          <w:tcPr>
            <w:tcW w:w="278" w:type="pct"/>
            <w:tcBorders>
              <w:top w:val="nil"/>
              <w:left w:val="nil"/>
              <w:bottom w:val="single" w:sz="4" w:space="0" w:color="auto"/>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Ventas,</w:t>
            </w:r>
            <w:r w:rsidRPr="001E4C9E">
              <w:rPr>
                <w:rFonts w:ascii="Lucida Bright" w:hAnsi="Lucida Bright" w:cs="Calibri"/>
                <w:b/>
                <w:bCs/>
                <w:sz w:val="14"/>
                <w:szCs w:val="14"/>
                <w:lang w:val="es-ES"/>
              </w:rPr>
              <w:br/>
              <w:t>Retiros</w:t>
            </w:r>
            <w:r w:rsidRPr="001E4C9E">
              <w:rPr>
                <w:rFonts w:ascii="Lucida Bright" w:hAnsi="Lucida Bright" w:cs="Calibri"/>
                <w:b/>
                <w:bCs/>
                <w:sz w:val="14"/>
                <w:szCs w:val="14"/>
                <w:lang w:val="es-ES"/>
              </w:rPr>
              <w:br/>
              <w:t>y otras bajas</w:t>
            </w:r>
            <w:r w:rsidRPr="001E4C9E">
              <w:rPr>
                <w:rFonts w:ascii="Lucida Bright" w:hAnsi="Lucida Bright" w:cs="Calibri"/>
                <w:b/>
                <w:bCs/>
                <w:sz w:val="14"/>
                <w:szCs w:val="14"/>
                <w:lang w:val="es-ES"/>
              </w:rPr>
              <w:br/>
              <w:t>(-)</w:t>
            </w:r>
          </w:p>
        </w:tc>
        <w:tc>
          <w:tcPr>
            <w:tcW w:w="310" w:type="pct"/>
            <w:tcBorders>
              <w:top w:val="nil"/>
              <w:left w:val="nil"/>
              <w:bottom w:val="nil"/>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Elementos</w:t>
            </w:r>
            <w:r w:rsidRPr="001E4C9E">
              <w:rPr>
                <w:rFonts w:ascii="Lucida Bright" w:hAnsi="Lucida Bright" w:cs="Calibri"/>
                <w:b/>
                <w:bCs/>
                <w:sz w:val="14"/>
                <w:szCs w:val="14"/>
                <w:lang w:val="es-ES"/>
              </w:rPr>
              <w:br/>
              <w:t>subsumidos</w:t>
            </w:r>
            <w:r w:rsidRPr="001E4C9E">
              <w:rPr>
                <w:rFonts w:ascii="Lucida Bright" w:hAnsi="Lucida Bright" w:cs="Calibri"/>
                <w:b/>
                <w:bCs/>
                <w:sz w:val="14"/>
                <w:szCs w:val="14"/>
                <w:lang w:val="es-ES"/>
              </w:rPr>
              <w:br/>
              <w:t>(-)</w:t>
            </w:r>
          </w:p>
        </w:tc>
        <w:tc>
          <w:tcPr>
            <w:tcW w:w="372" w:type="pct"/>
            <w:tcBorders>
              <w:top w:val="nil"/>
              <w:left w:val="nil"/>
              <w:bottom w:val="nil"/>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Transferencias</w:t>
            </w:r>
            <w:r w:rsidRPr="001E4C9E">
              <w:rPr>
                <w:rFonts w:ascii="Lucida Bright" w:hAnsi="Lucida Bright" w:cs="Calibri"/>
                <w:b/>
                <w:bCs/>
                <w:sz w:val="14"/>
                <w:szCs w:val="14"/>
                <w:lang w:val="es-ES"/>
              </w:rPr>
              <w:br/>
              <w:t>a otros</w:t>
            </w:r>
            <w:r w:rsidRPr="001E4C9E">
              <w:rPr>
                <w:rFonts w:ascii="Lucida Bright" w:hAnsi="Lucida Bright" w:cs="Calibri"/>
                <w:b/>
                <w:bCs/>
                <w:sz w:val="14"/>
                <w:szCs w:val="14"/>
                <w:lang w:val="es-ES"/>
              </w:rPr>
              <w:br/>
              <w:t>Organismos</w:t>
            </w:r>
            <w:r w:rsidRPr="001E4C9E">
              <w:rPr>
                <w:rFonts w:ascii="Lucida Bright" w:hAnsi="Lucida Bright" w:cs="Calibri"/>
                <w:b/>
                <w:bCs/>
                <w:sz w:val="14"/>
                <w:szCs w:val="14"/>
                <w:lang w:val="es-ES"/>
              </w:rPr>
              <w:br/>
              <w:t>Públicos (-)</w:t>
            </w:r>
          </w:p>
        </w:tc>
        <w:tc>
          <w:tcPr>
            <w:tcW w:w="334" w:type="pct"/>
            <w:tcBorders>
              <w:top w:val="nil"/>
              <w:left w:val="nil"/>
              <w:bottom w:val="nil"/>
              <w:right w:val="single" w:sz="4" w:space="0" w:color="auto"/>
            </w:tcBorders>
            <w:shd w:val="clear" w:color="000000" w:fill="CCFFCC"/>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Inmovilizado</w:t>
            </w:r>
            <w:r w:rsidRPr="001E4C9E">
              <w:rPr>
                <w:rFonts w:ascii="Lucida Bright" w:hAnsi="Lucida Bright" w:cs="Calibri"/>
                <w:b/>
                <w:bCs/>
                <w:sz w:val="14"/>
                <w:szCs w:val="14"/>
                <w:lang w:val="es-ES"/>
              </w:rPr>
              <w:br/>
              <w:t>abierto al</w:t>
            </w:r>
            <w:r w:rsidRPr="001E4C9E">
              <w:rPr>
                <w:rFonts w:ascii="Lucida Bright" w:hAnsi="Lucida Bright" w:cs="Calibri"/>
                <w:b/>
                <w:bCs/>
                <w:sz w:val="14"/>
                <w:szCs w:val="14"/>
                <w:lang w:val="es-ES"/>
              </w:rPr>
              <w:br/>
              <w:t>uso general (-)</w:t>
            </w:r>
          </w:p>
        </w:tc>
        <w:tc>
          <w:tcPr>
            <w:tcW w:w="420" w:type="pct"/>
            <w:vMerge/>
            <w:tcBorders>
              <w:top w:val="single" w:sz="4" w:space="0" w:color="auto"/>
              <w:left w:val="single" w:sz="4" w:space="0" w:color="auto"/>
              <w:bottom w:val="single" w:sz="4" w:space="0" w:color="000000"/>
              <w:right w:val="single" w:sz="4" w:space="0" w:color="auto"/>
            </w:tcBorders>
            <w:vAlign w:val="center"/>
            <w:hideMark/>
          </w:tcPr>
          <w:p w:rsidR="001E4C9E" w:rsidRPr="001E4C9E" w:rsidRDefault="001E4C9E" w:rsidP="001E4C9E">
            <w:pPr>
              <w:rPr>
                <w:rFonts w:ascii="Lucida Bright" w:hAnsi="Lucida Bright" w:cs="Calibri"/>
                <w:b/>
                <w:bCs/>
                <w:sz w:val="14"/>
                <w:szCs w:val="14"/>
                <w:lang w:val="es-ES"/>
              </w:rPr>
            </w:pPr>
          </w:p>
        </w:tc>
        <w:tc>
          <w:tcPr>
            <w:tcW w:w="333" w:type="pct"/>
            <w:vMerge/>
            <w:tcBorders>
              <w:top w:val="single" w:sz="4" w:space="0" w:color="auto"/>
              <w:left w:val="single" w:sz="4" w:space="0" w:color="auto"/>
              <w:bottom w:val="single" w:sz="4" w:space="0" w:color="000000"/>
              <w:right w:val="single" w:sz="4" w:space="0" w:color="auto"/>
            </w:tcBorders>
            <w:vAlign w:val="center"/>
            <w:hideMark/>
          </w:tcPr>
          <w:p w:rsidR="001E4C9E" w:rsidRPr="001E4C9E" w:rsidRDefault="001E4C9E" w:rsidP="001E4C9E">
            <w:pPr>
              <w:rPr>
                <w:rFonts w:ascii="Lucida Bright" w:hAnsi="Lucida Bright" w:cs="Calibri"/>
                <w:b/>
                <w:bCs/>
                <w:sz w:val="14"/>
                <w:szCs w:val="14"/>
                <w:lang w:val="es-ES"/>
              </w:rPr>
            </w:pPr>
          </w:p>
        </w:tc>
        <w:tc>
          <w:tcPr>
            <w:tcW w:w="280" w:type="pct"/>
            <w:vMerge/>
            <w:tcBorders>
              <w:top w:val="single" w:sz="4" w:space="0" w:color="auto"/>
              <w:left w:val="single" w:sz="4" w:space="0" w:color="auto"/>
              <w:bottom w:val="single" w:sz="4" w:space="0" w:color="000000"/>
              <w:right w:val="single" w:sz="4" w:space="0" w:color="auto"/>
            </w:tcBorders>
            <w:vAlign w:val="center"/>
            <w:hideMark/>
          </w:tcPr>
          <w:p w:rsidR="001E4C9E" w:rsidRPr="001E4C9E" w:rsidRDefault="001E4C9E" w:rsidP="001E4C9E">
            <w:pPr>
              <w:rPr>
                <w:rFonts w:ascii="Lucida Bright" w:hAnsi="Lucida Bright" w:cs="Calibri"/>
                <w:b/>
                <w:bCs/>
                <w:sz w:val="14"/>
                <w:szCs w:val="14"/>
                <w:lang w:val="es-ES"/>
              </w:rPr>
            </w:pPr>
          </w:p>
        </w:tc>
        <w:tc>
          <w:tcPr>
            <w:tcW w:w="288" w:type="pct"/>
            <w:vMerge/>
            <w:tcBorders>
              <w:top w:val="single" w:sz="4" w:space="0" w:color="auto"/>
              <w:left w:val="single" w:sz="4" w:space="0" w:color="auto"/>
              <w:bottom w:val="single" w:sz="4" w:space="0" w:color="000000"/>
              <w:right w:val="single" w:sz="4" w:space="0" w:color="auto"/>
            </w:tcBorders>
            <w:vAlign w:val="center"/>
            <w:hideMark/>
          </w:tcPr>
          <w:p w:rsidR="001E4C9E" w:rsidRPr="001E4C9E" w:rsidRDefault="001E4C9E" w:rsidP="001E4C9E">
            <w:pPr>
              <w:rPr>
                <w:rFonts w:ascii="Lucida Bright" w:hAnsi="Lucida Bright" w:cs="Calibri"/>
                <w:b/>
                <w:bCs/>
                <w:sz w:val="14"/>
                <w:szCs w:val="14"/>
                <w:lang w:val="es-ES"/>
              </w:rPr>
            </w:pPr>
          </w:p>
        </w:tc>
        <w:tc>
          <w:tcPr>
            <w:tcW w:w="648" w:type="pct"/>
            <w:vMerge/>
            <w:tcBorders>
              <w:top w:val="single" w:sz="4" w:space="0" w:color="auto"/>
              <w:left w:val="single" w:sz="4" w:space="0" w:color="auto"/>
              <w:bottom w:val="single" w:sz="4" w:space="0" w:color="000000"/>
              <w:right w:val="single" w:sz="4" w:space="0" w:color="auto"/>
            </w:tcBorders>
            <w:vAlign w:val="center"/>
            <w:hideMark/>
          </w:tcPr>
          <w:p w:rsidR="001E4C9E" w:rsidRPr="001E4C9E" w:rsidRDefault="001E4C9E" w:rsidP="001E4C9E">
            <w:pPr>
              <w:rPr>
                <w:rFonts w:ascii="Lucida Bright" w:hAnsi="Lucida Bright" w:cs="Calibri"/>
                <w:b/>
                <w:bCs/>
                <w:sz w:val="14"/>
                <w:szCs w:val="14"/>
                <w:lang w:val="es-ES"/>
              </w:rPr>
            </w:pP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b/>
                <w:bCs/>
                <w:sz w:val="14"/>
                <w:szCs w:val="14"/>
                <w:lang w:val="es-ES"/>
              </w:rPr>
            </w:pPr>
            <w:r w:rsidRPr="001E4C9E">
              <w:rPr>
                <w:rFonts w:ascii="Lucida Bright" w:hAnsi="Lucida Bright" w:cs="Calibri"/>
                <w:b/>
                <w:bCs/>
                <w:sz w:val="14"/>
                <w:szCs w:val="14"/>
                <w:lang w:val="es-ES"/>
              </w:rPr>
              <w:t xml:space="preserve"> a) Terrenos y bienes naturales</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b/>
                <w:bCs/>
                <w:sz w:val="14"/>
                <w:szCs w:val="14"/>
                <w:lang w:val="es-ES"/>
              </w:rPr>
            </w:pPr>
            <w:r w:rsidRPr="001E4C9E">
              <w:rPr>
                <w:rFonts w:ascii="Lucida Bright" w:hAnsi="Lucida Bright" w:cs="Calibri"/>
                <w:b/>
                <w:bCs/>
                <w:sz w:val="14"/>
                <w:szCs w:val="14"/>
                <w:lang w:val="es-ES"/>
              </w:rPr>
              <w:t xml:space="preserve"> b) Construcciones</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315.145.257,94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15.417.300,28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330.562.558,22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Accesos marítimos</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6.913.131,71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379.318,67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7.292.450,38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Obras de abrigo y defensa</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45.650.033,91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1.022.960,65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46.672.994,56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Obras de atraque</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130.469.188,90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6.677.749,46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137.146.938,36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Instalaciones para reparación de barcos</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Edificaciones</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39.315.342,35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2.338.861,13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41.654.203,48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Instalaciones generales</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38.215.100,92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2.308.159,35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40.523.260,27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Pavimentos, calzadas y vías de circulación</w:t>
            </w:r>
          </w:p>
        </w:tc>
        <w:tc>
          <w:tcPr>
            <w:tcW w:w="379" w:type="pct"/>
            <w:tcBorders>
              <w:top w:val="nil"/>
              <w:left w:val="nil"/>
              <w:bottom w:val="nil"/>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54.582.460,15 </w:t>
            </w:r>
          </w:p>
        </w:tc>
        <w:tc>
          <w:tcPr>
            <w:tcW w:w="356" w:type="pct"/>
            <w:tcBorders>
              <w:top w:val="nil"/>
              <w:left w:val="nil"/>
              <w:bottom w:val="nil"/>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2.690.251,02 </w:t>
            </w:r>
          </w:p>
        </w:tc>
        <w:tc>
          <w:tcPr>
            <w:tcW w:w="278"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nil"/>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57.272.711,17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b/>
                <w:bCs/>
                <w:sz w:val="14"/>
                <w:szCs w:val="14"/>
                <w:lang w:val="es-ES"/>
              </w:rPr>
            </w:pPr>
            <w:r w:rsidRPr="001E4C9E">
              <w:rPr>
                <w:rFonts w:ascii="Lucida Bright" w:hAnsi="Lucida Bright" w:cs="Calibri"/>
                <w:b/>
                <w:bCs/>
                <w:sz w:val="14"/>
                <w:szCs w:val="14"/>
                <w:lang w:val="es-ES"/>
              </w:rPr>
              <w:t xml:space="preserve"> c) Equipamientos e instalaciones técnicas</w:t>
            </w:r>
          </w:p>
        </w:tc>
        <w:tc>
          <w:tcPr>
            <w:tcW w:w="379"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19.805.062,20 </w:t>
            </w:r>
          </w:p>
        </w:tc>
        <w:tc>
          <w:tcPr>
            <w:tcW w:w="356"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1.128.613,55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42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8"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648"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20.933.675,75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Instalaciones de ayuda a la navegación</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5.607.627,35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102.784,65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5.710.412,00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Equipo de manipulación de </w:t>
            </w:r>
            <w:r w:rsidR="00DD448C" w:rsidRPr="001E4C9E">
              <w:rPr>
                <w:rFonts w:ascii="Lucida Bright" w:hAnsi="Lucida Bright" w:cs="Calibri"/>
                <w:sz w:val="14"/>
                <w:szCs w:val="14"/>
                <w:lang w:val="es-ES"/>
              </w:rPr>
              <w:t>mercancías</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12.891.350,91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996.795,42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13.888.146,33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Material flotante</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1.125.297,60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28.873,28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1.154.170,88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Material ferroviario</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Equipo de taller</w:t>
            </w:r>
          </w:p>
        </w:tc>
        <w:tc>
          <w:tcPr>
            <w:tcW w:w="379" w:type="pct"/>
            <w:tcBorders>
              <w:top w:val="nil"/>
              <w:left w:val="nil"/>
              <w:bottom w:val="nil"/>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180.786,34 </w:t>
            </w:r>
          </w:p>
        </w:tc>
        <w:tc>
          <w:tcPr>
            <w:tcW w:w="356" w:type="pct"/>
            <w:tcBorders>
              <w:top w:val="nil"/>
              <w:left w:val="nil"/>
              <w:bottom w:val="nil"/>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160,20 </w:t>
            </w:r>
          </w:p>
        </w:tc>
        <w:tc>
          <w:tcPr>
            <w:tcW w:w="278"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nil"/>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180.946,54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b/>
                <w:bCs/>
                <w:sz w:val="14"/>
                <w:szCs w:val="14"/>
                <w:lang w:val="es-ES"/>
              </w:rPr>
            </w:pPr>
            <w:r w:rsidRPr="001E4C9E">
              <w:rPr>
                <w:rFonts w:ascii="Lucida Bright" w:hAnsi="Lucida Bright" w:cs="Calibri"/>
                <w:b/>
                <w:bCs/>
                <w:sz w:val="14"/>
                <w:szCs w:val="14"/>
                <w:lang w:val="es-ES"/>
              </w:rPr>
              <w:t xml:space="preserve"> d) Otro inmovilizado</w:t>
            </w:r>
          </w:p>
        </w:tc>
        <w:tc>
          <w:tcPr>
            <w:tcW w:w="379"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17.117.151,23 </w:t>
            </w:r>
          </w:p>
        </w:tc>
        <w:tc>
          <w:tcPr>
            <w:tcW w:w="356"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696.172,80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42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8"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648"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17.813.324,03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Mobiliario</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2.667.815,00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50.830,46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2.718.645,46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Equipos de proceso de información</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2.333.349,55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205.004,81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2.538.354,36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Elementos de transporte</w:t>
            </w:r>
          </w:p>
        </w:tc>
        <w:tc>
          <w:tcPr>
            <w:tcW w:w="379"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2.475.403,81 </w:t>
            </w:r>
          </w:p>
        </w:tc>
        <w:tc>
          <w:tcPr>
            <w:tcW w:w="356"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148.790,70 </w:t>
            </w:r>
          </w:p>
        </w:tc>
        <w:tc>
          <w:tcPr>
            <w:tcW w:w="27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2.624.194,51 </w:t>
            </w:r>
          </w:p>
        </w:tc>
      </w:tr>
      <w:tr w:rsidR="001E4C9E" w:rsidRPr="001E4C9E" w:rsidTr="001E4C9E">
        <w:trPr>
          <w:trHeight w:val="21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xml:space="preserve">     Otro inmovilizado material</w:t>
            </w:r>
          </w:p>
        </w:tc>
        <w:tc>
          <w:tcPr>
            <w:tcW w:w="379" w:type="pct"/>
            <w:tcBorders>
              <w:top w:val="nil"/>
              <w:left w:val="nil"/>
              <w:bottom w:val="nil"/>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9.640.582,87 </w:t>
            </w:r>
          </w:p>
        </w:tc>
        <w:tc>
          <w:tcPr>
            <w:tcW w:w="356" w:type="pct"/>
            <w:tcBorders>
              <w:top w:val="nil"/>
              <w:left w:val="nil"/>
              <w:bottom w:val="nil"/>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291.546,83 </w:t>
            </w:r>
          </w:p>
        </w:tc>
        <w:tc>
          <w:tcPr>
            <w:tcW w:w="278"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10"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72"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4"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420"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333"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0"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288" w:type="pct"/>
            <w:tcBorders>
              <w:top w:val="nil"/>
              <w:left w:val="nil"/>
              <w:bottom w:val="nil"/>
              <w:right w:val="single" w:sz="4" w:space="0" w:color="auto"/>
            </w:tcBorders>
            <w:shd w:val="clear" w:color="000000" w:fill="FFFFFF"/>
            <w:noWrap/>
            <w:vAlign w:val="center"/>
            <w:hideMark/>
          </w:tcPr>
          <w:p w:rsidR="001E4C9E" w:rsidRPr="001E4C9E" w:rsidRDefault="001E4C9E" w:rsidP="001E4C9E">
            <w:pPr>
              <w:rPr>
                <w:rFonts w:ascii="Lucida Bright" w:hAnsi="Lucida Bright" w:cs="Calibri"/>
                <w:sz w:val="14"/>
                <w:szCs w:val="14"/>
                <w:lang w:val="es-ES"/>
              </w:rPr>
            </w:pPr>
            <w:r w:rsidRPr="001E4C9E">
              <w:rPr>
                <w:rFonts w:ascii="Lucida Bright" w:hAnsi="Lucida Bright" w:cs="Calibri"/>
                <w:sz w:val="14"/>
                <w:szCs w:val="14"/>
                <w:lang w:val="es-ES"/>
              </w:rPr>
              <w:t> </w:t>
            </w:r>
          </w:p>
        </w:tc>
        <w:tc>
          <w:tcPr>
            <w:tcW w:w="648" w:type="pct"/>
            <w:tcBorders>
              <w:top w:val="nil"/>
              <w:left w:val="nil"/>
              <w:bottom w:val="nil"/>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sz w:val="14"/>
                <w:szCs w:val="14"/>
                <w:lang w:val="es-ES"/>
              </w:rPr>
            </w:pPr>
            <w:r w:rsidRPr="001E4C9E">
              <w:rPr>
                <w:rFonts w:ascii="Lucida Bright" w:hAnsi="Lucida Bright" w:cs="Calibri"/>
                <w:sz w:val="14"/>
                <w:szCs w:val="14"/>
                <w:lang w:val="es-ES"/>
              </w:rPr>
              <w:t xml:space="preserve">9.932.129,70 </w:t>
            </w:r>
          </w:p>
        </w:tc>
      </w:tr>
      <w:tr w:rsidR="001E4C9E" w:rsidRPr="001E4C9E" w:rsidTr="001E4C9E">
        <w:trPr>
          <w:trHeight w:val="300"/>
        </w:trPr>
        <w:tc>
          <w:tcPr>
            <w:tcW w:w="100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E4C9E" w:rsidRPr="001E4C9E" w:rsidRDefault="001E4C9E" w:rsidP="001E4C9E">
            <w:pPr>
              <w:jc w:val="center"/>
              <w:rPr>
                <w:rFonts w:ascii="Lucida Bright" w:hAnsi="Lucida Bright" w:cs="Calibri"/>
                <w:b/>
                <w:bCs/>
                <w:sz w:val="14"/>
                <w:szCs w:val="14"/>
                <w:lang w:val="es-ES"/>
              </w:rPr>
            </w:pPr>
            <w:r w:rsidRPr="001E4C9E">
              <w:rPr>
                <w:rFonts w:ascii="Lucida Bright" w:hAnsi="Lucida Bright" w:cs="Calibri"/>
                <w:b/>
                <w:bCs/>
                <w:sz w:val="14"/>
                <w:szCs w:val="14"/>
                <w:lang w:val="es-ES"/>
              </w:rPr>
              <w:t>TOTAL</w:t>
            </w:r>
          </w:p>
        </w:tc>
        <w:tc>
          <w:tcPr>
            <w:tcW w:w="379"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352.067.471,37 </w:t>
            </w:r>
          </w:p>
        </w:tc>
        <w:tc>
          <w:tcPr>
            <w:tcW w:w="356"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17.242.086,63 </w:t>
            </w:r>
          </w:p>
        </w:tc>
        <w:tc>
          <w:tcPr>
            <w:tcW w:w="278"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4"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42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333"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0"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288"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 </w:t>
            </w:r>
          </w:p>
        </w:tc>
        <w:tc>
          <w:tcPr>
            <w:tcW w:w="648" w:type="pct"/>
            <w:tcBorders>
              <w:top w:val="single" w:sz="4" w:space="0" w:color="auto"/>
              <w:left w:val="nil"/>
              <w:bottom w:val="single" w:sz="4" w:space="0" w:color="auto"/>
              <w:right w:val="single" w:sz="4" w:space="0" w:color="auto"/>
            </w:tcBorders>
            <w:shd w:val="clear" w:color="000000" w:fill="FFFFFF"/>
            <w:noWrap/>
            <w:vAlign w:val="center"/>
            <w:hideMark/>
          </w:tcPr>
          <w:p w:rsidR="001E4C9E" w:rsidRPr="001E4C9E" w:rsidRDefault="001E4C9E" w:rsidP="001E4C9E">
            <w:pPr>
              <w:jc w:val="right"/>
              <w:rPr>
                <w:rFonts w:ascii="Lucida Bright" w:hAnsi="Lucida Bright" w:cs="Calibri"/>
                <w:b/>
                <w:bCs/>
                <w:sz w:val="14"/>
                <w:szCs w:val="14"/>
                <w:lang w:val="es-ES"/>
              </w:rPr>
            </w:pPr>
            <w:r w:rsidRPr="001E4C9E">
              <w:rPr>
                <w:rFonts w:ascii="Lucida Bright" w:hAnsi="Lucida Bright" w:cs="Calibri"/>
                <w:b/>
                <w:bCs/>
                <w:sz w:val="14"/>
                <w:szCs w:val="14"/>
                <w:lang w:val="es-ES"/>
              </w:rPr>
              <w:t xml:space="preserve">369.309.558,00 </w:t>
            </w:r>
          </w:p>
        </w:tc>
      </w:tr>
    </w:tbl>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pPr>
    </w:p>
    <w:p w:rsidR="008D60E9" w:rsidRDefault="008D60E9" w:rsidP="003F45CD">
      <w:pPr>
        <w:pStyle w:val="Sangra3detindependiente"/>
        <w:tabs>
          <w:tab w:val="clear" w:pos="5671"/>
          <w:tab w:val="clear" w:pos="7797"/>
        </w:tabs>
        <w:rPr>
          <w:rFonts w:ascii="NewBaskerville" w:hAnsi="NewBaskerville"/>
          <w:sz w:val="20"/>
          <w:szCs w:val="20"/>
        </w:rPr>
        <w:sectPr w:rsidR="008D60E9" w:rsidSect="00855D01">
          <w:headerReference w:type="default" r:id="rId18"/>
          <w:footerReference w:type="even" r:id="rId19"/>
          <w:footerReference w:type="default" r:id="rId20"/>
          <w:pgSz w:w="16840" w:h="11907" w:orient="landscape" w:code="9"/>
          <w:pgMar w:top="1985" w:right="1701" w:bottom="1418" w:left="1701" w:header="567" w:footer="720" w:gutter="0"/>
          <w:cols w:space="720"/>
          <w:docGrid w:linePitch="272"/>
        </w:sectPr>
      </w:pPr>
    </w:p>
    <w:p w:rsidR="008D60E9" w:rsidRDefault="008D60E9" w:rsidP="003F45CD">
      <w:pPr>
        <w:pStyle w:val="Sangra3detindependiente"/>
        <w:tabs>
          <w:tab w:val="clear" w:pos="5671"/>
          <w:tab w:val="clear" w:pos="7797"/>
        </w:tabs>
        <w:rPr>
          <w:rFonts w:ascii="NewBaskerville" w:hAnsi="NewBaskerville"/>
          <w:sz w:val="20"/>
          <w:szCs w:val="20"/>
        </w:rPr>
      </w:pPr>
    </w:p>
    <w:p w:rsidR="002578A1" w:rsidRPr="002757E2" w:rsidRDefault="002C4355" w:rsidP="003F45CD">
      <w:pPr>
        <w:pStyle w:val="Sangra3detindependiente"/>
        <w:tabs>
          <w:tab w:val="clear" w:pos="5671"/>
          <w:tab w:val="clear" w:pos="7797"/>
        </w:tabs>
        <w:rPr>
          <w:rFonts w:ascii="NewBaskerville" w:hAnsi="NewBaskerville"/>
          <w:sz w:val="20"/>
          <w:szCs w:val="20"/>
        </w:rPr>
      </w:pPr>
      <w:r w:rsidRPr="002757E2">
        <w:rPr>
          <w:rFonts w:ascii="NewBaskerville" w:hAnsi="NewBaskerville"/>
          <w:sz w:val="20"/>
          <w:szCs w:val="20"/>
        </w:rPr>
        <w:t>Se han traspasado activos del epígrafe del inmovilizado en curso a distintos epígrafes del inmoviliza</w:t>
      </w:r>
      <w:r w:rsidR="009338EA" w:rsidRPr="002757E2">
        <w:rPr>
          <w:rFonts w:ascii="NewBaskerville" w:hAnsi="NewBaskerville"/>
          <w:sz w:val="20"/>
          <w:szCs w:val="20"/>
        </w:rPr>
        <w:t>d</w:t>
      </w:r>
      <w:r w:rsidRPr="002757E2">
        <w:rPr>
          <w:rFonts w:ascii="NewBaskerville" w:hAnsi="NewBaskerville"/>
          <w:sz w:val="20"/>
          <w:szCs w:val="20"/>
        </w:rPr>
        <w:t xml:space="preserve">o material por importe de </w:t>
      </w:r>
      <w:r w:rsidR="00FC323F">
        <w:rPr>
          <w:rFonts w:ascii="NewBaskerville" w:hAnsi="NewBaskerville"/>
          <w:sz w:val="20"/>
          <w:szCs w:val="20"/>
        </w:rPr>
        <w:t>28</w:t>
      </w:r>
      <w:r w:rsidR="00312D68" w:rsidRPr="002757E2">
        <w:rPr>
          <w:rFonts w:ascii="NewBaskerville" w:hAnsi="NewBaskerville"/>
          <w:sz w:val="20"/>
          <w:szCs w:val="20"/>
        </w:rPr>
        <w:t>.</w:t>
      </w:r>
      <w:r w:rsidR="00FC323F">
        <w:rPr>
          <w:rFonts w:ascii="NewBaskerville" w:hAnsi="NewBaskerville"/>
          <w:sz w:val="20"/>
          <w:szCs w:val="20"/>
        </w:rPr>
        <w:t>520</w:t>
      </w:r>
      <w:r w:rsidR="00312D68" w:rsidRPr="002757E2">
        <w:rPr>
          <w:rFonts w:ascii="NewBaskerville" w:hAnsi="NewBaskerville"/>
          <w:sz w:val="20"/>
          <w:szCs w:val="20"/>
        </w:rPr>
        <w:t>.</w:t>
      </w:r>
      <w:r w:rsidR="00FC323F">
        <w:rPr>
          <w:rFonts w:ascii="NewBaskerville" w:hAnsi="NewBaskerville"/>
          <w:sz w:val="20"/>
          <w:szCs w:val="20"/>
        </w:rPr>
        <w:t>184</w:t>
      </w:r>
      <w:r w:rsidR="002757E2">
        <w:rPr>
          <w:rFonts w:ascii="NewBaskerville" w:hAnsi="NewBaskerville"/>
          <w:sz w:val="20"/>
          <w:szCs w:val="20"/>
        </w:rPr>
        <w:t>,</w:t>
      </w:r>
      <w:r w:rsidR="00FC323F">
        <w:rPr>
          <w:rFonts w:ascii="NewBaskerville" w:hAnsi="NewBaskerville"/>
          <w:sz w:val="20"/>
          <w:szCs w:val="20"/>
        </w:rPr>
        <w:t>00</w:t>
      </w:r>
      <w:r w:rsidR="00631BEA" w:rsidRPr="002757E2">
        <w:rPr>
          <w:rFonts w:ascii="NewBaskerville" w:hAnsi="NewBaskerville"/>
          <w:sz w:val="20"/>
          <w:szCs w:val="20"/>
        </w:rPr>
        <w:t xml:space="preserve"> </w:t>
      </w:r>
      <w:r w:rsidRPr="002757E2">
        <w:rPr>
          <w:rFonts w:ascii="NewBaskerville" w:hAnsi="NewBaskerville"/>
          <w:sz w:val="20"/>
          <w:szCs w:val="20"/>
        </w:rPr>
        <w:t>euros. En el ejercicio 20</w:t>
      </w:r>
      <w:r w:rsidR="00312D68" w:rsidRPr="002757E2">
        <w:rPr>
          <w:rFonts w:ascii="NewBaskerville" w:hAnsi="NewBaskerville"/>
          <w:sz w:val="20"/>
          <w:szCs w:val="20"/>
        </w:rPr>
        <w:t>2</w:t>
      </w:r>
      <w:r w:rsidR="00CB5E6B">
        <w:rPr>
          <w:rFonts w:ascii="NewBaskerville" w:hAnsi="NewBaskerville"/>
          <w:sz w:val="20"/>
          <w:szCs w:val="20"/>
        </w:rPr>
        <w:t>2</w:t>
      </w:r>
      <w:r w:rsidRPr="002757E2">
        <w:rPr>
          <w:rFonts w:ascii="NewBaskerville" w:hAnsi="NewBaskerville"/>
          <w:sz w:val="20"/>
          <w:szCs w:val="20"/>
        </w:rPr>
        <w:t xml:space="preserve"> este traspaso ascendió a </w:t>
      </w:r>
      <w:r w:rsidR="00FC323F">
        <w:rPr>
          <w:rFonts w:ascii="NewBaskerville" w:hAnsi="NewBaskerville"/>
          <w:sz w:val="20"/>
          <w:szCs w:val="20"/>
        </w:rPr>
        <w:t>15</w:t>
      </w:r>
      <w:r w:rsidR="002757E2">
        <w:rPr>
          <w:rFonts w:ascii="NewBaskerville" w:hAnsi="NewBaskerville"/>
          <w:sz w:val="20"/>
          <w:szCs w:val="20"/>
        </w:rPr>
        <w:t>.</w:t>
      </w:r>
      <w:r w:rsidR="00FC323F">
        <w:rPr>
          <w:rFonts w:ascii="NewBaskerville" w:hAnsi="NewBaskerville"/>
          <w:sz w:val="20"/>
          <w:szCs w:val="20"/>
        </w:rPr>
        <w:t>465</w:t>
      </w:r>
      <w:r w:rsidR="002757E2">
        <w:rPr>
          <w:rFonts w:ascii="NewBaskerville" w:hAnsi="NewBaskerville"/>
          <w:sz w:val="20"/>
          <w:szCs w:val="20"/>
        </w:rPr>
        <w:t>.</w:t>
      </w:r>
      <w:r w:rsidR="00FC323F">
        <w:rPr>
          <w:rFonts w:ascii="NewBaskerville" w:hAnsi="NewBaskerville"/>
          <w:sz w:val="20"/>
          <w:szCs w:val="20"/>
        </w:rPr>
        <w:t>706</w:t>
      </w:r>
      <w:r w:rsidR="002757E2">
        <w:rPr>
          <w:rFonts w:ascii="NewBaskerville" w:hAnsi="NewBaskerville"/>
          <w:sz w:val="20"/>
          <w:szCs w:val="20"/>
        </w:rPr>
        <w:t>,</w:t>
      </w:r>
      <w:r w:rsidR="00FC323F">
        <w:rPr>
          <w:rFonts w:ascii="NewBaskerville" w:hAnsi="NewBaskerville"/>
          <w:sz w:val="20"/>
          <w:szCs w:val="20"/>
        </w:rPr>
        <w:t>36</w:t>
      </w:r>
      <w:r w:rsidR="002C6870" w:rsidRPr="002757E2">
        <w:rPr>
          <w:rFonts w:ascii="NewBaskerville" w:hAnsi="NewBaskerville"/>
          <w:sz w:val="20"/>
          <w:szCs w:val="20"/>
        </w:rPr>
        <w:t xml:space="preserve"> </w:t>
      </w:r>
      <w:r w:rsidR="001357FE" w:rsidRPr="002757E2">
        <w:rPr>
          <w:rFonts w:ascii="NewBaskerville" w:hAnsi="NewBaskerville"/>
          <w:sz w:val="20"/>
          <w:szCs w:val="20"/>
        </w:rPr>
        <w:t>euros.</w:t>
      </w:r>
    </w:p>
    <w:p w:rsidR="002578A1" w:rsidRPr="002757E2" w:rsidRDefault="00312D68">
      <w:pPr>
        <w:tabs>
          <w:tab w:val="right" w:pos="8364"/>
        </w:tabs>
        <w:ind w:firstLine="540"/>
        <w:jc w:val="both"/>
        <w:rPr>
          <w:rFonts w:ascii="NewBaskerville" w:hAnsi="NewBaskerville"/>
          <w:bCs/>
        </w:rPr>
      </w:pPr>
      <w:r w:rsidRPr="002757E2">
        <w:rPr>
          <w:rFonts w:ascii="NewBaskerville" w:hAnsi="NewBaskerville"/>
          <w:bCs/>
        </w:rPr>
        <w:t xml:space="preserve">Además se han traspasado activos del epígrafe del inmovilizado en curso a inversiones inmobiliarias por un total de </w:t>
      </w:r>
      <w:r w:rsidR="002757E2">
        <w:rPr>
          <w:rFonts w:ascii="NewBaskerville" w:hAnsi="NewBaskerville"/>
          <w:bCs/>
        </w:rPr>
        <w:t>1</w:t>
      </w:r>
      <w:r w:rsidR="00FC323F">
        <w:rPr>
          <w:rFonts w:ascii="NewBaskerville" w:hAnsi="NewBaskerville"/>
          <w:bCs/>
        </w:rPr>
        <w:t>51</w:t>
      </w:r>
      <w:r w:rsidRPr="002757E2">
        <w:rPr>
          <w:rFonts w:ascii="NewBaskerville" w:hAnsi="NewBaskerville"/>
          <w:bCs/>
        </w:rPr>
        <w:t>.</w:t>
      </w:r>
      <w:r w:rsidR="002757E2">
        <w:rPr>
          <w:rFonts w:ascii="NewBaskerville" w:hAnsi="NewBaskerville"/>
          <w:bCs/>
        </w:rPr>
        <w:t>7</w:t>
      </w:r>
      <w:r w:rsidR="00FC323F">
        <w:rPr>
          <w:rFonts w:ascii="NewBaskerville" w:hAnsi="NewBaskerville"/>
          <w:bCs/>
        </w:rPr>
        <w:t>56</w:t>
      </w:r>
      <w:r w:rsidRPr="002757E2">
        <w:rPr>
          <w:rFonts w:ascii="NewBaskerville" w:hAnsi="NewBaskerville"/>
          <w:bCs/>
        </w:rPr>
        <w:t>,</w:t>
      </w:r>
      <w:r w:rsidR="00FC323F">
        <w:rPr>
          <w:rFonts w:ascii="NewBaskerville" w:hAnsi="NewBaskerville"/>
          <w:bCs/>
        </w:rPr>
        <w:t>91</w:t>
      </w:r>
      <w:r w:rsidR="003A5532" w:rsidRPr="002757E2">
        <w:rPr>
          <w:rFonts w:ascii="NewBaskerville" w:hAnsi="NewBaskerville"/>
          <w:bCs/>
        </w:rPr>
        <w:t xml:space="preserve"> euros.</w:t>
      </w:r>
    </w:p>
    <w:p w:rsidR="003A5532" w:rsidRDefault="003A5532">
      <w:pPr>
        <w:tabs>
          <w:tab w:val="right" w:pos="8364"/>
        </w:tabs>
        <w:ind w:firstLine="540"/>
        <w:jc w:val="both"/>
        <w:rPr>
          <w:bCs/>
        </w:rPr>
      </w:pPr>
    </w:p>
    <w:p w:rsidR="003A5532" w:rsidRPr="002F3984" w:rsidRDefault="003A5532">
      <w:pPr>
        <w:tabs>
          <w:tab w:val="right" w:pos="8364"/>
        </w:tabs>
        <w:ind w:firstLine="540"/>
        <w:jc w:val="both"/>
        <w:rPr>
          <w:bCs/>
          <w:lang w:val="es-ES"/>
        </w:rPr>
      </w:pPr>
    </w:p>
    <w:p w:rsidR="002C4355" w:rsidRDefault="002C4355">
      <w:pPr>
        <w:tabs>
          <w:tab w:val="right" w:pos="8364"/>
        </w:tabs>
        <w:ind w:firstLine="540"/>
        <w:jc w:val="both"/>
        <w:rPr>
          <w:rFonts w:ascii="NewBaskerville" w:hAnsi="NewBaskerville"/>
          <w:bCs/>
        </w:rPr>
      </w:pPr>
      <w:r w:rsidRPr="00CD156E">
        <w:rPr>
          <w:rFonts w:ascii="NewBaskerville" w:hAnsi="NewBaskerville"/>
          <w:bCs/>
        </w:rPr>
        <w:t>Los elementos del activo totalmente amortizados por epígrafes son:</w:t>
      </w:r>
    </w:p>
    <w:p w:rsidR="007C1EAE" w:rsidRPr="00CD156E" w:rsidRDefault="007C1EAE">
      <w:pPr>
        <w:tabs>
          <w:tab w:val="right" w:pos="8364"/>
        </w:tabs>
        <w:ind w:firstLine="540"/>
        <w:jc w:val="both"/>
        <w:rPr>
          <w:rFonts w:ascii="NewBaskerville" w:hAnsi="NewBaskerville"/>
          <w:bCs/>
        </w:rPr>
      </w:pPr>
    </w:p>
    <w:tbl>
      <w:tblPr>
        <w:tblW w:w="7400" w:type="dxa"/>
        <w:tblInd w:w="60" w:type="dxa"/>
        <w:tblCellMar>
          <w:left w:w="70" w:type="dxa"/>
          <w:right w:w="70" w:type="dxa"/>
        </w:tblCellMar>
        <w:tblLook w:val="04A0" w:firstRow="1" w:lastRow="0" w:firstColumn="1" w:lastColumn="0" w:noHBand="0" w:noVBand="1"/>
      </w:tblPr>
      <w:tblGrid>
        <w:gridCol w:w="3940"/>
        <w:gridCol w:w="1700"/>
        <w:gridCol w:w="1760"/>
      </w:tblGrid>
      <w:tr w:rsidR="0031579F" w:rsidRPr="0031579F" w:rsidTr="0031579F">
        <w:trPr>
          <w:trHeight w:val="300"/>
        </w:trPr>
        <w:tc>
          <w:tcPr>
            <w:tcW w:w="394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31579F" w:rsidRPr="0031579F" w:rsidRDefault="0031579F" w:rsidP="0031579F">
            <w:pPr>
              <w:jc w:val="center"/>
              <w:rPr>
                <w:rFonts w:ascii="Lucida Bright" w:hAnsi="Lucida Bright" w:cs="Calibri"/>
                <w:b/>
                <w:bCs/>
                <w:color w:val="000000"/>
                <w:sz w:val="18"/>
                <w:szCs w:val="18"/>
                <w:lang w:val="es-ES"/>
              </w:rPr>
            </w:pPr>
            <w:r w:rsidRPr="0031579F">
              <w:rPr>
                <w:rFonts w:ascii="Lucida Bright" w:hAnsi="Lucida Bright" w:cs="Calibri"/>
                <w:b/>
                <w:bCs/>
                <w:color w:val="000000"/>
                <w:sz w:val="18"/>
                <w:szCs w:val="18"/>
                <w:lang w:val="es-ES"/>
              </w:rPr>
              <w:t>Epígrafe</w:t>
            </w:r>
          </w:p>
        </w:tc>
        <w:tc>
          <w:tcPr>
            <w:tcW w:w="1700" w:type="dxa"/>
            <w:tcBorders>
              <w:top w:val="single" w:sz="8" w:space="0" w:color="000000"/>
              <w:left w:val="nil"/>
              <w:bottom w:val="single" w:sz="8" w:space="0" w:color="000000"/>
              <w:right w:val="single" w:sz="8" w:space="0" w:color="000000"/>
            </w:tcBorders>
            <w:shd w:val="clear" w:color="000000" w:fill="CCFFCC"/>
            <w:noWrap/>
            <w:vAlign w:val="center"/>
            <w:hideMark/>
          </w:tcPr>
          <w:p w:rsidR="0031579F" w:rsidRPr="0031579F" w:rsidRDefault="0031579F" w:rsidP="0031579F">
            <w:pPr>
              <w:jc w:val="center"/>
              <w:rPr>
                <w:rFonts w:ascii="Lucida Bright" w:hAnsi="Lucida Bright" w:cs="Calibri"/>
                <w:b/>
                <w:bCs/>
                <w:color w:val="000000"/>
                <w:sz w:val="18"/>
                <w:szCs w:val="18"/>
                <w:lang w:val="es-ES"/>
              </w:rPr>
            </w:pPr>
            <w:r w:rsidRPr="0031579F">
              <w:rPr>
                <w:rFonts w:ascii="Lucida Bright" w:hAnsi="Lucida Bright" w:cs="Calibri"/>
                <w:b/>
                <w:bCs/>
                <w:color w:val="000000"/>
                <w:sz w:val="18"/>
                <w:szCs w:val="18"/>
                <w:lang w:val="es-ES"/>
              </w:rPr>
              <w:t>2023</w:t>
            </w:r>
          </w:p>
        </w:tc>
        <w:tc>
          <w:tcPr>
            <w:tcW w:w="1760" w:type="dxa"/>
            <w:tcBorders>
              <w:top w:val="single" w:sz="8" w:space="0" w:color="000000"/>
              <w:left w:val="nil"/>
              <w:bottom w:val="single" w:sz="8" w:space="0" w:color="000000"/>
              <w:right w:val="single" w:sz="8" w:space="0" w:color="000000"/>
            </w:tcBorders>
            <w:shd w:val="clear" w:color="000000" w:fill="CCFFCC"/>
            <w:noWrap/>
            <w:vAlign w:val="center"/>
            <w:hideMark/>
          </w:tcPr>
          <w:p w:rsidR="0031579F" w:rsidRPr="0031579F" w:rsidRDefault="0031579F" w:rsidP="0031579F">
            <w:pPr>
              <w:jc w:val="center"/>
              <w:rPr>
                <w:rFonts w:ascii="Lucida Bright" w:hAnsi="Lucida Bright" w:cs="Calibri"/>
                <w:b/>
                <w:bCs/>
                <w:color w:val="000000"/>
                <w:sz w:val="18"/>
                <w:szCs w:val="18"/>
                <w:lang w:val="es-ES"/>
              </w:rPr>
            </w:pPr>
            <w:r w:rsidRPr="0031579F">
              <w:rPr>
                <w:rFonts w:ascii="Lucida Bright" w:hAnsi="Lucida Bright" w:cs="Calibri"/>
                <w:b/>
                <w:bCs/>
                <w:color w:val="000000"/>
                <w:sz w:val="18"/>
                <w:szCs w:val="18"/>
                <w:lang w:val="es-ES"/>
              </w:rPr>
              <w:t>2022</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Instalaciones de ayudas a la navegación</w:t>
            </w:r>
          </w:p>
        </w:tc>
        <w:tc>
          <w:tcPr>
            <w:tcW w:w="1700" w:type="dxa"/>
            <w:tcBorders>
              <w:top w:val="nil"/>
              <w:left w:val="nil"/>
              <w:bottom w:val="single" w:sz="8" w:space="0" w:color="000000"/>
              <w:right w:val="single" w:sz="8" w:space="0" w:color="000000"/>
            </w:tcBorders>
            <w:shd w:val="clear" w:color="auto" w:fill="auto"/>
            <w:noWrap/>
            <w:vAlign w:val="bottom"/>
            <w:hideMark/>
          </w:tcPr>
          <w:p w:rsidR="0031579F" w:rsidRPr="0031579F" w:rsidRDefault="0031579F" w:rsidP="0031579F">
            <w:pPr>
              <w:jc w:val="right"/>
              <w:rPr>
                <w:rFonts w:ascii="Lucida Bright" w:hAnsi="Lucida Bright" w:cs="Calibri"/>
                <w:sz w:val="18"/>
                <w:szCs w:val="18"/>
                <w:lang w:val="es-ES"/>
              </w:rPr>
            </w:pPr>
            <w:r w:rsidRPr="0031579F">
              <w:rPr>
                <w:rFonts w:ascii="Lucida Bright" w:hAnsi="Lucida Bright" w:cs="Calibri"/>
                <w:sz w:val="18"/>
                <w:szCs w:val="18"/>
                <w:lang w:val="es-ES"/>
              </w:rPr>
              <w:t>4.907.814,04</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5.388.775,59</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Accesos marítimos</w:t>
            </w:r>
          </w:p>
        </w:tc>
        <w:tc>
          <w:tcPr>
            <w:tcW w:w="1700" w:type="dxa"/>
            <w:tcBorders>
              <w:top w:val="nil"/>
              <w:left w:val="nil"/>
              <w:bottom w:val="single" w:sz="8" w:space="0" w:color="000000"/>
              <w:right w:val="single" w:sz="8" w:space="0" w:color="000000"/>
            </w:tcBorders>
            <w:shd w:val="clear" w:color="auto" w:fill="auto"/>
            <w:noWrap/>
            <w:vAlign w:val="bottom"/>
            <w:hideMark/>
          </w:tcPr>
          <w:p w:rsidR="0031579F" w:rsidRPr="0031579F" w:rsidRDefault="0031579F" w:rsidP="0031579F">
            <w:pPr>
              <w:jc w:val="right"/>
              <w:rPr>
                <w:rFonts w:ascii="Lucida Bright" w:hAnsi="Lucida Bright" w:cs="Calibri"/>
                <w:sz w:val="18"/>
                <w:szCs w:val="18"/>
                <w:lang w:val="es-ES"/>
              </w:rPr>
            </w:pPr>
            <w:r w:rsidRPr="0031579F">
              <w:rPr>
                <w:rFonts w:ascii="Lucida Bright" w:hAnsi="Lucida Bright" w:cs="Calibri"/>
                <w:sz w:val="18"/>
                <w:szCs w:val="18"/>
                <w:lang w:val="es-ES"/>
              </w:rPr>
              <w:t>1.393.386,46</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1.393.386,46</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Obras de abrigo y defensa</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30.269.914,53</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30.269.914,53</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Obras de atraque</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63.815.148,24</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63.417.539,14</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Edificaciones</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12.203.821,58</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11.727.341,60</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Instalaciones generales</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21.580.395,14</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21.208.244,76</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Pavimentos, calzadas y vías de circulación</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43.653.265,74</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37.429.203,79</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Equipos de manipulación de mercancías</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3.605.358,10</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3.390.903,50</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Material flotante</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774.348,73</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885.489,67</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Elementos de transporte</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2.185.372,71</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2.140.199,75</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Equipo de taller</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167.038,45</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179.766,57</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Mobiliario</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2.518.682,20</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2.572.228,89</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Material diverso</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7.388.282,17</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9.337.003,57</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Equipos para procesos de información</w:t>
            </w:r>
          </w:p>
        </w:tc>
        <w:tc>
          <w:tcPr>
            <w:tcW w:w="170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1.948.139,86</w:t>
            </w:r>
          </w:p>
        </w:tc>
        <w:tc>
          <w:tcPr>
            <w:tcW w:w="1760" w:type="dxa"/>
            <w:tcBorders>
              <w:top w:val="nil"/>
              <w:left w:val="nil"/>
              <w:bottom w:val="single" w:sz="8" w:space="0" w:color="000000"/>
              <w:right w:val="single" w:sz="8" w:space="0" w:color="000000"/>
            </w:tcBorders>
            <w:shd w:val="clear" w:color="000000" w:fill="FFFFFF"/>
            <w:noWrap/>
            <w:vAlign w:val="center"/>
            <w:hideMark/>
          </w:tcPr>
          <w:p w:rsidR="0031579F" w:rsidRPr="0031579F" w:rsidRDefault="0031579F" w:rsidP="0031579F">
            <w:pPr>
              <w:jc w:val="right"/>
              <w:rPr>
                <w:rFonts w:ascii="Lucida Bright" w:hAnsi="Lucida Bright" w:cs="Calibri"/>
                <w:color w:val="000000"/>
                <w:sz w:val="18"/>
                <w:szCs w:val="18"/>
                <w:lang w:val="es-ES"/>
              </w:rPr>
            </w:pPr>
            <w:r w:rsidRPr="0031579F">
              <w:rPr>
                <w:rFonts w:ascii="Lucida Bright" w:hAnsi="Lucida Bright" w:cs="Calibri"/>
                <w:color w:val="000000"/>
                <w:sz w:val="18"/>
                <w:szCs w:val="18"/>
                <w:lang w:val="es-ES"/>
              </w:rPr>
              <w:t>2.177.260,30</w:t>
            </w:r>
          </w:p>
        </w:tc>
      </w:tr>
      <w:tr w:rsidR="0031579F" w:rsidRPr="0031579F" w:rsidTr="0031579F">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1579F" w:rsidRPr="0031579F" w:rsidRDefault="0031579F" w:rsidP="0031579F">
            <w:pPr>
              <w:ind w:firstLineChars="200" w:firstLine="361"/>
              <w:jc w:val="right"/>
              <w:rPr>
                <w:rFonts w:ascii="Lucida Bright" w:hAnsi="Lucida Bright" w:cs="Calibri"/>
                <w:b/>
                <w:bCs/>
                <w:color w:val="000000"/>
                <w:sz w:val="18"/>
                <w:szCs w:val="18"/>
                <w:lang w:val="es-ES"/>
              </w:rPr>
            </w:pPr>
            <w:r w:rsidRPr="0031579F">
              <w:rPr>
                <w:rFonts w:ascii="Lucida Bright" w:hAnsi="Lucida Bright" w:cs="Calibri"/>
                <w:b/>
                <w:bCs/>
                <w:color w:val="000000"/>
                <w:sz w:val="18"/>
                <w:szCs w:val="18"/>
                <w:lang w:val="es-ES"/>
              </w:rPr>
              <w:t>TOTAL</w:t>
            </w:r>
          </w:p>
        </w:tc>
        <w:tc>
          <w:tcPr>
            <w:tcW w:w="1700" w:type="dxa"/>
            <w:tcBorders>
              <w:top w:val="nil"/>
              <w:left w:val="nil"/>
              <w:bottom w:val="single" w:sz="8" w:space="0" w:color="000000"/>
              <w:right w:val="single" w:sz="8" w:space="0" w:color="000000"/>
            </w:tcBorders>
            <w:shd w:val="clear" w:color="auto" w:fill="auto"/>
            <w:noWrap/>
            <w:vAlign w:val="center"/>
            <w:hideMark/>
          </w:tcPr>
          <w:p w:rsidR="0031579F" w:rsidRPr="0031579F" w:rsidRDefault="0031579F" w:rsidP="0031579F">
            <w:pPr>
              <w:jc w:val="right"/>
              <w:rPr>
                <w:rFonts w:ascii="Lucida Bright" w:hAnsi="Lucida Bright" w:cs="Calibri"/>
                <w:b/>
                <w:bCs/>
                <w:color w:val="000000"/>
                <w:sz w:val="18"/>
                <w:szCs w:val="18"/>
                <w:lang w:val="es-ES"/>
              </w:rPr>
            </w:pPr>
            <w:r w:rsidRPr="0031579F">
              <w:rPr>
                <w:rFonts w:ascii="Lucida Bright" w:hAnsi="Lucida Bright" w:cs="Calibri"/>
                <w:b/>
                <w:bCs/>
                <w:color w:val="000000"/>
                <w:sz w:val="18"/>
                <w:szCs w:val="18"/>
                <w:lang w:val="es-ES"/>
              </w:rPr>
              <w:t>196.410.967,95</w:t>
            </w:r>
          </w:p>
        </w:tc>
        <w:tc>
          <w:tcPr>
            <w:tcW w:w="1760" w:type="dxa"/>
            <w:tcBorders>
              <w:top w:val="nil"/>
              <w:left w:val="nil"/>
              <w:bottom w:val="single" w:sz="8" w:space="0" w:color="000000"/>
              <w:right w:val="single" w:sz="8" w:space="0" w:color="000000"/>
            </w:tcBorders>
            <w:shd w:val="clear" w:color="auto" w:fill="auto"/>
            <w:noWrap/>
            <w:vAlign w:val="center"/>
            <w:hideMark/>
          </w:tcPr>
          <w:p w:rsidR="0031579F" w:rsidRPr="0031579F" w:rsidRDefault="0031579F" w:rsidP="0031579F">
            <w:pPr>
              <w:jc w:val="right"/>
              <w:rPr>
                <w:rFonts w:ascii="Lucida Bright" w:hAnsi="Lucida Bright" w:cs="Calibri"/>
                <w:b/>
                <w:bCs/>
                <w:color w:val="000000"/>
                <w:sz w:val="18"/>
                <w:szCs w:val="18"/>
                <w:lang w:val="es-ES"/>
              </w:rPr>
            </w:pPr>
            <w:r w:rsidRPr="0031579F">
              <w:rPr>
                <w:rFonts w:ascii="Lucida Bright" w:hAnsi="Lucida Bright" w:cs="Calibri"/>
                <w:b/>
                <w:bCs/>
                <w:color w:val="000000"/>
                <w:sz w:val="18"/>
                <w:szCs w:val="18"/>
                <w:lang w:val="es-ES"/>
              </w:rPr>
              <w:t>191.517.258,12</w:t>
            </w:r>
          </w:p>
        </w:tc>
      </w:tr>
    </w:tbl>
    <w:p w:rsidR="006A5C88" w:rsidRDefault="006A5C88">
      <w:pPr>
        <w:tabs>
          <w:tab w:val="right" w:pos="8364"/>
        </w:tabs>
        <w:ind w:firstLine="540"/>
        <w:jc w:val="both"/>
        <w:rPr>
          <w:bCs/>
        </w:rPr>
      </w:pPr>
    </w:p>
    <w:p w:rsidR="006A5C88" w:rsidRDefault="006A5C88">
      <w:pPr>
        <w:tabs>
          <w:tab w:val="right" w:pos="8364"/>
        </w:tabs>
        <w:ind w:firstLine="540"/>
        <w:jc w:val="both"/>
        <w:rPr>
          <w:lang w:val="es-ES"/>
        </w:rPr>
      </w:pPr>
      <w:r>
        <w:fldChar w:fldCharType="begin"/>
      </w:r>
      <w:r>
        <w:instrText xml:space="preserve"> LINK </w:instrText>
      </w:r>
      <w:r w:rsidR="00396608">
        <w:instrText xml:space="preserve">Excel.Sheet.12 Libro14 Hoja1!F5C4:F20C8 </w:instrText>
      </w:r>
      <w:r>
        <w:instrText xml:space="preserve">\a \f 4 \h </w:instrText>
      </w:r>
      <w:r>
        <w:fldChar w:fldCharType="separate"/>
      </w:r>
    </w:p>
    <w:p w:rsidR="00094C6A" w:rsidRPr="007C1EAE" w:rsidRDefault="006A5C88" w:rsidP="007C1EAE">
      <w:pPr>
        <w:tabs>
          <w:tab w:val="right" w:pos="8364"/>
        </w:tabs>
        <w:ind w:firstLine="540"/>
        <w:jc w:val="both"/>
        <w:rPr>
          <w:rFonts w:ascii="NewBaskerville" w:hAnsi="NewBaskerville"/>
          <w:bCs/>
        </w:rPr>
      </w:pPr>
      <w:r>
        <w:rPr>
          <w:bCs/>
        </w:rPr>
        <w:fldChar w:fldCharType="end"/>
      </w:r>
      <w:r w:rsidR="001B7235" w:rsidRPr="007C1EAE">
        <w:rPr>
          <w:rFonts w:ascii="NewBaskerville" w:hAnsi="NewBaskerville"/>
          <w:bCs/>
        </w:rPr>
        <w:t>A 31 de diciembre de 202</w:t>
      </w:r>
      <w:r w:rsidR="006764F3">
        <w:rPr>
          <w:rFonts w:ascii="NewBaskerville" w:hAnsi="NewBaskerville"/>
          <w:bCs/>
        </w:rPr>
        <w:t>3</w:t>
      </w:r>
      <w:r w:rsidR="001B7235" w:rsidRPr="007C1EAE">
        <w:rPr>
          <w:rFonts w:ascii="NewBaskerville" w:hAnsi="NewBaskerville"/>
          <w:bCs/>
        </w:rPr>
        <w:t xml:space="preserve"> y 202</w:t>
      </w:r>
      <w:r w:rsidR="006764F3">
        <w:rPr>
          <w:rFonts w:ascii="NewBaskerville" w:hAnsi="NewBaskerville"/>
          <w:bCs/>
        </w:rPr>
        <w:t>2</w:t>
      </w:r>
      <w:r w:rsidR="00094C6A" w:rsidRPr="007C1EAE">
        <w:rPr>
          <w:rFonts w:ascii="NewBaskerville" w:hAnsi="NewBaskerville"/>
          <w:bCs/>
        </w:rPr>
        <w:t xml:space="preserve"> no existen indicios de deterioro de inmovilizado material.</w:t>
      </w:r>
    </w:p>
    <w:p w:rsidR="002578A1" w:rsidRDefault="002578A1">
      <w:pPr>
        <w:tabs>
          <w:tab w:val="right" w:pos="8364"/>
        </w:tabs>
        <w:jc w:val="both"/>
        <w:rPr>
          <w:bCs/>
          <w:sz w:val="24"/>
        </w:rPr>
      </w:pPr>
    </w:p>
    <w:p w:rsidR="002C4355" w:rsidRDefault="002C4355">
      <w:pPr>
        <w:tabs>
          <w:tab w:val="right" w:pos="8364"/>
        </w:tabs>
        <w:ind w:firstLine="540"/>
        <w:jc w:val="both"/>
        <w:rPr>
          <w:rFonts w:ascii="NewBaskerville" w:hAnsi="NewBaskerville"/>
          <w:bCs/>
        </w:rPr>
      </w:pPr>
      <w:r w:rsidRPr="00075A9A">
        <w:rPr>
          <w:rFonts w:ascii="NewBaskerville" w:hAnsi="NewBaskerville"/>
          <w:bCs/>
        </w:rPr>
        <w:t>Los</w:t>
      </w:r>
      <w:r w:rsidR="00E17D79" w:rsidRPr="00075A9A">
        <w:rPr>
          <w:rFonts w:ascii="NewBaskerville" w:hAnsi="NewBaskerville"/>
          <w:bCs/>
        </w:rPr>
        <w:t xml:space="preserve"> elementos del activo financiados</w:t>
      </w:r>
      <w:r w:rsidRPr="00075A9A">
        <w:rPr>
          <w:rFonts w:ascii="NewBaskerville" w:hAnsi="NewBaskerville"/>
          <w:bCs/>
        </w:rPr>
        <w:t xml:space="preserve"> mediante subvenciones:</w:t>
      </w:r>
    </w:p>
    <w:p w:rsidR="007E1479" w:rsidRDefault="007E1479">
      <w:pPr>
        <w:tabs>
          <w:tab w:val="right" w:pos="8364"/>
        </w:tabs>
        <w:ind w:firstLine="540"/>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925"/>
        <w:gridCol w:w="4236"/>
        <w:gridCol w:w="1518"/>
        <w:gridCol w:w="1965"/>
      </w:tblGrid>
      <w:tr w:rsidR="00D24701" w:rsidRPr="00D24701" w:rsidTr="00D24701">
        <w:trPr>
          <w:trHeight w:val="300"/>
        </w:trPr>
        <w:tc>
          <w:tcPr>
            <w:tcW w:w="644" w:type="pct"/>
            <w:tcBorders>
              <w:top w:val="single" w:sz="4" w:space="0" w:color="000000"/>
              <w:left w:val="single" w:sz="4" w:space="0" w:color="000000"/>
              <w:bottom w:val="single" w:sz="4" w:space="0" w:color="000000"/>
              <w:right w:val="single" w:sz="4" w:space="0" w:color="000000"/>
            </w:tcBorders>
            <w:shd w:val="clear" w:color="000000" w:fill="CCFFCC"/>
            <w:vAlign w:val="center"/>
            <w:hideMark/>
          </w:tcPr>
          <w:p w:rsidR="00D24701" w:rsidRPr="00D24701" w:rsidRDefault="00D24701" w:rsidP="00D24701">
            <w:pPr>
              <w:ind w:firstLineChars="100" w:firstLine="181"/>
              <w:rPr>
                <w:rFonts w:ascii="Lucida Bright" w:hAnsi="Lucida Bright" w:cs="Calibri"/>
                <w:b/>
                <w:bCs/>
                <w:sz w:val="18"/>
                <w:szCs w:val="18"/>
                <w:lang w:val="es-ES"/>
              </w:rPr>
            </w:pPr>
            <w:r w:rsidRPr="00D24701">
              <w:rPr>
                <w:rFonts w:ascii="Lucida Bright" w:hAnsi="Lucida Bright" w:cs="Calibri"/>
                <w:b/>
                <w:bCs/>
                <w:sz w:val="18"/>
                <w:szCs w:val="18"/>
                <w:lang w:val="es-ES"/>
              </w:rPr>
              <w:t>Puerto</w:t>
            </w:r>
          </w:p>
        </w:tc>
        <w:tc>
          <w:tcPr>
            <w:tcW w:w="2264" w:type="pct"/>
            <w:tcBorders>
              <w:top w:val="single" w:sz="4" w:space="0" w:color="000000"/>
              <w:left w:val="nil"/>
              <w:bottom w:val="single" w:sz="4" w:space="0" w:color="000000"/>
              <w:right w:val="single" w:sz="4" w:space="0" w:color="000000"/>
            </w:tcBorders>
            <w:shd w:val="clear" w:color="000000" w:fill="CCFFCC"/>
            <w:vAlign w:val="center"/>
            <w:hideMark/>
          </w:tcPr>
          <w:p w:rsidR="00D24701" w:rsidRPr="00D24701" w:rsidRDefault="00D24701" w:rsidP="00D24701">
            <w:pPr>
              <w:jc w:val="center"/>
              <w:rPr>
                <w:rFonts w:ascii="Lucida Bright" w:hAnsi="Lucida Bright" w:cs="Calibri"/>
                <w:b/>
                <w:bCs/>
                <w:sz w:val="18"/>
                <w:szCs w:val="18"/>
                <w:lang w:val="es-ES"/>
              </w:rPr>
            </w:pPr>
            <w:r w:rsidRPr="00D24701">
              <w:rPr>
                <w:rFonts w:ascii="Lucida Bright" w:hAnsi="Lucida Bright" w:cs="Calibri"/>
                <w:b/>
                <w:bCs/>
                <w:sz w:val="18"/>
                <w:szCs w:val="18"/>
                <w:lang w:val="es-ES"/>
              </w:rPr>
              <w:t>Descripción</w:t>
            </w:r>
          </w:p>
        </w:tc>
        <w:tc>
          <w:tcPr>
            <w:tcW w:w="987" w:type="pct"/>
            <w:tcBorders>
              <w:top w:val="single" w:sz="4" w:space="0" w:color="000000"/>
              <w:left w:val="nil"/>
              <w:bottom w:val="single" w:sz="4" w:space="0" w:color="000000"/>
              <w:right w:val="nil"/>
            </w:tcBorders>
            <w:shd w:val="clear" w:color="000000" w:fill="CCFFCC"/>
            <w:noWrap/>
            <w:vAlign w:val="center"/>
            <w:hideMark/>
          </w:tcPr>
          <w:p w:rsidR="00D24701" w:rsidRPr="00D24701" w:rsidRDefault="00D24701" w:rsidP="00D24701">
            <w:pPr>
              <w:rPr>
                <w:rFonts w:ascii="Lucida Bright" w:hAnsi="Lucida Bright" w:cs="Calibri"/>
                <w:b/>
                <w:bCs/>
                <w:sz w:val="18"/>
                <w:szCs w:val="18"/>
                <w:lang w:val="es-ES"/>
              </w:rPr>
            </w:pPr>
            <w:r w:rsidRPr="00D24701">
              <w:rPr>
                <w:rFonts w:ascii="Lucida Bright" w:hAnsi="Lucida Bright" w:cs="Calibri"/>
                <w:b/>
                <w:bCs/>
                <w:sz w:val="18"/>
                <w:szCs w:val="18"/>
                <w:lang w:val="es-ES"/>
              </w:rPr>
              <w:t>Importe activo</w:t>
            </w:r>
          </w:p>
        </w:tc>
        <w:tc>
          <w:tcPr>
            <w:tcW w:w="110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24701" w:rsidRPr="00D24701" w:rsidRDefault="00D24701" w:rsidP="00D24701">
            <w:pPr>
              <w:rPr>
                <w:rFonts w:ascii="Lucida Bright" w:hAnsi="Lucida Bright" w:cs="Calibri"/>
                <w:b/>
                <w:bCs/>
                <w:sz w:val="18"/>
                <w:szCs w:val="18"/>
                <w:lang w:val="es-ES"/>
              </w:rPr>
            </w:pPr>
            <w:r w:rsidRPr="00D24701">
              <w:rPr>
                <w:rFonts w:ascii="Lucida Bright" w:hAnsi="Lucida Bright" w:cs="Calibri"/>
                <w:b/>
                <w:bCs/>
                <w:sz w:val="18"/>
                <w:szCs w:val="18"/>
                <w:lang w:val="es-ES"/>
              </w:rPr>
              <w:t>Importe subvención</w:t>
            </w:r>
          </w:p>
        </w:tc>
      </w:tr>
      <w:tr w:rsidR="00D24701" w:rsidRPr="00D24701" w:rsidTr="00D24701">
        <w:trPr>
          <w:trHeight w:val="300"/>
        </w:trPr>
        <w:tc>
          <w:tcPr>
            <w:tcW w:w="644" w:type="pct"/>
            <w:tcBorders>
              <w:top w:val="nil"/>
              <w:left w:val="single" w:sz="4" w:space="0" w:color="000000"/>
              <w:bottom w:val="single" w:sz="4" w:space="0" w:color="000000"/>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Palma</w:t>
            </w:r>
          </w:p>
        </w:tc>
        <w:tc>
          <w:tcPr>
            <w:tcW w:w="2264" w:type="pct"/>
            <w:tcBorders>
              <w:top w:val="nil"/>
              <w:left w:val="nil"/>
              <w:bottom w:val="single" w:sz="4" w:space="0" w:color="000000"/>
              <w:right w:val="single" w:sz="4" w:space="0" w:color="000000"/>
            </w:tcBorders>
            <w:shd w:val="clear" w:color="auto" w:fill="auto"/>
            <w:noWrap/>
            <w:vAlign w:val="center"/>
            <w:hideMark/>
          </w:tcPr>
          <w:p w:rsidR="00D24701" w:rsidRPr="00D24701" w:rsidRDefault="00D24701" w:rsidP="00D24701">
            <w:pPr>
              <w:rPr>
                <w:rFonts w:ascii="Lucida Bright" w:hAnsi="Lucida Bright" w:cs="Calibri"/>
                <w:sz w:val="18"/>
                <w:szCs w:val="18"/>
                <w:lang w:val="es-ES"/>
              </w:rPr>
            </w:pPr>
            <w:proofErr w:type="spellStart"/>
            <w:r w:rsidRPr="00D24701">
              <w:rPr>
                <w:rFonts w:ascii="Lucida Bright" w:hAnsi="Lucida Bright" w:cs="Calibri"/>
                <w:sz w:val="18"/>
                <w:szCs w:val="18"/>
                <w:lang w:val="es-ES"/>
              </w:rPr>
              <w:t>Ampl</w:t>
            </w:r>
            <w:proofErr w:type="spellEnd"/>
            <w:r w:rsidRPr="00D24701">
              <w:rPr>
                <w:rFonts w:ascii="Lucida Bright" w:hAnsi="Lucida Bright" w:cs="Calibri"/>
                <w:sz w:val="18"/>
                <w:szCs w:val="18"/>
                <w:lang w:val="es-ES"/>
              </w:rPr>
              <w:t>. explanada sur MMCC</w:t>
            </w:r>
          </w:p>
        </w:tc>
        <w:tc>
          <w:tcPr>
            <w:tcW w:w="987" w:type="pct"/>
            <w:tcBorders>
              <w:top w:val="nil"/>
              <w:left w:val="nil"/>
              <w:bottom w:val="single" w:sz="4" w:space="0" w:color="000000"/>
              <w:right w:val="nil"/>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18.568.475,79</w:t>
            </w:r>
          </w:p>
        </w:tc>
        <w:tc>
          <w:tcPr>
            <w:tcW w:w="1105" w:type="pct"/>
            <w:tcBorders>
              <w:top w:val="nil"/>
              <w:left w:val="single" w:sz="4" w:space="0" w:color="auto"/>
              <w:bottom w:val="single" w:sz="4" w:space="0" w:color="auto"/>
              <w:right w:val="single" w:sz="4" w:space="0" w:color="auto"/>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14.563.951,00</w:t>
            </w:r>
          </w:p>
        </w:tc>
      </w:tr>
      <w:tr w:rsidR="00D24701" w:rsidRPr="00D24701" w:rsidTr="00D24701">
        <w:trPr>
          <w:trHeight w:val="300"/>
        </w:trPr>
        <w:tc>
          <w:tcPr>
            <w:tcW w:w="644" w:type="pct"/>
            <w:tcBorders>
              <w:top w:val="nil"/>
              <w:left w:val="single" w:sz="4" w:space="0" w:color="000000"/>
              <w:bottom w:val="single" w:sz="4" w:space="0" w:color="000000"/>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 </w:t>
            </w:r>
          </w:p>
        </w:tc>
        <w:tc>
          <w:tcPr>
            <w:tcW w:w="2264" w:type="pct"/>
            <w:tcBorders>
              <w:top w:val="nil"/>
              <w:left w:val="nil"/>
              <w:bottom w:val="single" w:sz="4" w:space="0" w:color="000000"/>
              <w:right w:val="single" w:sz="4" w:space="0" w:color="000000"/>
            </w:tcBorders>
            <w:shd w:val="clear" w:color="auto" w:fill="auto"/>
            <w:noWrap/>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 xml:space="preserve">Inst. suministro eléctrico a </w:t>
            </w:r>
            <w:proofErr w:type="spellStart"/>
            <w:r w:rsidRPr="00D24701">
              <w:rPr>
                <w:rFonts w:ascii="Lucida Bright" w:hAnsi="Lucida Bright" w:cs="Calibri"/>
                <w:sz w:val="18"/>
                <w:szCs w:val="18"/>
                <w:lang w:val="es-ES"/>
              </w:rPr>
              <w:t>Ferrys</w:t>
            </w:r>
            <w:proofErr w:type="spellEnd"/>
            <w:r w:rsidRPr="00D24701">
              <w:rPr>
                <w:rFonts w:ascii="Lucida Bright" w:hAnsi="Lucida Bright" w:cs="Calibri"/>
                <w:sz w:val="18"/>
                <w:szCs w:val="18"/>
                <w:lang w:val="es-ES"/>
              </w:rPr>
              <w:t xml:space="preserve"> MLL </w:t>
            </w:r>
            <w:proofErr w:type="spellStart"/>
            <w:r w:rsidRPr="00D24701">
              <w:rPr>
                <w:rFonts w:ascii="Lucida Bright" w:hAnsi="Lucida Bright" w:cs="Calibri"/>
                <w:sz w:val="18"/>
                <w:szCs w:val="18"/>
                <w:lang w:val="es-ES"/>
              </w:rPr>
              <w:t>Paraires</w:t>
            </w:r>
            <w:proofErr w:type="spellEnd"/>
          </w:p>
        </w:tc>
        <w:tc>
          <w:tcPr>
            <w:tcW w:w="987" w:type="pct"/>
            <w:tcBorders>
              <w:top w:val="nil"/>
              <w:left w:val="nil"/>
              <w:bottom w:val="single" w:sz="4" w:space="0" w:color="000000"/>
              <w:right w:val="nil"/>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1.168.232,98</w:t>
            </w:r>
          </w:p>
        </w:tc>
        <w:tc>
          <w:tcPr>
            <w:tcW w:w="1105" w:type="pct"/>
            <w:tcBorders>
              <w:top w:val="nil"/>
              <w:left w:val="single" w:sz="4" w:space="0" w:color="auto"/>
              <w:bottom w:val="single" w:sz="4" w:space="0" w:color="auto"/>
              <w:right w:val="single" w:sz="4" w:space="0" w:color="auto"/>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156.470,98</w:t>
            </w:r>
          </w:p>
        </w:tc>
      </w:tr>
      <w:tr w:rsidR="00D24701" w:rsidRPr="00D24701" w:rsidTr="00D24701">
        <w:trPr>
          <w:trHeight w:val="300"/>
        </w:trPr>
        <w:tc>
          <w:tcPr>
            <w:tcW w:w="644" w:type="pct"/>
            <w:tcBorders>
              <w:top w:val="nil"/>
              <w:left w:val="single" w:sz="4" w:space="0" w:color="000000"/>
              <w:bottom w:val="single" w:sz="4" w:space="0" w:color="000000"/>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Alcudia</w:t>
            </w:r>
          </w:p>
        </w:tc>
        <w:tc>
          <w:tcPr>
            <w:tcW w:w="2264" w:type="pct"/>
            <w:tcBorders>
              <w:top w:val="nil"/>
              <w:left w:val="nil"/>
              <w:bottom w:val="single" w:sz="4" w:space="0" w:color="000000"/>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Mejora edificio en L</w:t>
            </w:r>
          </w:p>
        </w:tc>
        <w:tc>
          <w:tcPr>
            <w:tcW w:w="987" w:type="pct"/>
            <w:tcBorders>
              <w:top w:val="nil"/>
              <w:left w:val="nil"/>
              <w:bottom w:val="single" w:sz="4" w:space="0" w:color="000000"/>
              <w:right w:val="nil"/>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709.479,87</w:t>
            </w:r>
          </w:p>
        </w:tc>
        <w:tc>
          <w:tcPr>
            <w:tcW w:w="1105" w:type="pct"/>
            <w:tcBorders>
              <w:top w:val="nil"/>
              <w:left w:val="single" w:sz="4" w:space="0" w:color="auto"/>
              <w:bottom w:val="single" w:sz="4" w:space="0" w:color="auto"/>
              <w:right w:val="single" w:sz="4" w:space="0" w:color="auto"/>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352.072,11</w:t>
            </w:r>
          </w:p>
        </w:tc>
      </w:tr>
      <w:tr w:rsidR="00D24701" w:rsidRPr="00D24701" w:rsidTr="00D24701">
        <w:trPr>
          <w:trHeight w:val="300"/>
        </w:trPr>
        <w:tc>
          <w:tcPr>
            <w:tcW w:w="644" w:type="pct"/>
            <w:tcBorders>
              <w:top w:val="nil"/>
              <w:left w:val="single" w:sz="4" w:space="0" w:color="000000"/>
              <w:bottom w:val="single" w:sz="4" w:space="0" w:color="000000"/>
              <w:right w:val="single" w:sz="4" w:space="0" w:color="000000"/>
            </w:tcBorders>
            <w:shd w:val="clear" w:color="auto" w:fill="auto"/>
            <w:vAlign w:val="bottom"/>
            <w:hideMark/>
          </w:tcPr>
          <w:p w:rsidR="00D24701" w:rsidRPr="00D24701" w:rsidRDefault="00D24701" w:rsidP="00D24701">
            <w:pPr>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 </w:t>
            </w:r>
          </w:p>
        </w:tc>
        <w:tc>
          <w:tcPr>
            <w:tcW w:w="2264" w:type="pct"/>
            <w:tcBorders>
              <w:top w:val="nil"/>
              <w:left w:val="nil"/>
              <w:bottom w:val="single" w:sz="4" w:space="0" w:color="000000"/>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Ordenación frente marítimo</w:t>
            </w:r>
          </w:p>
        </w:tc>
        <w:tc>
          <w:tcPr>
            <w:tcW w:w="987" w:type="pct"/>
            <w:tcBorders>
              <w:top w:val="nil"/>
              <w:left w:val="nil"/>
              <w:bottom w:val="single" w:sz="4" w:space="0" w:color="000000"/>
              <w:right w:val="nil"/>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2.414.124,77</w:t>
            </w:r>
          </w:p>
        </w:tc>
        <w:tc>
          <w:tcPr>
            <w:tcW w:w="1105" w:type="pct"/>
            <w:tcBorders>
              <w:top w:val="nil"/>
              <w:left w:val="single" w:sz="4" w:space="0" w:color="auto"/>
              <w:bottom w:val="single" w:sz="4" w:space="0" w:color="auto"/>
              <w:right w:val="single" w:sz="4" w:space="0" w:color="auto"/>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2.053.517,51</w:t>
            </w:r>
          </w:p>
        </w:tc>
      </w:tr>
      <w:tr w:rsidR="00D24701" w:rsidRPr="00D24701" w:rsidTr="00D24701">
        <w:trPr>
          <w:trHeight w:val="300"/>
        </w:trPr>
        <w:tc>
          <w:tcPr>
            <w:tcW w:w="644" w:type="pct"/>
            <w:tcBorders>
              <w:top w:val="nil"/>
              <w:left w:val="single" w:sz="4" w:space="0" w:color="000000"/>
              <w:bottom w:val="single" w:sz="4" w:space="0" w:color="000000"/>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Ibiza</w:t>
            </w:r>
          </w:p>
        </w:tc>
        <w:tc>
          <w:tcPr>
            <w:tcW w:w="2264" w:type="pct"/>
            <w:tcBorders>
              <w:top w:val="nil"/>
              <w:left w:val="nil"/>
              <w:bottom w:val="single" w:sz="4" w:space="0" w:color="000000"/>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 xml:space="preserve">Dique de </w:t>
            </w:r>
            <w:proofErr w:type="spellStart"/>
            <w:r w:rsidRPr="00D24701">
              <w:rPr>
                <w:rFonts w:ascii="Lucida Bright" w:hAnsi="Lucida Bright" w:cs="Calibri"/>
                <w:sz w:val="18"/>
                <w:szCs w:val="18"/>
                <w:lang w:val="es-ES"/>
              </w:rPr>
              <w:t>Botafoc</w:t>
            </w:r>
            <w:proofErr w:type="spellEnd"/>
          </w:p>
        </w:tc>
        <w:tc>
          <w:tcPr>
            <w:tcW w:w="987" w:type="pct"/>
            <w:tcBorders>
              <w:top w:val="nil"/>
              <w:left w:val="nil"/>
              <w:bottom w:val="single" w:sz="4" w:space="0" w:color="000000"/>
              <w:right w:val="nil"/>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46.134.891,29</w:t>
            </w:r>
          </w:p>
        </w:tc>
        <w:tc>
          <w:tcPr>
            <w:tcW w:w="1105" w:type="pct"/>
            <w:tcBorders>
              <w:top w:val="nil"/>
              <w:left w:val="single" w:sz="4" w:space="0" w:color="auto"/>
              <w:bottom w:val="single" w:sz="4" w:space="0" w:color="auto"/>
              <w:right w:val="single" w:sz="4" w:space="0" w:color="auto"/>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28.158.006,00</w:t>
            </w:r>
          </w:p>
        </w:tc>
      </w:tr>
      <w:tr w:rsidR="00D24701" w:rsidRPr="00D24701" w:rsidTr="00D24701">
        <w:trPr>
          <w:trHeight w:val="300"/>
        </w:trPr>
        <w:tc>
          <w:tcPr>
            <w:tcW w:w="644" w:type="pct"/>
            <w:tcBorders>
              <w:top w:val="nil"/>
              <w:left w:val="single" w:sz="4" w:space="0" w:color="000000"/>
              <w:bottom w:val="single" w:sz="4" w:space="0" w:color="000000"/>
              <w:right w:val="single" w:sz="4" w:space="0" w:color="000000"/>
            </w:tcBorders>
            <w:shd w:val="clear" w:color="auto" w:fill="auto"/>
            <w:vAlign w:val="bottom"/>
            <w:hideMark/>
          </w:tcPr>
          <w:p w:rsidR="00D24701" w:rsidRPr="00D24701" w:rsidRDefault="00D24701" w:rsidP="00D24701">
            <w:pPr>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 </w:t>
            </w:r>
          </w:p>
        </w:tc>
        <w:tc>
          <w:tcPr>
            <w:tcW w:w="2264" w:type="pct"/>
            <w:tcBorders>
              <w:top w:val="nil"/>
              <w:left w:val="nil"/>
              <w:bottom w:val="single" w:sz="4" w:space="0" w:color="000000"/>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Edificio servicios  pesqueros</w:t>
            </w:r>
          </w:p>
        </w:tc>
        <w:tc>
          <w:tcPr>
            <w:tcW w:w="987" w:type="pct"/>
            <w:tcBorders>
              <w:top w:val="nil"/>
              <w:left w:val="nil"/>
              <w:bottom w:val="single" w:sz="4" w:space="0" w:color="000000"/>
              <w:right w:val="nil"/>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1.134.991,33</w:t>
            </w:r>
          </w:p>
        </w:tc>
        <w:tc>
          <w:tcPr>
            <w:tcW w:w="1105" w:type="pct"/>
            <w:tcBorders>
              <w:top w:val="nil"/>
              <w:left w:val="single" w:sz="4" w:space="0" w:color="auto"/>
              <w:bottom w:val="single" w:sz="4" w:space="0" w:color="auto"/>
              <w:right w:val="single" w:sz="4" w:space="0" w:color="auto"/>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458.217,97</w:t>
            </w:r>
          </w:p>
        </w:tc>
      </w:tr>
      <w:tr w:rsidR="00D24701" w:rsidRPr="00D24701" w:rsidTr="00D24701">
        <w:trPr>
          <w:trHeight w:val="300"/>
        </w:trPr>
        <w:tc>
          <w:tcPr>
            <w:tcW w:w="644" w:type="pct"/>
            <w:tcBorders>
              <w:top w:val="nil"/>
              <w:left w:val="single" w:sz="4" w:space="0" w:color="000000"/>
              <w:bottom w:val="nil"/>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Mahón</w:t>
            </w:r>
          </w:p>
        </w:tc>
        <w:tc>
          <w:tcPr>
            <w:tcW w:w="2264" w:type="pct"/>
            <w:tcBorders>
              <w:top w:val="nil"/>
              <w:left w:val="nil"/>
              <w:bottom w:val="nil"/>
              <w:right w:val="single" w:sz="4" w:space="0" w:color="000000"/>
            </w:tcBorders>
            <w:shd w:val="clear" w:color="auto" w:fill="auto"/>
            <w:vAlign w:val="center"/>
            <w:hideMark/>
          </w:tcPr>
          <w:p w:rsidR="00D24701" w:rsidRPr="00D24701" w:rsidRDefault="00D24701" w:rsidP="00D24701">
            <w:pPr>
              <w:rPr>
                <w:rFonts w:ascii="Lucida Bright" w:hAnsi="Lucida Bright" w:cs="Calibri"/>
                <w:sz w:val="18"/>
                <w:szCs w:val="18"/>
                <w:lang w:val="es-ES"/>
              </w:rPr>
            </w:pPr>
            <w:r w:rsidRPr="00D24701">
              <w:rPr>
                <w:rFonts w:ascii="Lucida Bright" w:hAnsi="Lucida Bright" w:cs="Calibri"/>
                <w:sz w:val="18"/>
                <w:szCs w:val="18"/>
                <w:lang w:val="es-ES"/>
              </w:rPr>
              <w:t xml:space="preserve">Mejora muelles </w:t>
            </w:r>
            <w:proofErr w:type="spellStart"/>
            <w:r w:rsidRPr="00D24701">
              <w:rPr>
                <w:rFonts w:ascii="Lucida Bright" w:hAnsi="Lucida Bright" w:cs="Calibri"/>
                <w:sz w:val="18"/>
                <w:szCs w:val="18"/>
                <w:lang w:val="es-ES"/>
              </w:rPr>
              <w:t>Cos</w:t>
            </w:r>
            <w:proofErr w:type="spellEnd"/>
            <w:r w:rsidRPr="00D24701">
              <w:rPr>
                <w:rFonts w:ascii="Lucida Bright" w:hAnsi="Lucida Bright" w:cs="Calibri"/>
                <w:sz w:val="18"/>
                <w:szCs w:val="18"/>
                <w:lang w:val="es-ES"/>
              </w:rPr>
              <w:t xml:space="preserve"> </w:t>
            </w:r>
            <w:proofErr w:type="spellStart"/>
            <w:r w:rsidRPr="00D24701">
              <w:rPr>
                <w:rFonts w:ascii="Lucida Bright" w:hAnsi="Lucida Bright" w:cs="Calibri"/>
                <w:sz w:val="18"/>
                <w:szCs w:val="18"/>
                <w:lang w:val="es-ES"/>
              </w:rPr>
              <w:t>Nou</w:t>
            </w:r>
            <w:proofErr w:type="spellEnd"/>
          </w:p>
        </w:tc>
        <w:tc>
          <w:tcPr>
            <w:tcW w:w="987" w:type="pct"/>
            <w:tcBorders>
              <w:top w:val="nil"/>
              <w:left w:val="nil"/>
              <w:bottom w:val="nil"/>
              <w:right w:val="nil"/>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17.445.568,58</w:t>
            </w:r>
          </w:p>
        </w:tc>
        <w:tc>
          <w:tcPr>
            <w:tcW w:w="1105" w:type="pct"/>
            <w:tcBorders>
              <w:top w:val="nil"/>
              <w:left w:val="single" w:sz="4" w:space="0" w:color="auto"/>
              <w:bottom w:val="nil"/>
              <w:right w:val="single" w:sz="4" w:space="0" w:color="auto"/>
            </w:tcBorders>
            <w:shd w:val="clear" w:color="000000" w:fill="FFFFFF"/>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8.320.586,70</w:t>
            </w:r>
          </w:p>
        </w:tc>
      </w:tr>
      <w:tr w:rsidR="00D24701" w:rsidRPr="00D24701" w:rsidTr="00D24701">
        <w:trPr>
          <w:trHeight w:val="300"/>
        </w:trPr>
        <w:tc>
          <w:tcPr>
            <w:tcW w:w="644" w:type="pct"/>
            <w:tcBorders>
              <w:top w:val="single" w:sz="4" w:space="0" w:color="auto"/>
              <w:left w:val="single" w:sz="4" w:space="0" w:color="auto"/>
              <w:bottom w:val="single" w:sz="4" w:space="0" w:color="auto"/>
              <w:right w:val="single" w:sz="4" w:space="0" w:color="auto"/>
            </w:tcBorders>
            <w:shd w:val="clear" w:color="auto" w:fill="auto"/>
            <w:noWrap/>
            <w:hideMark/>
          </w:tcPr>
          <w:p w:rsidR="00D24701" w:rsidRPr="00D24701" w:rsidRDefault="00D24701" w:rsidP="00D24701">
            <w:pPr>
              <w:rPr>
                <w:rFonts w:ascii="Calibri" w:hAnsi="Calibri" w:cs="Calibri"/>
                <w:color w:val="000000"/>
                <w:sz w:val="22"/>
                <w:szCs w:val="22"/>
                <w:lang w:val="es-ES"/>
              </w:rPr>
            </w:pPr>
            <w:r w:rsidRPr="00D24701">
              <w:rPr>
                <w:rFonts w:ascii="Calibri" w:hAnsi="Calibri" w:cs="Calibri"/>
                <w:color w:val="000000"/>
                <w:sz w:val="22"/>
                <w:szCs w:val="22"/>
                <w:lang w:val="es-ES"/>
              </w:rPr>
              <w:t> </w:t>
            </w:r>
          </w:p>
        </w:tc>
        <w:tc>
          <w:tcPr>
            <w:tcW w:w="2264" w:type="pct"/>
            <w:tcBorders>
              <w:top w:val="single" w:sz="4" w:space="0" w:color="auto"/>
              <w:left w:val="nil"/>
              <w:bottom w:val="single" w:sz="4" w:space="0" w:color="auto"/>
              <w:right w:val="single" w:sz="4" w:space="0" w:color="auto"/>
            </w:tcBorders>
            <w:shd w:val="clear" w:color="auto" w:fill="auto"/>
            <w:noWrap/>
            <w:vAlign w:val="center"/>
            <w:hideMark/>
          </w:tcPr>
          <w:p w:rsidR="00D24701" w:rsidRPr="00D24701" w:rsidRDefault="00D24701" w:rsidP="00D24701">
            <w:pPr>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 xml:space="preserve">Mejora eficiencia </w:t>
            </w:r>
            <w:r w:rsidR="00DD448C" w:rsidRPr="00D24701">
              <w:rPr>
                <w:rFonts w:ascii="Lucida Bright" w:hAnsi="Lucida Bright" w:cs="Calibri"/>
                <w:color w:val="000000"/>
                <w:sz w:val="18"/>
                <w:szCs w:val="18"/>
                <w:lang w:val="es-ES"/>
              </w:rPr>
              <w:t>energética</w:t>
            </w:r>
            <w:r w:rsidRPr="00D24701">
              <w:rPr>
                <w:rFonts w:ascii="Lucida Bright" w:hAnsi="Lucida Bright" w:cs="Calibri"/>
                <w:color w:val="000000"/>
                <w:sz w:val="18"/>
                <w:szCs w:val="18"/>
                <w:lang w:val="es-ES"/>
              </w:rPr>
              <w:t xml:space="preserve"> alumbrado</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1.147.272,29</w:t>
            </w:r>
          </w:p>
        </w:tc>
        <w:tc>
          <w:tcPr>
            <w:tcW w:w="1105" w:type="pct"/>
            <w:tcBorders>
              <w:top w:val="single" w:sz="4" w:space="0" w:color="auto"/>
              <w:left w:val="nil"/>
              <w:bottom w:val="single" w:sz="4" w:space="0" w:color="auto"/>
              <w:right w:val="single" w:sz="4" w:space="0" w:color="auto"/>
            </w:tcBorders>
            <w:shd w:val="clear" w:color="auto" w:fill="auto"/>
            <w:noWrap/>
            <w:vAlign w:val="center"/>
            <w:hideMark/>
          </w:tcPr>
          <w:p w:rsidR="00D24701" w:rsidRPr="00D24701" w:rsidRDefault="00D24701" w:rsidP="00D24701">
            <w:pPr>
              <w:jc w:val="right"/>
              <w:rPr>
                <w:rFonts w:ascii="Lucida Bright" w:hAnsi="Lucida Bright" w:cs="Calibri"/>
                <w:color w:val="000000"/>
                <w:sz w:val="18"/>
                <w:szCs w:val="18"/>
                <w:lang w:val="es-ES"/>
              </w:rPr>
            </w:pPr>
            <w:r w:rsidRPr="00D24701">
              <w:rPr>
                <w:rFonts w:ascii="Lucida Bright" w:hAnsi="Lucida Bright" w:cs="Calibri"/>
                <w:color w:val="000000"/>
                <w:sz w:val="18"/>
                <w:szCs w:val="18"/>
                <w:lang w:val="es-ES"/>
              </w:rPr>
              <w:t>180.244,85</w:t>
            </w:r>
          </w:p>
        </w:tc>
      </w:tr>
    </w:tbl>
    <w:p w:rsidR="007E1479" w:rsidRDefault="007E1479">
      <w:pPr>
        <w:tabs>
          <w:tab w:val="right" w:pos="8364"/>
        </w:tabs>
        <w:ind w:firstLine="540"/>
        <w:jc w:val="both"/>
        <w:rPr>
          <w:rFonts w:ascii="NewBaskerville" w:hAnsi="NewBaskerville"/>
          <w:bCs/>
        </w:rPr>
      </w:pPr>
    </w:p>
    <w:p w:rsidR="007E1479" w:rsidRPr="00075A9A" w:rsidRDefault="007E1479">
      <w:pPr>
        <w:tabs>
          <w:tab w:val="right" w:pos="8364"/>
        </w:tabs>
        <w:ind w:firstLine="540"/>
        <w:jc w:val="both"/>
        <w:rPr>
          <w:rFonts w:ascii="NewBaskerville" w:hAnsi="NewBaskerville"/>
          <w:bCs/>
        </w:rPr>
      </w:pPr>
    </w:p>
    <w:p w:rsidR="00D24701" w:rsidRDefault="00D24701">
      <w:pPr>
        <w:tabs>
          <w:tab w:val="right" w:pos="8364"/>
        </w:tabs>
        <w:ind w:firstLine="540"/>
        <w:jc w:val="both"/>
        <w:rPr>
          <w:rFonts w:ascii="NewBaskerville" w:hAnsi="NewBaskerville"/>
          <w:bCs/>
        </w:rPr>
      </w:pPr>
    </w:p>
    <w:p w:rsidR="00C363D3" w:rsidRDefault="00C363D3">
      <w:pPr>
        <w:tabs>
          <w:tab w:val="right" w:pos="8364"/>
        </w:tabs>
        <w:ind w:firstLine="540"/>
        <w:jc w:val="both"/>
        <w:rPr>
          <w:rFonts w:ascii="NewBaskerville" w:hAnsi="NewBaskerville"/>
          <w:bCs/>
        </w:rPr>
      </w:pPr>
    </w:p>
    <w:p w:rsidR="00094C6A" w:rsidRDefault="007F730A">
      <w:pPr>
        <w:tabs>
          <w:tab w:val="right" w:pos="8364"/>
        </w:tabs>
        <w:ind w:firstLine="540"/>
        <w:jc w:val="both"/>
        <w:rPr>
          <w:rFonts w:ascii="NewBaskerville" w:hAnsi="NewBaskerville"/>
          <w:bCs/>
        </w:rPr>
      </w:pPr>
      <w:r>
        <w:rPr>
          <w:rFonts w:ascii="NewBaskerville" w:hAnsi="NewBaskerville"/>
          <w:bCs/>
        </w:rPr>
        <w:t>B</w:t>
      </w:r>
      <w:r w:rsidR="00D24701">
        <w:rPr>
          <w:rFonts w:ascii="NewBaskerville" w:hAnsi="NewBaskerville"/>
          <w:bCs/>
        </w:rPr>
        <w:t>ajas y retiros</w:t>
      </w:r>
      <w:r w:rsidR="00DF1F7A">
        <w:rPr>
          <w:rFonts w:ascii="NewBaskerville" w:hAnsi="NewBaskerville"/>
          <w:bCs/>
        </w:rPr>
        <w:t>:</w:t>
      </w:r>
    </w:p>
    <w:p w:rsidR="00DF1F7A" w:rsidRDefault="00DF1F7A">
      <w:pPr>
        <w:tabs>
          <w:tab w:val="right" w:pos="8364"/>
        </w:tabs>
        <w:ind w:firstLine="540"/>
        <w:jc w:val="both"/>
        <w:rPr>
          <w:rFonts w:ascii="NewBaskerville" w:hAnsi="NewBaskerville"/>
          <w:bCs/>
        </w:rPr>
      </w:pPr>
    </w:p>
    <w:p w:rsidR="00730C10" w:rsidRDefault="00E56AB5">
      <w:pPr>
        <w:tabs>
          <w:tab w:val="right" w:pos="8364"/>
        </w:tabs>
        <w:ind w:firstLine="540"/>
        <w:jc w:val="both"/>
        <w:rPr>
          <w:rFonts w:ascii="NewBaskerville" w:hAnsi="NewBaskerville"/>
          <w:bCs/>
        </w:rPr>
      </w:pPr>
      <w:r>
        <w:rPr>
          <w:rFonts w:ascii="NewBaskerville" w:hAnsi="NewBaskerville"/>
          <w:bCs/>
        </w:rPr>
        <w:t>Durante el ejercicio 2023 se han producido bajas en el inmovilizado material debido a:</w:t>
      </w:r>
    </w:p>
    <w:p w:rsidR="00E56AB5" w:rsidRDefault="00E56AB5">
      <w:pPr>
        <w:tabs>
          <w:tab w:val="right" w:pos="8364"/>
        </w:tabs>
        <w:ind w:firstLine="540"/>
        <w:jc w:val="both"/>
        <w:rPr>
          <w:rFonts w:ascii="NewBaskerville" w:hAnsi="NewBaskerville"/>
          <w:bCs/>
        </w:rPr>
      </w:pPr>
    </w:p>
    <w:p w:rsidR="00E56AB5" w:rsidRDefault="00E56AB5" w:rsidP="00E56AB5">
      <w:pPr>
        <w:pStyle w:val="Prrafodelista"/>
        <w:numPr>
          <w:ilvl w:val="0"/>
          <w:numId w:val="6"/>
        </w:numPr>
        <w:tabs>
          <w:tab w:val="right" w:pos="8364"/>
        </w:tabs>
        <w:jc w:val="both"/>
        <w:rPr>
          <w:rFonts w:ascii="NewBaskerville" w:hAnsi="NewBaskerville"/>
          <w:bCs/>
        </w:rPr>
      </w:pPr>
      <w:r>
        <w:rPr>
          <w:rFonts w:ascii="NewBaskerville" w:hAnsi="NewBaskerville"/>
          <w:bCs/>
        </w:rPr>
        <w:t>Por pasar a situación de fuera de uso tras finalizar su vida útil, o por su antigüedad en el final de la misma.</w:t>
      </w:r>
    </w:p>
    <w:p w:rsidR="00E56AB5" w:rsidRDefault="00E56AB5" w:rsidP="00E56AB5">
      <w:pPr>
        <w:pStyle w:val="Prrafodelista"/>
        <w:numPr>
          <w:ilvl w:val="0"/>
          <w:numId w:val="6"/>
        </w:numPr>
        <w:tabs>
          <w:tab w:val="right" w:pos="8364"/>
        </w:tabs>
        <w:jc w:val="both"/>
        <w:rPr>
          <w:rFonts w:ascii="NewBaskerville" w:hAnsi="NewBaskerville"/>
          <w:bCs/>
        </w:rPr>
      </w:pPr>
      <w:r>
        <w:rPr>
          <w:rFonts w:ascii="NewBaskerville" w:hAnsi="NewBaskerville"/>
          <w:bCs/>
        </w:rPr>
        <w:t>Por su desaparición física constatada mediante inventario físico.</w:t>
      </w:r>
    </w:p>
    <w:p w:rsidR="00E56AB5" w:rsidRDefault="00E56AB5" w:rsidP="00E56AB5">
      <w:pPr>
        <w:pStyle w:val="Prrafodelista"/>
        <w:numPr>
          <w:ilvl w:val="0"/>
          <w:numId w:val="6"/>
        </w:numPr>
        <w:tabs>
          <w:tab w:val="right" w:pos="8364"/>
        </w:tabs>
        <w:jc w:val="both"/>
        <w:rPr>
          <w:rFonts w:ascii="NewBaskerville" w:hAnsi="NewBaskerville"/>
          <w:bCs/>
        </w:rPr>
      </w:pPr>
      <w:r>
        <w:rPr>
          <w:rFonts w:ascii="NewBaskerville" w:hAnsi="NewBaskerville"/>
          <w:bCs/>
        </w:rPr>
        <w:t xml:space="preserve">En el caso de inmovilizado en curso, </w:t>
      </w:r>
      <w:r w:rsidR="003E2475">
        <w:rPr>
          <w:rFonts w:ascii="NewBaskerville" w:hAnsi="NewBaskerville"/>
          <w:bCs/>
        </w:rPr>
        <w:t>por</w:t>
      </w:r>
      <w:r>
        <w:rPr>
          <w:rFonts w:ascii="NewBaskerville" w:hAnsi="NewBaskerville"/>
          <w:bCs/>
        </w:rPr>
        <w:t xml:space="preserve"> sufrir modificaciones el proyecto de invers</w:t>
      </w:r>
      <w:r w:rsidR="003E2475">
        <w:rPr>
          <w:rFonts w:ascii="NewBaskerville" w:hAnsi="NewBaskerville"/>
          <w:bCs/>
        </w:rPr>
        <w:t xml:space="preserve">ión y perder el ligamen directo entre la asistencia técnica y </w:t>
      </w:r>
      <w:r>
        <w:rPr>
          <w:rFonts w:ascii="NewBaskerville" w:hAnsi="NewBaskerville"/>
          <w:bCs/>
        </w:rPr>
        <w:t>la construcción del elemento de inmovilizado material.</w:t>
      </w:r>
    </w:p>
    <w:p w:rsidR="00E56AB5" w:rsidRDefault="00E56AB5" w:rsidP="00E56AB5">
      <w:pPr>
        <w:tabs>
          <w:tab w:val="right" w:pos="8364"/>
        </w:tabs>
        <w:jc w:val="both"/>
        <w:rPr>
          <w:rFonts w:ascii="NewBaskerville" w:hAnsi="NewBaskerville"/>
          <w:bCs/>
        </w:rPr>
      </w:pPr>
      <w:r w:rsidRPr="00E56AB5">
        <w:rPr>
          <w:rFonts w:ascii="NewBaskerville" w:hAnsi="NewBaskerville"/>
          <w:bCs/>
        </w:rPr>
        <w:t xml:space="preserve"> </w:t>
      </w:r>
    </w:p>
    <w:p w:rsidR="00E56AB5" w:rsidRDefault="00CA3107" w:rsidP="00E56AB5">
      <w:pPr>
        <w:tabs>
          <w:tab w:val="right" w:pos="8364"/>
        </w:tabs>
        <w:ind w:firstLine="567"/>
        <w:jc w:val="both"/>
        <w:rPr>
          <w:rFonts w:ascii="NewBaskerville" w:hAnsi="NewBaskerville"/>
          <w:bCs/>
        </w:rPr>
      </w:pPr>
      <w:r>
        <w:rPr>
          <w:rFonts w:ascii="NewBaskerville" w:hAnsi="NewBaskerville"/>
          <w:bCs/>
        </w:rPr>
        <w:t xml:space="preserve">En </w:t>
      </w:r>
      <w:r w:rsidR="003E2475">
        <w:rPr>
          <w:rFonts w:ascii="NewBaskerville" w:hAnsi="NewBaskerville"/>
          <w:bCs/>
        </w:rPr>
        <w:t>ningún</w:t>
      </w:r>
      <w:r>
        <w:rPr>
          <w:rFonts w:ascii="NewBaskerville" w:hAnsi="NewBaskerville"/>
          <w:bCs/>
        </w:rPr>
        <w:t xml:space="preserve"> caso</w:t>
      </w:r>
      <w:r w:rsidR="003E2475">
        <w:rPr>
          <w:rFonts w:ascii="NewBaskerville" w:hAnsi="NewBaskerville"/>
          <w:bCs/>
        </w:rPr>
        <w:t xml:space="preserve"> se esperaba obtener de este</w:t>
      </w:r>
      <w:r>
        <w:rPr>
          <w:rFonts w:ascii="NewBaskerville" w:hAnsi="NewBaskerville"/>
          <w:bCs/>
        </w:rPr>
        <w:t xml:space="preserve"> inmovilizado material beneficios o rendimientos económicos futuros.</w:t>
      </w:r>
    </w:p>
    <w:p w:rsidR="00CA3107" w:rsidRDefault="00CA3107" w:rsidP="00E56AB5">
      <w:pPr>
        <w:tabs>
          <w:tab w:val="right" w:pos="8364"/>
        </w:tabs>
        <w:ind w:firstLine="567"/>
        <w:jc w:val="both"/>
        <w:rPr>
          <w:rFonts w:ascii="NewBaskerville" w:hAnsi="NewBaskerville"/>
          <w:bCs/>
        </w:rPr>
      </w:pPr>
    </w:p>
    <w:p w:rsidR="00CA3107" w:rsidRPr="00E56AB5" w:rsidRDefault="00CA3107" w:rsidP="00E56AB5">
      <w:pPr>
        <w:tabs>
          <w:tab w:val="right" w:pos="8364"/>
        </w:tabs>
        <w:ind w:firstLine="567"/>
        <w:jc w:val="both"/>
        <w:rPr>
          <w:rFonts w:ascii="NewBaskerville" w:hAnsi="NewBaskerville"/>
          <w:bCs/>
        </w:rPr>
      </w:pPr>
      <w:r>
        <w:rPr>
          <w:rFonts w:ascii="NewBaskerville" w:hAnsi="NewBaskerville"/>
          <w:bCs/>
        </w:rPr>
        <w:t>El resultado por bajas ha sido:</w:t>
      </w:r>
    </w:p>
    <w:p w:rsidR="00E56AB5" w:rsidRDefault="00E56AB5" w:rsidP="00E56AB5">
      <w:pPr>
        <w:tabs>
          <w:tab w:val="right" w:pos="8364"/>
        </w:tabs>
        <w:jc w:val="both"/>
        <w:rPr>
          <w:rFonts w:ascii="NewBaskerville" w:hAnsi="NewBaskerville"/>
          <w:bCs/>
        </w:rPr>
      </w:pPr>
    </w:p>
    <w:tbl>
      <w:tblPr>
        <w:tblW w:w="8440" w:type="dxa"/>
        <w:tblInd w:w="70" w:type="dxa"/>
        <w:tblCellMar>
          <w:left w:w="70" w:type="dxa"/>
          <w:right w:w="70" w:type="dxa"/>
        </w:tblCellMar>
        <w:tblLook w:val="04A0" w:firstRow="1" w:lastRow="0" w:firstColumn="1" w:lastColumn="0" w:noHBand="0" w:noVBand="1"/>
      </w:tblPr>
      <w:tblGrid>
        <w:gridCol w:w="1040"/>
        <w:gridCol w:w="1200"/>
        <w:gridCol w:w="1600"/>
        <w:gridCol w:w="1200"/>
        <w:gridCol w:w="1200"/>
        <w:gridCol w:w="1000"/>
        <w:gridCol w:w="1200"/>
      </w:tblGrid>
      <w:tr w:rsidR="00CA3107" w:rsidRPr="00CA3107" w:rsidTr="00CA3107">
        <w:trPr>
          <w:trHeight w:val="300"/>
        </w:trPr>
        <w:tc>
          <w:tcPr>
            <w:tcW w:w="8440" w:type="dxa"/>
            <w:gridSpan w:val="7"/>
            <w:vMerge w:val="restart"/>
            <w:tcBorders>
              <w:top w:val="nil"/>
              <w:left w:val="nil"/>
              <w:bottom w:val="nil"/>
              <w:right w:val="nil"/>
            </w:tcBorders>
            <w:shd w:val="clear" w:color="000000" w:fill="FFFFFF"/>
            <w:vAlign w:val="center"/>
            <w:hideMark/>
          </w:tcPr>
          <w:p w:rsidR="00CA3107" w:rsidRPr="00CA3107" w:rsidRDefault="00CA3107" w:rsidP="00CA3107">
            <w:pPr>
              <w:rPr>
                <w:rFonts w:ascii="Lucida Bright" w:hAnsi="Lucida Bright" w:cs="Calibri"/>
                <w:b/>
                <w:bCs/>
                <w:sz w:val="18"/>
                <w:szCs w:val="18"/>
                <w:lang w:val="es-ES"/>
              </w:rPr>
            </w:pPr>
            <w:r w:rsidRPr="00CA3107">
              <w:rPr>
                <w:rFonts w:ascii="Lucida Bright" w:hAnsi="Lucida Bright" w:cs="Calibri"/>
                <w:b/>
                <w:bCs/>
                <w:sz w:val="18"/>
                <w:szCs w:val="18"/>
                <w:lang w:val="es-ES"/>
              </w:rPr>
              <w:t xml:space="preserve">CUADRO: RESULTADO POR ENAJENACIONES Y BAJAS DEL INMOVILIZADO MATERIAL Y DEL ACTIVO NO CORRIENTE MANTENIDO PARA LA VENTA 2023 </w:t>
            </w:r>
            <w:r w:rsidRPr="00CA3107">
              <w:rPr>
                <w:rFonts w:ascii="Lucida Bright" w:hAnsi="Lucida Bright" w:cs="Calibri"/>
                <w:sz w:val="14"/>
                <w:szCs w:val="14"/>
                <w:lang w:val="es-ES"/>
              </w:rPr>
              <w:t>(en euros)</w:t>
            </w:r>
          </w:p>
        </w:tc>
      </w:tr>
      <w:tr w:rsidR="00CA3107" w:rsidRPr="00CA3107" w:rsidTr="00CA3107">
        <w:trPr>
          <w:trHeight w:val="300"/>
        </w:trPr>
        <w:tc>
          <w:tcPr>
            <w:tcW w:w="8440" w:type="dxa"/>
            <w:gridSpan w:val="7"/>
            <w:vMerge/>
            <w:tcBorders>
              <w:top w:val="nil"/>
              <w:left w:val="nil"/>
              <w:bottom w:val="nil"/>
              <w:right w:val="nil"/>
            </w:tcBorders>
            <w:vAlign w:val="center"/>
            <w:hideMark/>
          </w:tcPr>
          <w:p w:rsidR="00CA3107" w:rsidRPr="00CA3107" w:rsidRDefault="00CA3107" w:rsidP="00CA3107">
            <w:pPr>
              <w:rPr>
                <w:rFonts w:ascii="Lucida Bright" w:hAnsi="Lucida Bright" w:cs="Calibri"/>
                <w:b/>
                <w:bCs/>
                <w:sz w:val="18"/>
                <w:szCs w:val="18"/>
                <w:lang w:val="es-ES"/>
              </w:rPr>
            </w:pPr>
          </w:p>
        </w:tc>
      </w:tr>
      <w:tr w:rsidR="00CA3107" w:rsidRPr="00CA3107" w:rsidTr="00CA3107">
        <w:trPr>
          <w:trHeight w:val="720"/>
        </w:trPr>
        <w:tc>
          <w:tcPr>
            <w:tcW w:w="104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A3107" w:rsidRPr="00CA3107" w:rsidRDefault="00CA3107" w:rsidP="00CA3107">
            <w:pPr>
              <w:jc w:val="center"/>
              <w:rPr>
                <w:rFonts w:ascii="Lucida Bright" w:hAnsi="Lucida Bright" w:cs="Calibri"/>
                <w:b/>
                <w:bCs/>
                <w:sz w:val="14"/>
                <w:szCs w:val="14"/>
                <w:lang w:val="es-ES"/>
              </w:rPr>
            </w:pPr>
            <w:r w:rsidRPr="00CA3107">
              <w:rPr>
                <w:rFonts w:ascii="Lucida Bright" w:hAnsi="Lucida Bright" w:cs="Calibri"/>
                <w:b/>
                <w:bCs/>
                <w:sz w:val="14"/>
                <w:szCs w:val="14"/>
                <w:lang w:val="es-ES"/>
              </w:rPr>
              <w:t>Fecha</w:t>
            </w:r>
          </w:p>
        </w:tc>
        <w:tc>
          <w:tcPr>
            <w:tcW w:w="1200" w:type="dxa"/>
            <w:tcBorders>
              <w:top w:val="single" w:sz="4" w:space="0" w:color="auto"/>
              <w:left w:val="nil"/>
              <w:bottom w:val="single" w:sz="4" w:space="0" w:color="auto"/>
              <w:right w:val="single" w:sz="4" w:space="0" w:color="auto"/>
            </w:tcBorders>
            <w:shd w:val="clear" w:color="000000" w:fill="CCFFCC"/>
            <w:vAlign w:val="center"/>
            <w:hideMark/>
          </w:tcPr>
          <w:p w:rsidR="00CA3107" w:rsidRPr="00CA3107" w:rsidRDefault="00CA3107" w:rsidP="00CA3107">
            <w:pPr>
              <w:jc w:val="center"/>
              <w:rPr>
                <w:rFonts w:ascii="Lucida Bright" w:hAnsi="Lucida Bright" w:cs="Calibri"/>
                <w:b/>
                <w:bCs/>
                <w:sz w:val="14"/>
                <w:szCs w:val="14"/>
                <w:lang w:val="es-ES"/>
              </w:rPr>
            </w:pPr>
            <w:r w:rsidRPr="00CA3107">
              <w:rPr>
                <w:rFonts w:ascii="Lucida Bright" w:hAnsi="Lucida Bright" w:cs="Calibri"/>
                <w:b/>
                <w:bCs/>
                <w:sz w:val="14"/>
                <w:szCs w:val="14"/>
                <w:lang w:val="es-ES"/>
              </w:rPr>
              <w:t>Operación</w:t>
            </w:r>
            <w:r w:rsidRPr="00CA3107">
              <w:rPr>
                <w:rFonts w:ascii="Lucida Bright" w:hAnsi="Lucida Bright" w:cs="Calibri"/>
                <w:b/>
                <w:bCs/>
                <w:sz w:val="14"/>
                <w:szCs w:val="14"/>
                <w:lang w:val="es-ES"/>
              </w:rPr>
              <w:br/>
              <w:t xml:space="preserve">(Venta, retiro, </w:t>
            </w:r>
            <w:proofErr w:type="spellStart"/>
            <w:r w:rsidRPr="00CA3107">
              <w:rPr>
                <w:rFonts w:ascii="Lucida Bright" w:hAnsi="Lucida Bright" w:cs="Calibri"/>
                <w:b/>
                <w:bCs/>
                <w:sz w:val="14"/>
                <w:szCs w:val="14"/>
                <w:lang w:val="es-ES"/>
              </w:rPr>
              <w:t>etc</w:t>
            </w:r>
            <w:proofErr w:type="spellEnd"/>
            <w:r w:rsidRPr="00CA3107">
              <w:rPr>
                <w:rFonts w:ascii="Lucida Bright" w:hAnsi="Lucida Bright" w:cs="Calibri"/>
                <w:b/>
                <w:bCs/>
                <w:sz w:val="14"/>
                <w:szCs w:val="14"/>
                <w:lang w:val="es-ES"/>
              </w:rPr>
              <w:t>)</w:t>
            </w:r>
          </w:p>
        </w:tc>
        <w:tc>
          <w:tcPr>
            <w:tcW w:w="1600" w:type="dxa"/>
            <w:tcBorders>
              <w:top w:val="single" w:sz="4" w:space="0" w:color="auto"/>
              <w:left w:val="nil"/>
              <w:bottom w:val="single" w:sz="4" w:space="0" w:color="auto"/>
              <w:right w:val="nil"/>
            </w:tcBorders>
            <w:shd w:val="clear" w:color="000000" w:fill="CCFFCC"/>
            <w:vAlign w:val="center"/>
            <w:hideMark/>
          </w:tcPr>
          <w:p w:rsidR="00CA3107" w:rsidRPr="00CA3107" w:rsidRDefault="00CA3107" w:rsidP="00CA3107">
            <w:pPr>
              <w:jc w:val="center"/>
              <w:rPr>
                <w:rFonts w:ascii="Lucida Bright" w:hAnsi="Lucida Bright" w:cs="Calibri"/>
                <w:b/>
                <w:bCs/>
                <w:sz w:val="14"/>
                <w:szCs w:val="14"/>
                <w:lang w:val="es-ES"/>
              </w:rPr>
            </w:pPr>
            <w:r w:rsidRPr="00CA3107">
              <w:rPr>
                <w:rFonts w:ascii="Lucida Bright" w:hAnsi="Lucida Bright" w:cs="Calibri"/>
                <w:b/>
                <w:bCs/>
                <w:sz w:val="14"/>
                <w:szCs w:val="14"/>
                <w:lang w:val="es-ES"/>
              </w:rPr>
              <w:t>Descripción/Grupo funcional del activo</w:t>
            </w:r>
          </w:p>
        </w:tc>
        <w:tc>
          <w:tcPr>
            <w:tcW w:w="12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A3107" w:rsidRPr="00CA3107" w:rsidRDefault="00CA3107" w:rsidP="00CA3107">
            <w:pPr>
              <w:jc w:val="center"/>
              <w:rPr>
                <w:rFonts w:ascii="Lucida Bright" w:hAnsi="Lucida Bright" w:cs="Calibri"/>
                <w:b/>
                <w:bCs/>
                <w:sz w:val="14"/>
                <w:szCs w:val="14"/>
                <w:lang w:val="es-ES"/>
              </w:rPr>
            </w:pPr>
            <w:r w:rsidRPr="00CA3107">
              <w:rPr>
                <w:rFonts w:ascii="Lucida Bright" w:hAnsi="Lucida Bright" w:cs="Calibri"/>
                <w:b/>
                <w:bCs/>
                <w:sz w:val="14"/>
                <w:szCs w:val="14"/>
                <w:lang w:val="es-ES"/>
              </w:rPr>
              <w:t>Valor</w:t>
            </w:r>
            <w:r w:rsidRPr="00CA3107">
              <w:rPr>
                <w:rFonts w:ascii="Lucida Bright" w:hAnsi="Lucida Bright" w:cs="Calibri"/>
                <w:b/>
                <w:bCs/>
                <w:sz w:val="14"/>
                <w:szCs w:val="14"/>
                <w:lang w:val="es-ES"/>
              </w:rPr>
              <w:br/>
              <w:t>contable</w:t>
            </w:r>
            <w:r w:rsidRPr="00CA3107">
              <w:rPr>
                <w:rFonts w:ascii="Lucida Bright" w:hAnsi="Lucida Bright" w:cs="Calibri"/>
                <w:b/>
                <w:bCs/>
                <w:sz w:val="14"/>
                <w:szCs w:val="14"/>
                <w:lang w:val="es-ES"/>
              </w:rPr>
              <w:br/>
              <w:t>bruto</w:t>
            </w:r>
          </w:p>
        </w:tc>
        <w:tc>
          <w:tcPr>
            <w:tcW w:w="1200" w:type="dxa"/>
            <w:tcBorders>
              <w:top w:val="single" w:sz="4" w:space="0" w:color="auto"/>
              <w:left w:val="nil"/>
              <w:bottom w:val="single" w:sz="4" w:space="0" w:color="auto"/>
              <w:right w:val="single" w:sz="4" w:space="0" w:color="auto"/>
            </w:tcBorders>
            <w:shd w:val="clear" w:color="000000" w:fill="CCFFCC"/>
            <w:vAlign w:val="center"/>
            <w:hideMark/>
          </w:tcPr>
          <w:p w:rsidR="00CA3107" w:rsidRPr="00CA3107" w:rsidRDefault="00CA3107" w:rsidP="00CA3107">
            <w:pPr>
              <w:jc w:val="center"/>
              <w:rPr>
                <w:rFonts w:ascii="Lucida Bright" w:hAnsi="Lucida Bright" w:cs="Calibri"/>
                <w:b/>
                <w:bCs/>
                <w:sz w:val="14"/>
                <w:szCs w:val="14"/>
                <w:lang w:val="es-ES"/>
              </w:rPr>
            </w:pPr>
            <w:r w:rsidRPr="00CA3107">
              <w:rPr>
                <w:rFonts w:ascii="Lucida Bright" w:hAnsi="Lucida Bright" w:cs="Calibri"/>
                <w:b/>
                <w:bCs/>
                <w:sz w:val="14"/>
                <w:szCs w:val="14"/>
                <w:lang w:val="es-ES"/>
              </w:rPr>
              <w:t>Amortización</w:t>
            </w:r>
            <w:r w:rsidRPr="00CA3107">
              <w:rPr>
                <w:rFonts w:ascii="Lucida Bright" w:hAnsi="Lucida Bright" w:cs="Calibri"/>
                <w:b/>
                <w:bCs/>
                <w:sz w:val="14"/>
                <w:szCs w:val="14"/>
                <w:lang w:val="es-ES"/>
              </w:rPr>
              <w:br/>
              <w:t>acumulada/</w:t>
            </w:r>
            <w:r w:rsidRPr="00CA3107">
              <w:rPr>
                <w:rFonts w:ascii="Lucida Bright" w:hAnsi="Lucida Bright" w:cs="Calibri"/>
                <w:b/>
                <w:bCs/>
                <w:sz w:val="14"/>
                <w:szCs w:val="14"/>
                <w:lang w:val="es-ES"/>
              </w:rPr>
              <w:br/>
              <w:t>Deterioro de valor aplicado</w:t>
            </w:r>
          </w:p>
        </w:tc>
        <w:tc>
          <w:tcPr>
            <w:tcW w:w="1000" w:type="dxa"/>
            <w:tcBorders>
              <w:top w:val="single" w:sz="4" w:space="0" w:color="auto"/>
              <w:left w:val="nil"/>
              <w:bottom w:val="single" w:sz="4" w:space="0" w:color="auto"/>
              <w:right w:val="nil"/>
            </w:tcBorders>
            <w:shd w:val="clear" w:color="000000" w:fill="CCFFCC"/>
            <w:vAlign w:val="center"/>
            <w:hideMark/>
          </w:tcPr>
          <w:p w:rsidR="00CA3107" w:rsidRPr="00CA3107" w:rsidRDefault="00CA3107" w:rsidP="00CA3107">
            <w:pPr>
              <w:jc w:val="center"/>
              <w:rPr>
                <w:rFonts w:ascii="Lucida Bright" w:hAnsi="Lucida Bright" w:cs="Calibri"/>
                <w:b/>
                <w:bCs/>
                <w:sz w:val="14"/>
                <w:szCs w:val="14"/>
                <w:lang w:val="es-ES"/>
              </w:rPr>
            </w:pPr>
            <w:r w:rsidRPr="00CA3107">
              <w:rPr>
                <w:rFonts w:ascii="Lucida Bright" w:hAnsi="Lucida Bright" w:cs="Calibri"/>
                <w:b/>
                <w:bCs/>
                <w:sz w:val="14"/>
                <w:szCs w:val="14"/>
                <w:lang w:val="es-ES"/>
              </w:rPr>
              <w:t>Precio de</w:t>
            </w:r>
            <w:r w:rsidRPr="00CA3107">
              <w:rPr>
                <w:rFonts w:ascii="Lucida Bright" w:hAnsi="Lucida Bright" w:cs="Calibri"/>
                <w:b/>
                <w:bCs/>
                <w:sz w:val="14"/>
                <w:szCs w:val="14"/>
                <w:lang w:val="es-ES"/>
              </w:rPr>
              <w:br/>
              <w:t>venta</w:t>
            </w:r>
          </w:p>
        </w:tc>
        <w:tc>
          <w:tcPr>
            <w:tcW w:w="12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A3107" w:rsidRPr="00CA3107" w:rsidRDefault="00CA3107" w:rsidP="00CA3107">
            <w:pPr>
              <w:jc w:val="center"/>
              <w:rPr>
                <w:rFonts w:ascii="Lucida Bright" w:hAnsi="Lucida Bright" w:cs="Calibri"/>
                <w:b/>
                <w:bCs/>
                <w:sz w:val="14"/>
                <w:szCs w:val="14"/>
                <w:lang w:val="es-ES"/>
              </w:rPr>
            </w:pPr>
            <w:r w:rsidRPr="00CA3107">
              <w:rPr>
                <w:rFonts w:ascii="Lucida Bright" w:hAnsi="Lucida Bright" w:cs="Calibri"/>
                <w:b/>
                <w:bCs/>
                <w:sz w:val="14"/>
                <w:szCs w:val="14"/>
                <w:lang w:val="es-ES"/>
              </w:rPr>
              <w:t>Resultado de</w:t>
            </w:r>
            <w:r w:rsidRPr="00CA3107">
              <w:rPr>
                <w:rFonts w:ascii="Lucida Bright" w:hAnsi="Lucida Bright" w:cs="Calibri"/>
                <w:b/>
                <w:bCs/>
                <w:sz w:val="14"/>
                <w:szCs w:val="14"/>
                <w:lang w:val="es-ES"/>
              </w:rPr>
              <w:br/>
              <w:t>la operación</w:t>
            </w:r>
          </w:p>
        </w:tc>
      </w:tr>
      <w:tr w:rsidR="00CA3107" w:rsidRPr="00CA3107" w:rsidTr="00CA3107">
        <w:trPr>
          <w:trHeight w:val="300"/>
        </w:trPr>
        <w:tc>
          <w:tcPr>
            <w:tcW w:w="224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CA3107" w:rsidRPr="00CA3107" w:rsidRDefault="00CA3107" w:rsidP="00CA3107">
            <w:pPr>
              <w:rPr>
                <w:rFonts w:ascii="Lucida Bright" w:hAnsi="Lucida Bright" w:cs="Calibri"/>
                <w:b/>
                <w:bCs/>
                <w:sz w:val="14"/>
                <w:szCs w:val="14"/>
                <w:lang w:val="es-ES"/>
              </w:rPr>
            </w:pPr>
            <w:r w:rsidRPr="00CA3107">
              <w:rPr>
                <w:rFonts w:ascii="Lucida Bright" w:hAnsi="Lucida Bright" w:cs="Calibri"/>
                <w:b/>
                <w:bCs/>
                <w:sz w:val="14"/>
                <w:szCs w:val="14"/>
                <w:lang w:val="es-ES"/>
              </w:rPr>
              <w:t>Inmovilizado material</w:t>
            </w:r>
          </w:p>
        </w:tc>
        <w:tc>
          <w:tcPr>
            <w:tcW w:w="1600" w:type="dxa"/>
            <w:tcBorders>
              <w:top w:val="single" w:sz="4" w:space="0" w:color="auto"/>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single" w:sz="4" w:space="0" w:color="auto"/>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single" w:sz="4" w:space="0" w:color="auto"/>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000" w:type="dxa"/>
            <w:tcBorders>
              <w:top w:val="single" w:sz="4" w:space="0" w:color="auto"/>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single" w:sz="4" w:space="0" w:color="auto"/>
              <w:left w:val="nil"/>
              <w:bottom w:val="nil"/>
              <w:right w:val="single" w:sz="4" w:space="0" w:color="auto"/>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04/05/2023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Material diverso</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35.568,26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(35.568,26) </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04/05/2023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000000" w:fill="FFFFFF"/>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Equipo informático</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229.120,44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(229.120,44)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Instalaciones de ayudas visuales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4.485,56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(4.485,56)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42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Instalaciones de gestión y </w:t>
            </w:r>
            <w:proofErr w:type="spellStart"/>
            <w:r w:rsidRPr="00CA3107">
              <w:rPr>
                <w:rFonts w:ascii="Lucida Bright" w:hAnsi="Lucida Bright" w:cs="Calibri"/>
                <w:sz w:val="14"/>
                <w:szCs w:val="14"/>
                <w:lang w:val="es-ES"/>
              </w:rPr>
              <w:t>explotac</w:t>
            </w:r>
            <w:proofErr w:type="spellEnd"/>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18.653,71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(18.653,71)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Defensa y elementos de amarre</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14.300,00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(14.300,00)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Pantanales flotantes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56.765,76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(56.765,76)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Estaciones marítimas, naves y lonja</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127.783,85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(76.978,33)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(50.805,52)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Módulos y pequeñas construcciones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21.312,61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(21.312,61)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Instalaciones, conducciones y </w:t>
            </w:r>
            <w:proofErr w:type="spellStart"/>
            <w:r w:rsidRPr="00CA3107">
              <w:rPr>
                <w:rFonts w:ascii="Lucida Bright" w:hAnsi="Lucida Bright" w:cs="Calibri"/>
                <w:sz w:val="14"/>
                <w:szCs w:val="14"/>
                <w:lang w:val="es-ES"/>
              </w:rPr>
              <w:t>alumb</w:t>
            </w:r>
            <w:proofErr w:type="spellEnd"/>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11.118,72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(11.118,72)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Caminos, zonas circulación y aparca</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54.021,55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(54.021,55)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Grúas automóviles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7.213,95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(7.213,95)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Equipo auxiliar y equipos buzos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3.696,22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(3.696,22)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Embarcaciones de servicio</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1.803,00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(1.803,00)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E.Com. d </w:t>
            </w:r>
            <w:proofErr w:type="spellStart"/>
            <w:r w:rsidRPr="00CA3107">
              <w:rPr>
                <w:rFonts w:ascii="Lucida Bright" w:hAnsi="Lucida Bright" w:cs="Calibri"/>
                <w:sz w:val="14"/>
                <w:szCs w:val="14"/>
                <w:lang w:val="es-ES"/>
              </w:rPr>
              <w:t>sop</w:t>
            </w:r>
            <w:proofErr w:type="spellEnd"/>
            <w:r w:rsidRPr="00CA3107">
              <w:rPr>
                <w:rFonts w:ascii="Lucida Bright" w:hAnsi="Lucida Bright" w:cs="Calibri"/>
                <w:sz w:val="14"/>
                <w:szCs w:val="14"/>
                <w:lang w:val="es-ES"/>
              </w:rPr>
              <w:t xml:space="preserve">. </w:t>
            </w:r>
            <w:proofErr w:type="spellStart"/>
            <w:proofErr w:type="gramStart"/>
            <w:r w:rsidRPr="00CA3107">
              <w:rPr>
                <w:rFonts w:ascii="Lucida Bright" w:hAnsi="Lucida Bright" w:cs="Calibri"/>
                <w:sz w:val="14"/>
                <w:szCs w:val="14"/>
                <w:lang w:val="es-ES"/>
              </w:rPr>
              <w:t>flot</w:t>
            </w:r>
            <w:proofErr w:type="spellEnd"/>
            <w:proofErr w:type="gramEnd"/>
            <w:r w:rsidRPr="00CA3107">
              <w:rPr>
                <w:rFonts w:ascii="Lucida Bright" w:hAnsi="Lucida Bright" w:cs="Calibri"/>
                <w:sz w:val="14"/>
                <w:szCs w:val="14"/>
                <w:lang w:val="es-ES"/>
              </w:rPr>
              <w:t xml:space="preserve">. d </w:t>
            </w:r>
            <w:proofErr w:type="spellStart"/>
            <w:r w:rsidRPr="00CA3107">
              <w:rPr>
                <w:rFonts w:ascii="Lucida Bright" w:hAnsi="Lucida Bright" w:cs="Calibri"/>
                <w:sz w:val="14"/>
                <w:szCs w:val="14"/>
                <w:lang w:val="es-ES"/>
              </w:rPr>
              <w:t>ayud</w:t>
            </w:r>
            <w:proofErr w:type="spellEnd"/>
            <w:r w:rsidRPr="00CA3107">
              <w:rPr>
                <w:rFonts w:ascii="Lucida Bright" w:hAnsi="Lucida Bright" w:cs="Calibri"/>
                <w:sz w:val="14"/>
                <w:szCs w:val="14"/>
                <w:lang w:val="es-ES"/>
              </w:rPr>
              <w:t xml:space="preserve"> a navega</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109.546,65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(109.546,65)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Equipo de Taller</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1.314,90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(1.314,90)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Mobiliario y enseres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4.031,92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(4.031,92)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03/10/2023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Material diverso</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804.752,15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(804.752,15)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Instalaciones de ayudas visuales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75.569,24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(75.569,24)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600"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Instalaciones de ayudas </w:t>
            </w:r>
            <w:proofErr w:type="spellStart"/>
            <w:r w:rsidRPr="00CA3107">
              <w:rPr>
                <w:rFonts w:ascii="Lucida Bright" w:hAnsi="Lucida Bright" w:cs="Calibri"/>
                <w:sz w:val="14"/>
                <w:szCs w:val="14"/>
                <w:lang w:val="es-ES"/>
              </w:rPr>
              <w:t>radioeléctr</w:t>
            </w:r>
            <w:proofErr w:type="spellEnd"/>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3.572,80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(3.572,80) </w:t>
            </w:r>
          </w:p>
        </w:tc>
        <w:tc>
          <w:tcPr>
            <w:tcW w:w="10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bl>
    <w:p w:rsidR="00E56AB5" w:rsidRPr="00E56AB5" w:rsidRDefault="00E56AB5" w:rsidP="00E56AB5">
      <w:pPr>
        <w:tabs>
          <w:tab w:val="right" w:pos="8364"/>
        </w:tabs>
        <w:jc w:val="both"/>
        <w:rPr>
          <w:rFonts w:ascii="NewBaskerville" w:hAnsi="NewBaskerville"/>
          <w:bCs/>
        </w:rPr>
      </w:pPr>
    </w:p>
    <w:tbl>
      <w:tblPr>
        <w:tblW w:w="8440" w:type="dxa"/>
        <w:tblInd w:w="65" w:type="dxa"/>
        <w:tblCellMar>
          <w:left w:w="70" w:type="dxa"/>
          <w:right w:w="70" w:type="dxa"/>
        </w:tblCellMar>
        <w:tblLook w:val="04A0" w:firstRow="1" w:lastRow="0" w:firstColumn="1" w:lastColumn="0" w:noHBand="0" w:noVBand="1"/>
      </w:tblPr>
      <w:tblGrid>
        <w:gridCol w:w="1040"/>
        <w:gridCol w:w="1200"/>
        <w:gridCol w:w="1459"/>
        <w:gridCol w:w="1200"/>
        <w:gridCol w:w="1200"/>
        <w:gridCol w:w="1141"/>
        <w:gridCol w:w="1200"/>
      </w:tblGrid>
      <w:tr w:rsidR="00CA3107" w:rsidRPr="00CA3107" w:rsidTr="00CA3107">
        <w:trPr>
          <w:trHeight w:val="360"/>
        </w:trPr>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Instalaciones de gestión y </w:t>
            </w:r>
            <w:proofErr w:type="spellStart"/>
            <w:r w:rsidRPr="00CA3107">
              <w:rPr>
                <w:rFonts w:ascii="Lucida Bright" w:hAnsi="Lucida Bright" w:cs="Calibri"/>
                <w:sz w:val="14"/>
                <w:szCs w:val="14"/>
                <w:lang w:val="es-ES"/>
              </w:rPr>
              <w:t>explotac</w:t>
            </w:r>
            <w:proofErr w:type="spellEnd"/>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373.350,65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(373.350,65) </w:t>
            </w:r>
          </w:p>
        </w:tc>
        <w:tc>
          <w:tcPr>
            <w:tcW w:w="1141"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Defensa y elementos de amarre</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161,55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(161,55)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Estaciones marítimas, naves y lonja</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34.659,24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(19.722,28)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(14.936,96) </w:t>
            </w:r>
          </w:p>
        </w:tc>
      </w:tr>
      <w:tr w:rsidR="00CA3107" w:rsidRPr="00CA3107" w:rsidTr="00CA3107">
        <w:trPr>
          <w:trHeight w:val="72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Almacenes, </w:t>
            </w:r>
            <w:proofErr w:type="spellStart"/>
            <w:r w:rsidRPr="00CA3107">
              <w:rPr>
                <w:rFonts w:ascii="Lucida Bright" w:hAnsi="Lucida Bright" w:cs="Calibri"/>
                <w:sz w:val="14"/>
                <w:szCs w:val="14"/>
                <w:lang w:val="es-ES"/>
              </w:rPr>
              <w:t>talleres,casetas</w:t>
            </w:r>
            <w:proofErr w:type="spellEnd"/>
            <w:r w:rsidRPr="00CA3107">
              <w:rPr>
                <w:rFonts w:ascii="Lucida Bright" w:hAnsi="Lucida Bright" w:cs="Calibri"/>
                <w:sz w:val="14"/>
                <w:szCs w:val="14"/>
                <w:lang w:val="es-ES"/>
              </w:rPr>
              <w:t xml:space="preserve"> de  pesca armadores y similares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91.128,88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(59.525,79)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(31.603,09) </w:t>
            </w:r>
          </w:p>
        </w:tc>
      </w:tr>
      <w:tr w:rsidR="00CA3107" w:rsidRPr="00CA3107" w:rsidTr="00CA3107">
        <w:trPr>
          <w:trHeight w:val="495"/>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Viviendas, garajes, oficinas y otros edificios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1.409,32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(1.409,32)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Elementos fijos de soporte de ayuda</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14.442,32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(10.565,50)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(3.876,82) </w:t>
            </w:r>
          </w:p>
        </w:tc>
      </w:tr>
      <w:tr w:rsidR="00CA3107" w:rsidRPr="00CA3107" w:rsidTr="00CA3107">
        <w:trPr>
          <w:trHeight w:val="45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Instalaciones, conducciones y </w:t>
            </w:r>
            <w:proofErr w:type="spellStart"/>
            <w:r w:rsidRPr="00CA3107">
              <w:rPr>
                <w:rFonts w:ascii="Lucida Bright" w:hAnsi="Lucida Bright" w:cs="Calibri"/>
                <w:sz w:val="14"/>
                <w:szCs w:val="14"/>
                <w:lang w:val="es-ES"/>
              </w:rPr>
              <w:t>alumb</w:t>
            </w:r>
            <w:proofErr w:type="spellEnd"/>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286.636,30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(285.026,18)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(1.610,12)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Otras instalaciones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25.902,92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(20.837,20)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(5.065,72)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Grúas automóviles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39.172,47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(39.172,47)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Carretillas, tractores, remolques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2.153,22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(2.153,22)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Equipo auxiliar y equipos buzos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11.434,89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(11.434,89)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E.Com. d </w:t>
            </w:r>
            <w:proofErr w:type="spellStart"/>
            <w:r w:rsidRPr="00CA3107">
              <w:rPr>
                <w:rFonts w:ascii="Lucida Bright" w:hAnsi="Lucida Bright" w:cs="Calibri"/>
                <w:sz w:val="14"/>
                <w:szCs w:val="14"/>
                <w:lang w:val="es-ES"/>
              </w:rPr>
              <w:t>sop</w:t>
            </w:r>
            <w:proofErr w:type="spellEnd"/>
            <w:r w:rsidRPr="00CA3107">
              <w:rPr>
                <w:rFonts w:ascii="Lucida Bright" w:hAnsi="Lucida Bright" w:cs="Calibri"/>
                <w:sz w:val="14"/>
                <w:szCs w:val="14"/>
                <w:lang w:val="es-ES"/>
              </w:rPr>
              <w:t xml:space="preserve">. </w:t>
            </w:r>
            <w:proofErr w:type="spellStart"/>
            <w:proofErr w:type="gramStart"/>
            <w:r w:rsidRPr="00CA3107">
              <w:rPr>
                <w:rFonts w:ascii="Lucida Bright" w:hAnsi="Lucida Bright" w:cs="Calibri"/>
                <w:sz w:val="14"/>
                <w:szCs w:val="14"/>
                <w:lang w:val="es-ES"/>
              </w:rPr>
              <w:t>flot</w:t>
            </w:r>
            <w:proofErr w:type="spellEnd"/>
            <w:proofErr w:type="gramEnd"/>
            <w:r w:rsidRPr="00CA3107">
              <w:rPr>
                <w:rFonts w:ascii="Lucida Bright" w:hAnsi="Lucida Bright" w:cs="Calibri"/>
                <w:sz w:val="14"/>
                <w:szCs w:val="14"/>
                <w:lang w:val="es-ES"/>
              </w:rPr>
              <w:t xml:space="preserve">. d </w:t>
            </w:r>
            <w:proofErr w:type="spellStart"/>
            <w:r w:rsidRPr="00CA3107">
              <w:rPr>
                <w:rFonts w:ascii="Lucida Bright" w:hAnsi="Lucida Bright" w:cs="Calibri"/>
                <w:sz w:val="14"/>
                <w:szCs w:val="14"/>
                <w:lang w:val="es-ES"/>
              </w:rPr>
              <w:t>ayud</w:t>
            </w:r>
            <w:proofErr w:type="spellEnd"/>
            <w:r w:rsidRPr="00CA3107">
              <w:rPr>
                <w:rFonts w:ascii="Lucida Bright" w:hAnsi="Lucida Bright" w:cs="Calibri"/>
                <w:sz w:val="14"/>
                <w:szCs w:val="14"/>
                <w:lang w:val="es-ES"/>
              </w:rPr>
              <w:t xml:space="preserve"> a navega</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23.984,18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(23.984,18)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Equipo de Taller</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13.594,30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(12.700,05)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(894,25)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Mobiliario y enseres</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135.969,55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(135.969,55)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06/10/2023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Material diverso</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1.078.239,52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(1.078.239,52)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10/10/2023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Instalaciones de gestión y </w:t>
            </w:r>
            <w:proofErr w:type="spellStart"/>
            <w:r w:rsidRPr="00CA3107">
              <w:rPr>
                <w:rFonts w:ascii="Lucida Bright" w:hAnsi="Lucida Bright" w:cs="Calibri"/>
                <w:sz w:val="14"/>
                <w:szCs w:val="14"/>
                <w:lang w:val="es-ES"/>
              </w:rPr>
              <w:t>explotac</w:t>
            </w:r>
            <w:proofErr w:type="spellEnd"/>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14.509,63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(14.509,63)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10/10/2023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Muelles de hormigón armado y </w:t>
            </w:r>
            <w:proofErr w:type="spellStart"/>
            <w:r w:rsidRPr="00CA3107">
              <w:rPr>
                <w:rFonts w:ascii="Lucida Bright" w:hAnsi="Lucida Bright" w:cs="Calibri"/>
                <w:sz w:val="14"/>
                <w:szCs w:val="14"/>
                <w:lang w:val="es-ES"/>
              </w:rPr>
              <w:t>metali</w:t>
            </w:r>
            <w:proofErr w:type="spellEnd"/>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13.590,13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(11.740,26)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(1.849,87)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10/10/2023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xml:space="preserve">Instalaciones, conducciones y </w:t>
            </w:r>
            <w:proofErr w:type="spellStart"/>
            <w:r w:rsidRPr="00CA3107">
              <w:rPr>
                <w:rFonts w:ascii="Lucida Bright" w:hAnsi="Lucida Bright" w:cs="Calibri"/>
                <w:sz w:val="14"/>
                <w:szCs w:val="14"/>
                <w:lang w:val="es-ES"/>
              </w:rPr>
              <w:t>alumb</w:t>
            </w:r>
            <w:proofErr w:type="spellEnd"/>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44.912,59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(44.912,59)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10/10/2023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Caminos, zonas circulación y aparca</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5.282,62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(5.282,62)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0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10/10/2023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auto" w:fill="auto"/>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Material diverso</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138.397,09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(138.397,09)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 </w:t>
            </w:r>
          </w:p>
        </w:tc>
      </w:tr>
      <w:tr w:rsidR="00CA3107" w:rsidRPr="00CA3107" w:rsidTr="00CA3107">
        <w:trPr>
          <w:trHeight w:val="360"/>
        </w:trPr>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31/12/2023</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Baja</w:t>
            </w:r>
          </w:p>
        </w:tc>
        <w:tc>
          <w:tcPr>
            <w:tcW w:w="1459" w:type="dxa"/>
            <w:tcBorders>
              <w:top w:val="nil"/>
              <w:left w:val="nil"/>
              <w:bottom w:val="single" w:sz="4" w:space="0" w:color="auto"/>
              <w:right w:val="single" w:sz="4" w:space="0" w:color="auto"/>
            </w:tcBorders>
            <w:shd w:val="clear" w:color="000000" w:fill="FFFFFF"/>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Estudios y asistencias técnicas en curso</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237.041,42 </w:t>
            </w:r>
          </w:p>
        </w:tc>
        <w:tc>
          <w:tcPr>
            <w:tcW w:w="1200"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141" w:type="dxa"/>
            <w:tcBorders>
              <w:top w:val="nil"/>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sz w:val="14"/>
                <w:szCs w:val="14"/>
                <w:lang w:val="es-ES"/>
              </w:rPr>
            </w:pPr>
            <w:r w:rsidRPr="00CA3107">
              <w:rPr>
                <w:rFonts w:ascii="Lucida Bright" w:hAnsi="Lucida Bright" w:cs="Calibri"/>
                <w:sz w:val="14"/>
                <w:szCs w:val="14"/>
                <w:lang w:val="es-ES"/>
              </w:rPr>
              <w:t xml:space="preserve">(237.041,42) </w:t>
            </w:r>
          </w:p>
        </w:tc>
      </w:tr>
      <w:tr w:rsidR="00CA3107" w:rsidRPr="00CA3107" w:rsidTr="00CA3107">
        <w:trPr>
          <w:trHeight w:val="300"/>
        </w:trPr>
        <w:tc>
          <w:tcPr>
            <w:tcW w:w="36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3107" w:rsidRPr="00CA3107" w:rsidRDefault="00CA3107" w:rsidP="00CA3107">
            <w:pPr>
              <w:jc w:val="center"/>
              <w:rPr>
                <w:rFonts w:ascii="Lucida Bright" w:hAnsi="Lucida Bright" w:cs="Calibri"/>
                <w:b/>
                <w:bCs/>
                <w:sz w:val="14"/>
                <w:szCs w:val="14"/>
                <w:lang w:val="es-ES"/>
              </w:rPr>
            </w:pPr>
            <w:r w:rsidRPr="00CA3107">
              <w:rPr>
                <w:rFonts w:ascii="Lucida Bright" w:hAnsi="Lucida Bright" w:cs="Calibri"/>
                <w:b/>
                <w:bCs/>
                <w:sz w:val="14"/>
                <w:szCs w:val="14"/>
                <w:lang w:val="es-ES"/>
              </w:rPr>
              <w:t>Subtotal inmovilizado material</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4.170.604,08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(3.822.920,31) </w:t>
            </w:r>
          </w:p>
        </w:tc>
        <w:tc>
          <w:tcPr>
            <w:tcW w:w="1141"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(347.683,77) </w:t>
            </w:r>
          </w:p>
        </w:tc>
      </w:tr>
      <w:tr w:rsidR="00CA3107" w:rsidRPr="00CA3107" w:rsidTr="00CA3107">
        <w:trPr>
          <w:trHeight w:val="300"/>
        </w:trPr>
        <w:tc>
          <w:tcPr>
            <w:tcW w:w="3699" w:type="dxa"/>
            <w:gridSpan w:val="3"/>
            <w:tcBorders>
              <w:top w:val="nil"/>
              <w:left w:val="single" w:sz="4" w:space="0" w:color="auto"/>
              <w:bottom w:val="nil"/>
              <w:right w:val="nil"/>
            </w:tcBorders>
            <w:shd w:val="clear" w:color="000000" w:fill="FFFFFF"/>
            <w:noWrap/>
            <w:vAlign w:val="bottom"/>
            <w:hideMark/>
          </w:tcPr>
          <w:p w:rsidR="00CA3107" w:rsidRPr="00CA3107" w:rsidRDefault="00CA3107" w:rsidP="00CA3107">
            <w:pPr>
              <w:rPr>
                <w:rFonts w:ascii="Lucida Bright" w:hAnsi="Lucida Bright" w:cs="Calibri"/>
                <w:b/>
                <w:bCs/>
                <w:sz w:val="14"/>
                <w:szCs w:val="14"/>
                <w:lang w:val="es-ES"/>
              </w:rPr>
            </w:pPr>
            <w:r w:rsidRPr="00CA3107">
              <w:rPr>
                <w:rFonts w:ascii="Lucida Bright" w:hAnsi="Lucida Bright" w:cs="Calibri"/>
                <w:b/>
                <w:bCs/>
                <w:sz w:val="14"/>
                <w:szCs w:val="14"/>
                <w:lang w:val="es-ES"/>
              </w:rPr>
              <w:t>Activos no corrientes mantenidos para la venta</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141" w:type="dxa"/>
            <w:tcBorders>
              <w:top w:val="nil"/>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single" w:sz="4" w:space="0" w:color="auto"/>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r>
      <w:tr w:rsidR="00CA3107" w:rsidRPr="00CA3107" w:rsidTr="00CA3107">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459"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141" w:type="dxa"/>
            <w:tcBorders>
              <w:top w:val="single" w:sz="4" w:space="0" w:color="auto"/>
              <w:left w:val="nil"/>
              <w:bottom w:val="single" w:sz="4" w:space="0" w:color="auto"/>
              <w:right w:val="single" w:sz="4" w:space="0" w:color="auto"/>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r>
      <w:tr w:rsidR="00CA3107" w:rsidRPr="00CA3107" w:rsidTr="00CA3107">
        <w:trPr>
          <w:trHeight w:val="300"/>
        </w:trPr>
        <w:tc>
          <w:tcPr>
            <w:tcW w:w="609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3107" w:rsidRPr="00CA3107" w:rsidRDefault="00CA3107" w:rsidP="00CA3107">
            <w:pPr>
              <w:rPr>
                <w:rFonts w:ascii="Lucida Bright" w:hAnsi="Lucida Bright" w:cs="Calibri"/>
                <w:b/>
                <w:bCs/>
                <w:sz w:val="14"/>
                <w:szCs w:val="14"/>
                <w:lang w:val="es-ES"/>
              </w:rPr>
            </w:pPr>
            <w:r w:rsidRPr="00CA3107">
              <w:rPr>
                <w:rFonts w:ascii="Lucida Bright" w:hAnsi="Lucida Bright" w:cs="Calibri"/>
                <w:b/>
                <w:bCs/>
                <w:sz w:val="14"/>
                <w:szCs w:val="14"/>
                <w:lang w:val="es-ES"/>
              </w:rPr>
              <w:t>Subtotal activos no corrientes mantenidos para la venta</w:t>
            </w:r>
          </w:p>
        </w:tc>
        <w:tc>
          <w:tcPr>
            <w:tcW w:w="1141"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 </w:t>
            </w:r>
          </w:p>
        </w:tc>
      </w:tr>
      <w:tr w:rsidR="00CA3107" w:rsidRPr="00CA3107" w:rsidTr="00CA3107">
        <w:trPr>
          <w:trHeight w:val="300"/>
        </w:trPr>
        <w:tc>
          <w:tcPr>
            <w:tcW w:w="1040" w:type="dxa"/>
            <w:tcBorders>
              <w:top w:val="nil"/>
              <w:left w:val="nil"/>
              <w:bottom w:val="nil"/>
              <w:right w:val="nil"/>
            </w:tcBorders>
            <w:shd w:val="clear" w:color="000000" w:fill="FFFFFF"/>
            <w:noWrap/>
            <w:vAlign w:val="center"/>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459" w:type="dxa"/>
            <w:tcBorders>
              <w:top w:val="nil"/>
              <w:left w:val="nil"/>
              <w:bottom w:val="nil"/>
              <w:right w:val="nil"/>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141" w:type="dxa"/>
            <w:tcBorders>
              <w:top w:val="nil"/>
              <w:left w:val="nil"/>
              <w:bottom w:val="nil"/>
              <w:right w:val="nil"/>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center"/>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r>
      <w:tr w:rsidR="00CA3107" w:rsidRPr="00CA3107" w:rsidTr="00CA3107">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107" w:rsidRPr="00CA3107" w:rsidRDefault="00CA3107" w:rsidP="00CA3107">
            <w:pPr>
              <w:jc w:val="center"/>
              <w:rPr>
                <w:rFonts w:ascii="Lucida Bright" w:hAnsi="Lucida Bright" w:cs="Calibri"/>
                <w:b/>
                <w:bCs/>
                <w:sz w:val="14"/>
                <w:szCs w:val="14"/>
                <w:lang w:val="es-ES"/>
              </w:rPr>
            </w:pPr>
            <w:r w:rsidRPr="00CA3107">
              <w:rPr>
                <w:rFonts w:ascii="Lucida Bright" w:hAnsi="Lucida Bright" w:cs="Calibri"/>
                <w:b/>
                <w:bCs/>
                <w:sz w:val="14"/>
                <w:szCs w:val="14"/>
                <w:lang w:val="es-ES"/>
              </w:rPr>
              <w:t>TOTAL</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rPr>
                <w:rFonts w:ascii="Lucida Bright" w:hAnsi="Lucida Bright" w:cs="Calibri"/>
                <w:b/>
                <w:bCs/>
                <w:sz w:val="14"/>
                <w:szCs w:val="14"/>
                <w:lang w:val="es-ES"/>
              </w:rPr>
            </w:pPr>
            <w:r w:rsidRPr="00CA3107">
              <w:rPr>
                <w:rFonts w:ascii="Lucida Bright" w:hAnsi="Lucida Bright" w:cs="Calibri"/>
                <w:b/>
                <w:bCs/>
                <w:sz w:val="14"/>
                <w:szCs w:val="14"/>
                <w:lang w:val="es-ES"/>
              </w:rPr>
              <w:t> </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rPr>
                <w:rFonts w:ascii="Lucida Bright" w:hAnsi="Lucida Bright" w:cs="Calibri"/>
                <w:b/>
                <w:bCs/>
                <w:sz w:val="14"/>
                <w:szCs w:val="14"/>
                <w:lang w:val="es-ES"/>
              </w:rPr>
            </w:pPr>
            <w:r w:rsidRPr="00CA3107">
              <w:rPr>
                <w:rFonts w:ascii="Lucida Bright" w:hAnsi="Lucida Bright" w:cs="Calibri"/>
                <w:b/>
                <w:bCs/>
                <w:sz w:val="14"/>
                <w:szCs w:val="14"/>
                <w:lang w:val="es-ES"/>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4.170.604,08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(3.822.920,31) </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(347.683,77) </w:t>
            </w:r>
          </w:p>
        </w:tc>
      </w:tr>
      <w:tr w:rsidR="00CA3107" w:rsidRPr="00CA3107" w:rsidTr="00CA3107">
        <w:trPr>
          <w:trHeight w:val="300"/>
        </w:trPr>
        <w:tc>
          <w:tcPr>
            <w:tcW w:w="1040" w:type="dxa"/>
            <w:tcBorders>
              <w:top w:val="nil"/>
              <w:left w:val="nil"/>
              <w:bottom w:val="nil"/>
              <w:right w:val="nil"/>
            </w:tcBorders>
            <w:shd w:val="clear" w:color="000000" w:fill="FFFFFF"/>
            <w:noWrap/>
            <w:vAlign w:val="bottom"/>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459" w:type="dxa"/>
            <w:tcBorders>
              <w:top w:val="nil"/>
              <w:left w:val="nil"/>
              <w:bottom w:val="nil"/>
              <w:right w:val="nil"/>
            </w:tcBorders>
            <w:shd w:val="clear" w:color="000000" w:fill="FFFFFF"/>
            <w:noWrap/>
            <w:vAlign w:val="bottom"/>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141" w:type="dxa"/>
            <w:tcBorders>
              <w:top w:val="nil"/>
              <w:left w:val="nil"/>
              <w:bottom w:val="nil"/>
              <w:right w:val="nil"/>
            </w:tcBorders>
            <w:shd w:val="clear" w:color="000000" w:fill="FFFFFF"/>
            <w:noWrap/>
            <w:vAlign w:val="bottom"/>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r>
      <w:tr w:rsidR="00CA3107" w:rsidRPr="00CA3107" w:rsidTr="00CA3107">
        <w:trPr>
          <w:trHeight w:val="300"/>
        </w:trPr>
        <w:tc>
          <w:tcPr>
            <w:tcW w:w="1040" w:type="dxa"/>
            <w:tcBorders>
              <w:top w:val="nil"/>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459" w:type="dxa"/>
            <w:tcBorders>
              <w:top w:val="nil"/>
              <w:left w:val="nil"/>
              <w:bottom w:val="nil"/>
              <w:right w:val="nil"/>
            </w:tcBorders>
            <w:shd w:val="clear" w:color="000000" w:fill="FFFFFF"/>
            <w:noWrap/>
            <w:vAlign w:val="bottom"/>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single" w:sz="4" w:space="0" w:color="auto"/>
              <w:left w:val="single" w:sz="4" w:space="0" w:color="auto"/>
              <w:bottom w:val="single" w:sz="4" w:space="0" w:color="auto"/>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Total Beneficios </w:t>
            </w:r>
          </w:p>
        </w:tc>
        <w:tc>
          <w:tcPr>
            <w:tcW w:w="1200" w:type="dxa"/>
            <w:tcBorders>
              <w:top w:val="single" w:sz="4" w:space="0" w:color="auto"/>
              <w:left w:val="nil"/>
              <w:bottom w:val="nil"/>
              <w:right w:val="single" w:sz="4" w:space="0" w:color="auto"/>
            </w:tcBorders>
            <w:shd w:val="clear" w:color="auto" w:fill="auto"/>
            <w:noWrap/>
            <w:vAlign w:val="center"/>
            <w:hideMark/>
          </w:tcPr>
          <w:p w:rsidR="00CA3107" w:rsidRPr="00CA3107" w:rsidRDefault="00CA3107" w:rsidP="00CA3107">
            <w:pPr>
              <w:rPr>
                <w:rFonts w:ascii="Lucida Bright" w:hAnsi="Lucida Bright" w:cs="Calibri"/>
                <w:b/>
                <w:bCs/>
                <w:sz w:val="14"/>
                <w:szCs w:val="14"/>
                <w:lang w:val="es-ES"/>
              </w:rPr>
            </w:pPr>
            <w:r w:rsidRPr="00CA3107">
              <w:rPr>
                <w:rFonts w:ascii="Lucida Bright" w:hAnsi="Lucida Bright" w:cs="Calibri"/>
                <w:b/>
                <w:bCs/>
                <w:sz w:val="14"/>
                <w:szCs w:val="14"/>
                <w:lang w:val="es-ES"/>
              </w:rPr>
              <w:t> </w:t>
            </w:r>
          </w:p>
        </w:tc>
      </w:tr>
      <w:tr w:rsidR="00CA3107" w:rsidRPr="00CA3107" w:rsidTr="00CA3107">
        <w:trPr>
          <w:trHeight w:val="300"/>
        </w:trPr>
        <w:tc>
          <w:tcPr>
            <w:tcW w:w="1040" w:type="dxa"/>
            <w:tcBorders>
              <w:top w:val="nil"/>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459" w:type="dxa"/>
            <w:tcBorders>
              <w:top w:val="nil"/>
              <w:left w:val="nil"/>
              <w:bottom w:val="nil"/>
              <w:right w:val="nil"/>
            </w:tcBorders>
            <w:shd w:val="clear" w:color="000000" w:fill="FFFFFF"/>
            <w:noWrap/>
            <w:vAlign w:val="bottom"/>
            <w:hideMark/>
          </w:tcPr>
          <w:p w:rsidR="00CA3107" w:rsidRPr="00CA3107" w:rsidRDefault="00CA3107" w:rsidP="00CA3107">
            <w:pPr>
              <w:jc w:val="cente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nil"/>
              <w:bottom w:val="nil"/>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200" w:type="dxa"/>
            <w:tcBorders>
              <w:top w:val="nil"/>
              <w:left w:val="single" w:sz="4" w:space="0" w:color="auto"/>
              <w:bottom w:val="single" w:sz="4" w:space="0" w:color="auto"/>
              <w:right w:val="nil"/>
            </w:tcBorders>
            <w:shd w:val="clear" w:color="000000" w:fill="FFFFFF"/>
            <w:noWrap/>
            <w:vAlign w:val="bottom"/>
            <w:hideMark/>
          </w:tcPr>
          <w:p w:rsidR="00CA3107" w:rsidRPr="00CA3107" w:rsidRDefault="00CA3107" w:rsidP="00CA3107">
            <w:pPr>
              <w:rPr>
                <w:rFonts w:ascii="Lucida Bright" w:hAnsi="Lucida Bright" w:cs="Calibri"/>
                <w:sz w:val="14"/>
                <w:szCs w:val="14"/>
                <w:lang w:val="es-ES"/>
              </w:rPr>
            </w:pPr>
            <w:r w:rsidRPr="00CA3107">
              <w:rPr>
                <w:rFonts w:ascii="Lucida Bright" w:hAnsi="Lucida Bright" w:cs="Calibri"/>
                <w:sz w:val="14"/>
                <w:szCs w:val="14"/>
                <w:lang w:val="es-ES"/>
              </w:rPr>
              <w:t> </w:t>
            </w:r>
          </w:p>
        </w:tc>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Total Pérdidas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A3107" w:rsidRPr="00CA3107" w:rsidRDefault="00CA3107" w:rsidP="00CA3107">
            <w:pPr>
              <w:jc w:val="right"/>
              <w:rPr>
                <w:rFonts w:ascii="Lucida Bright" w:hAnsi="Lucida Bright" w:cs="Calibri"/>
                <w:b/>
                <w:bCs/>
                <w:sz w:val="14"/>
                <w:szCs w:val="14"/>
                <w:lang w:val="es-ES"/>
              </w:rPr>
            </w:pPr>
            <w:r w:rsidRPr="00CA3107">
              <w:rPr>
                <w:rFonts w:ascii="Lucida Bright" w:hAnsi="Lucida Bright" w:cs="Calibri"/>
                <w:b/>
                <w:bCs/>
                <w:sz w:val="14"/>
                <w:szCs w:val="14"/>
                <w:lang w:val="es-ES"/>
              </w:rPr>
              <w:t xml:space="preserve">(347.683,77) </w:t>
            </w:r>
          </w:p>
        </w:tc>
      </w:tr>
    </w:tbl>
    <w:p w:rsidR="00730C10" w:rsidRPr="007E1479" w:rsidRDefault="00730C10" w:rsidP="008E6B9A">
      <w:pPr>
        <w:tabs>
          <w:tab w:val="right" w:pos="8364"/>
        </w:tabs>
        <w:jc w:val="both"/>
        <w:rPr>
          <w:rFonts w:ascii="NewBaskerville" w:hAnsi="NewBaskerville"/>
          <w:bCs/>
        </w:rPr>
      </w:pPr>
    </w:p>
    <w:p w:rsidR="007E1479" w:rsidRDefault="007E1479">
      <w:pPr>
        <w:tabs>
          <w:tab w:val="right" w:pos="8364"/>
        </w:tabs>
        <w:ind w:firstLine="540"/>
        <w:jc w:val="both"/>
        <w:rPr>
          <w:bCs/>
        </w:rPr>
      </w:pPr>
    </w:p>
    <w:p w:rsidR="007E1479" w:rsidRDefault="007E1479">
      <w:pPr>
        <w:tabs>
          <w:tab w:val="right" w:pos="8364"/>
        </w:tabs>
        <w:ind w:firstLine="540"/>
        <w:jc w:val="both"/>
        <w:rPr>
          <w:bCs/>
        </w:rPr>
      </w:pPr>
    </w:p>
    <w:p w:rsidR="000B4249" w:rsidRDefault="000B4249" w:rsidP="00187A36">
      <w:pPr>
        <w:tabs>
          <w:tab w:val="right" w:pos="8364"/>
        </w:tabs>
        <w:jc w:val="both"/>
        <w:rPr>
          <w:bCs/>
        </w:rPr>
        <w:sectPr w:rsidR="000B4249" w:rsidSect="00790C4F">
          <w:pgSz w:w="11907" w:h="16840" w:code="9"/>
          <w:pgMar w:top="1701" w:right="1418" w:bottom="1701" w:left="1985" w:header="567" w:footer="720" w:gutter="0"/>
          <w:cols w:space="720"/>
          <w:docGrid w:linePitch="272"/>
        </w:sectPr>
      </w:pPr>
    </w:p>
    <w:p w:rsidR="002C4355" w:rsidRPr="00E73E9C" w:rsidRDefault="00F706A9" w:rsidP="00997D65">
      <w:pPr>
        <w:pStyle w:val="ListParagraph1"/>
        <w:ind w:left="0"/>
        <w:rPr>
          <w:rFonts w:ascii="NewBaskerville" w:hAnsi="NewBaskerville"/>
          <w:b/>
          <w:bCs/>
          <w:sz w:val="24"/>
          <w:szCs w:val="24"/>
        </w:rPr>
      </w:pPr>
      <w:r w:rsidRPr="00E73E9C">
        <w:rPr>
          <w:rFonts w:ascii="NewBaskerville" w:hAnsi="NewBaskerville"/>
          <w:b/>
          <w:bCs/>
          <w:sz w:val="24"/>
          <w:szCs w:val="24"/>
        </w:rPr>
        <w:lastRenderedPageBreak/>
        <w:t>7</w:t>
      </w:r>
      <w:r w:rsidR="00F348FE" w:rsidRPr="00E73E9C">
        <w:rPr>
          <w:rFonts w:ascii="NewBaskerville" w:hAnsi="NewBaskerville"/>
          <w:b/>
          <w:bCs/>
          <w:sz w:val="24"/>
          <w:szCs w:val="24"/>
        </w:rPr>
        <w:t xml:space="preserve">. </w:t>
      </w:r>
      <w:r w:rsidR="002C4355" w:rsidRPr="00E73E9C">
        <w:rPr>
          <w:rFonts w:ascii="NewBaskerville" w:hAnsi="NewBaskerville"/>
          <w:b/>
          <w:bCs/>
          <w:sz w:val="24"/>
          <w:szCs w:val="24"/>
        </w:rPr>
        <w:t>Inversiones inmobiliarias</w:t>
      </w:r>
    </w:p>
    <w:p w:rsidR="008323F0" w:rsidRDefault="008323F0" w:rsidP="008323F0">
      <w:pPr>
        <w:ind w:right="35"/>
        <w:rPr>
          <w:rFonts w:ascii="Lucida Bright" w:eastAsia="Lucida Bright" w:hAnsi="Lucida Bright" w:cs="Lucida Bright"/>
          <w:b/>
          <w:bCs/>
          <w:color w:val="000000"/>
          <w:sz w:val="14"/>
        </w:rPr>
      </w:pPr>
    </w:p>
    <w:tbl>
      <w:tblPr>
        <w:tblpPr w:leftFromText="141" w:rightFromText="141" w:vertAnchor="text" w:horzAnchor="margin" w:tblpXSpec="center" w:tblpY="-52"/>
        <w:tblW w:w="5060" w:type="pct"/>
        <w:tblCellMar>
          <w:left w:w="70" w:type="dxa"/>
          <w:right w:w="70" w:type="dxa"/>
        </w:tblCellMar>
        <w:tblLook w:val="04A0" w:firstRow="1" w:lastRow="0" w:firstColumn="1" w:lastColumn="0" w:noHBand="0" w:noVBand="1"/>
      </w:tblPr>
      <w:tblGrid>
        <w:gridCol w:w="3055"/>
        <w:gridCol w:w="208"/>
        <w:gridCol w:w="1212"/>
        <w:gridCol w:w="1098"/>
        <w:gridCol w:w="987"/>
        <w:gridCol w:w="961"/>
        <w:gridCol w:w="917"/>
        <w:gridCol w:w="1293"/>
        <w:gridCol w:w="1029"/>
        <w:gridCol w:w="872"/>
        <w:gridCol w:w="898"/>
        <w:gridCol w:w="1212"/>
      </w:tblGrid>
      <w:tr w:rsidR="00FE2D1C" w:rsidRPr="00FE2D1C" w:rsidTr="00FE2D1C">
        <w:trPr>
          <w:trHeight w:val="300"/>
        </w:trPr>
        <w:tc>
          <w:tcPr>
            <w:tcW w:w="2387" w:type="pct"/>
            <w:gridSpan w:val="5"/>
            <w:tcBorders>
              <w:top w:val="nil"/>
              <w:left w:val="nil"/>
              <w:bottom w:val="single" w:sz="4" w:space="0" w:color="auto"/>
              <w:right w:val="nil"/>
            </w:tcBorders>
            <w:shd w:val="clear" w:color="auto" w:fill="auto"/>
            <w:noWrap/>
            <w:vAlign w:val="bottom"/>
            <w:hideMark/>
          </w:tcPr>
          <w:p w:rsidR="00FE2D1C" w:rsidRPr="00FE2D1C" w:rsidRDefault="00FE2D1C" w:rsidP="00FE2D1C">
            <w:pPr>
              <w:rPr>
                <w:rFonts w:ascii="Lucida Bright" w:hAnsi="Lucida Bright" w:cs="Calibri"/>
                <w:b/>
                <w:bCs/>
                <w:sz w:val="18"/>
                <w:szCs w:val="18"/>
                <w:lang w:val="es-ES"/>
              </w:rPr>
            </w:pPr>
            <w:r w:rsidRPr="00FE2D1C">
              <w:rPr>
                <w:rFonts w:ascii="Lucida Bright" w:hAnsi="Lucida Bright" w:cs="Calibri"/>
                <w:b/>
                <w:bCs/>
                <w:sz w:val="18"/>
                <w:szCs w:val="18"/>
                <w:lang w:val="es-ES"/>
              </w:rPr>
              <w:t>CUADRO: INVERSIONES INMOBILIARIAS 2023</w:t>
            </w:r>
          </w:p>
        </w:tc>
        <w:tc>
          <w:tcPr>
            <w:tcW w:w="350" w:type="pct"/>
            <w:tcBorders>
              <w:top w:val="nil"/>
              <w:left w:val="nil"/>
              <w:bottom w:val="nil"/>
              <w:right w:val="nil"/>
            </w:tcBorders>
            <w:shd w:val="clear" w:color="000000" w:fill="FFFFFF"/>
            <w:noWrap/>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34" w:type="pct"/>
            <w:tcBorders>
              <w:top w:val="nil"/>
              <w:left w:val="nil"/>
              <w:bottom w:val="nil"/>
              <w:right w:val="nil"/>
            </w:tcBorders>
            <w:shd w:val="clear" w:color="000000" w:fill="FFFFFF"/>
            <w:noWrap/>
            <w:vAlign w:val="bottom"/>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(en euros)</w:t>
            </w:r>
          </w:p>
        </w:tc>
        <w:tc>
          <w:tcPr>
            <w:tcW w:w="470" w:type="pct"/>
            <w:tcBorders>
              <w:top w:val="nil"/>
              <w:left w:val="nil"/>
              <w:bottom w:val="nil"/>
              <w:right w:val="nil"/>
            </w:tcBorders>
            <w:shd w:val="clear" w:color="000000" w:fill="FFFFFF"/>
            <w:noWrap/>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74" w:type="pct"/>
            <w:tcBorders>
              <w:top w:val="nil"/>
              <w:left w:val="nil"/>
              <w:bottom w:val="nil"/>
              <w:right w:val="nil"/>
            </w:tcBorders>
            <w:shd w:val="clear" w:color="000000" w:fill="FFFFFF"/>
            <w:noWrap/>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17" w:type="pct"/>
            <w:tcBorders>
              <w:top w:val="nil"/>
              <w:left w:val="nil"/>
              <w:bottom w:val="nil"/>
              <w:right w:val="nil"/>
            </w:tcBorders>
            <w:shd w:val="clear" w:color="000000" w:fill="FFFFFF"/>
            <w:noWrap/>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27" w:type="pct"/>
            <w:tcBorders>
              <w:top w:val="nil"/>
              <w:left w:val="nil"/>
              <w:bottom w:val="nil"/>
              <w:right w:val="nil"/>
            </w:tcBorders>
            <w:shd w:val="clear" w:color="000000" w:fill="FFFFFF"/>
            <w:noWrap/>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1" w:type="pct"/>
            <w:tcBorders>
              <w:top w:val="nil"/>
              <w:left w:val="nil"/>
              <w:bottom w:val="nil"/>
              <w:right w:val="nil"/>
            </w:tcBorders>
            <w:shd w:val="clear" w:color="000000" w:fill="FFFFFF"/>
            <w:noWrap/>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r>
      <w:tr w:rsidR="00FE2D1C" w:rsidRPr="00FE2D1C" w:rsidTr="00FE2D1C">
        <w:trPr>
          <w:trHeight w:val="900"/>
        </w:trPr>
        <w:tc>
          <w:tcPr>
            <w:tcW w:w="1111" w:type="pct"/>
            <w:tcBorders>
              <w:top w:val="nil"/>
              <w:left w:val="single" w:sz="4" w:space="0" w:color="auto"/>
              <w:bottom w:val="single" w:sz="4" w:space="0" w:color="auto"/>
              <w:right w:val="nil"/>
            </w:tcBorders>
            <w:shd w:val="clear" w:color="000000" w:fill="CCFFCC"/>
            <w:noWrap/>
            <w:vAlign w:val="center"/>
            <w:hideMark/>
          </w:tcPr>
          <w:p w:rsidR="00FE2D1C" w:rsidRPr="00FE2D1C" w:rsidRDefault="00FE2D1C" w:rsidP="00FE2D1C">
            <w:pPr>
              <w:jc w:val="center"/>
              <w:rPr>
                <w:rFonts w:ascii="Lucida Bright" w:hAnsi="Lucida Bright" w:cs="Calibri"/>
                <w:b/>
                <w:bCs/>
                <w:sz w:val="14"/>
                <w:szCs w:val="14"/>
                <w:lang w:val="es-ES"/>
              </w:rPr>
            </w:pPr>
            <w:r w:rsidRPr="00FE2D1C">
              <w:rPr>
                <w:rFonts w:ascii="Lucida Bright" w:hAnsi="Lucida Bright" w:cs="Calibri"/>
                <w:b/>
                <w:bCs/>
                <w:sz w:val="14"/>
                <w:szCs w:val="14"/>
                <w:lang w:val="es-ES"/>
              </w:rPr>
              <w:t>CONCEPTO</w:t>
            </w:r>
          </w:p>
        </w:tc>
        <w:tc>
          <w:tcPr>
            <w:tcW w:w="76" w:type="pct"/>
            <w:tcBorders>
              <w:top w:val="nil"/>
              <w:left w:val="nil"/>
              <w:bottom w:val="single" w:sz="4" w:space="0" w:color="auto"/>
              <w:right w:val="single" w:sz="4" w:space="0" w:color="auto"/>
            </w:tcBorders>
            <w:shd w:val="clear" w:color="000000" w:fill="CCFFCC"/>
            <w:noWrap/>
            <w:vAlign w:val="bottom"/>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1" w:type="pct"/>
            <w:tcBorders>
              <w:top w:val="nil"/>
              <w:left w:val="nil"/>
              <w:bottom w:val="nil"/>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Saldo a</w:t>
            </w:r>
            <w:r w:rsidRPr="00FE2D1C">
              <w:rPr>
                <w:rFonts w:ascii="Lucida Bright" w:hAnsi="Lucida Bright" w:cs="Calibri"/>
                <w:sz w:val="14"/>
                <w:szCs w:val="14"/>
                <w:lang w:val="es-ES"/>
              </w:rPr>
              <w:br/>
              <w:t>31-12-22</w:t>
            </w:r>
          </w:p>
        </w:tc>
        <w:tc>
          <w:tcPr>
            <w:tcW w:w="400" w:type="pct"/>
            <w:tcBorders>
              <w:top w:val="nil"/>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Adquisiciones (+)</w:t>
            </w:r>
          </w:p>
        </w:tc>
        <w:tc>
          <w:tcPr>
            <w:tcW w:w="359" w:type="pct"/>
            <w:tcBorders>
              <w:top w:val="nil"/>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Concesiones revertidas, donaciones y legados (+)</w:t>
            </w:r>
          </w:p>
        </w:tc>
        <w:tc>
          <w:tcPr>
            <w:tcW w:w="350" w:type="pct"/>
            <w:tcBorders>
              <w:top w:val="single" w:sz="4" w:space="0" w:color="auto"/>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Rescate anticipado de concesiones (+)</w:t>
            </w:r>
          </w:p>
        </w:tc>
        <w:tc>
          <w:tcPr>
            <w:tcW w:w="334" w:type="pct"/>
            <w:tcBorders>
              <w:top w:val="single" w:sz="4" w:space="0" w:color="auto"/>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Ventas, retiros y bajas (-)</w:t>
            </w:r>
          </w:p>
        </w:tc>
        <w:tc>
          <w:tcPr>
            <w:tcW w:w="470" w:type="pct"/>
            <w:tcBorders>
              <w:top w:val="single" w:sz="4" w:space="0" w:color="auto"/>
              <w:left w:val="nil"/>
              <w:bottom w:val="nil"/>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Reclasificaciones (+/-)</w:t>
            </w:r>
          </w:p>
        </w:tc>
        <w:tc>
          <w:tcPr>
            <w:tcW w:w="374" w:type="pct"/>
            <w:tcBorders>
              <w:top w:val="single" w:sz="4" w:space="0" w:color="auto"/>
              <w:left w:val="nil"/>
              <w:bottom w:val="nil"/>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Traspaso a/de inmovilizado material (+/-)</w:t>
            </w:r>
          </w:p>
        </w:tc>
        <w:tc>
          <w:tcPr>
            <w:tcW w:w="317" w:type="pct"/>
            <w:tcBorders>
              <w:top w:val="single" w:sz="4" w:space="0" w:color="auto"/>
              <w:left w:val="nil"/>
              <w:bottom w:val="nil"/>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Traspaso a activo no corriente mantenido para la venta (-)</w:t>
            </w:r>
          </w:p>
        </w:tc>
        <w:tc>
          <w:tcPr>
            <w:tcW w:w="327" w:type="pct"/>
            <w:tcBorders>
              <w:top w:val="single" w:sz="4" w:space="0" w:color="auto"/>
              <w:left w:val="nil"/>
              <w:bottom w:val="nil"/>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proofErr w:type="spellStart"/>
            <w:r w:rsidRPr="00FE2D1C">
              <w:rPr>
                <w:rFonts w:ascii="Lucida Bright" w:hAnsi="Lucida Bright" w:cs="Calibri"/>
                <w:sz w:val="14"/>
                <w:szCs w:val="14"/>
                <w:lang w:val="es-ES"/>
              </w:rPr>
              <w:t>Transf</w:t>
            </w:r>
            <w:proofErr w:type="spellEnd"/>
            <w:r w:rsidRPr="00FE2D1C">
              <w:rPr>
                <w:rFonts w:ascii="Lucida Bright" w:hAnsi="Lucida Bright" w:cs="Calibri"/>
                <w:sz w:val="14"/>
                <w:szCs w:val="14"/>
                <w:lang w:val="es-ES"/>
              </w:rPr>
              <w:t xml:space="preserve">. </w:t>
            </w:r>
            <w:proofErr w:type="gramStart"/>
            <w:r w:rsidRPr="00FE2D1C">
              <w:rPr>
                <w:rFonts w:ascii="Lucida Bright" w:hAnsi="Lucida Bright" w:cs="Calibri"/>
                <w:sz w:val="14"/>
                <w:szCs w:val="14"/>
                <w:lang w:val="es-ES"/>
              </w:rPr>
              <w:t>a</w:t>
            </w:r>
            <w:proofErr w:type="gramEnd"/>
            <w:r w:rsidRPr="00FE2D1C">
              <w:rPr>
                <w:rFonts w:ascii="Lucida Bright" w:hAnsi="Lucida Bright" w:cs="Calibri"/>
                <w:sz w:val="14"/>
                <w:szCs w:val="14"/>
                <w:lang w:val="es-ES"/>
              </w:rPr>
              <w:t xml:space="preserve"> otros </w:t>
            </w:r>
            <w:proofErr w:type="spellStart"/>
            <w:r w:rsidRPr="00FE2D1C">
              <w:rPr>
                <w:rFonts w:ascii="Lucida Bright" w:hAnsi="Lucida Bright" w:cs="Calibri"/>
                <w:sz w:val="14"/>
                <w:szCs w:val="14"/>
                <w:lang w:val="es-ES"/>
              </w:rPr>
              <w:t>Org</w:t>
            </w:r>
            <w:proofErr w:type="spellEnd"/>
            <w:r w:rsidRPr="00FE2D1C">
              <w:rPr>
                <w:rFonts w:ascii="Lucida Bright" w:hAnsi="Lucida Bright" w:cs="Calibri"/>
                <w:sz w:val="14"/>
                <w:szCs w:val="14"/>
                <w:lang w:val="es-ES"/>
              </w:rPr>
              <w:t xml:space="preserve">. </w:t>
            </w:r>
            <w:proofErr w:type="spellStart"/>
            <w:r w:rsidRPr="00FE2D1C">
              <w:rPr>
                <w:rFonts w:ascii="Lucida Bright" w:hAnsi="Lucida Bright" w:cs="Calibri"/>
                <w:sz w:val="14"/>
                <w:szCs w:val="14"/>
                <w:lang w:val="es-ES"/>
              </w:rPr>
              <w:t>Públ</w:t>
            </w:r>
            <w:proofErr w:type="spellEnd"/>
            <w:r w:rsidRPr="00FE2D1C">
              <w:rPr>
                <w:rFonts w:ascii="Lucida Bright" w:hAnsi="Lucida Bright" w:cs="Calibri"/>
                <w:sz w:val="14"/>
                <w:szCs w:val="14"/>
                <w:lang w:val="es-ES"/>
              </w:rPr>
              <w:t>. y Ajustes contra patrimonio (+/-)</w:t>
            </w:r>
          </w:p>
        </w:tc>
        <w:tc>
          <w:tcPr>
            <w:tcW w:w="441" w:type="pct"/>
            <w:tcBorders>
              <w:top w:val="single" w:sz="4" w:space="0" w:color="auto"/>
              <w:left w:val="nil"/>
              <w:bottom w:val="nil"/>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Saldo a</w:t>
            </w:r>
            <w:r w:rsidRPr="00FE2D1C">
              <w:rPr>
                <w:rFonts w:ascii="Lucida Bright" w:hAnsi="Lucida Bright" w:cs="Calibri"/>
                <w:sz w:val="14"/>
                <w:szCs w:val="14"/>
                <w:lang w:val="es-ES"/>
              </w:rPr>
              <w:br/>
              <w:t>31-12-23</w:t>
            </w:r>
          </w:p>
        </w:tc>
      </w:tr>
      <w:tr w:rsidR="00FE2D1C" w:rsidRPr="00FE2D1C" w:rsidTr="00FE2D1C">
        <w:trPr>
          <w:trHeight w:val="210"/>
        </w:trPr>
        <w:tc>
          <w:tcPr>
            <w:tcW w:w="118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xml:space="preserve"> a) Terrenos</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64.033.614,39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470" w:type="pct"/>
            <w:tcBorders>
              <w:top w:val="single" w:sz="4" w:space="0" w:color="auto"/>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374" w:type="pct"/>
            <w:tcBorders>
              <w:top w:val="single" w:sz="4" w:space="0" w:color="auto"/>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327" w:type="pct"/>
            <w:tcBorders>
              <w:top w:val="single" w:sz="4" w:space="0" w:color="auto"/>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441" w:type="pct"/>
            <w:tcBorders>
              <w:top w:val="single" w:sz="4" w:space="0" w:color="auto"/>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64.033.614,39 </w:t>
            </w:r>
          </w:p>
        </w:tc>
      </w:tr>
      <w:tr w:rsidR="00FE2D1C" w:rsidRPr="00FE2D1C" w:rsidTr="00FE2D1C">
        <w:trPr>
          <w:trHeight w:val="210"/>
        </w:trPr>
        <w:tc>
          <w:tcPr>
            <w:tcW w:w="118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xml:space="preserve"> b) Construcciones</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51.269.822,38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151.756,91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(91.671,62) </w:t>
            </w:r>
          </w:p>
        </w:tc>
        <w:tc>
          <w:tcPr>
            <w:tcW w:w="47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(1,98) </w:t>
            </w:r>
          </w:p>
        </w:tc>
        <w:tc>
          <w:tcPr>
            <w:tcW w:w="37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448.967,27 </w:t>
            </w:r>
          </w:p>
        </w:tc>
        <w:tc>
          <w:tcPr>
            <w:tcW w:w="31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2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51.778.872,96 </w:t>
            </w:r>
          </w:p>
        </w:tc>
      </w:tr>
      <w:tr w:rsidR="00FE2D1C" w:rsidRPr="00FE2D1C" w:rsidTr="00FE2D1C">
        <w:trPr>
          <w:trHeight w:val="210"/>
        </w:trPr>
        <w:tc>
          <w:tcPr>
            <w:tcW w:w="118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Accesos marítimos</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7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2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r>
      <w:tr w:rsidR="00FE2D1C" w:rsidRPr="00FE2D1C" w:rsidTr="00FE2D1C">
        <w:trPr>
          <w:trHeight w:val="210"/>
        </w:trPr>
        <w:tc>
          <w:tcPr>
            <w:tcW w:w="118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Obras de abrigo y defensa</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7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2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r>
      <w:tr w:rsidR="00FE2D1C" w:rsidRPr="00FE2D1C" w:rsidTr="00FE2D1C">
        <w:trPr>
          <w:trHeight w:val="210"/>
        </w:trPr>
        <w:tc>
          <w:tcPr>
            <w:tcW w:w="118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Obras de atraque</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1.871.584,52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7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2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1.871.584,52 </w:t>
            </w:r>
          </w:p>
        </w:tc>
      </w:tr>
      <w:tr w:rsidR="00FE2D1C" w:rsidRPr="00FE2D1C" w:rsidTr="00FE2D1C">
        <w:trPr>
          <w:trHeight w:val="210"/>
        </w:trPr>
        <w:tc>
          <w:tcPr>
            <w:tcW w:w="118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Instalaciones para reparación de barcos</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1.578.464,86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7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(1,98) </w:t>
            </w:r>
          </w:p>
        </w:tc>
        <w:tc>
          <w:tcPr>
            <w:tcW w:w="37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2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1.578.462,88 </w:t>
            </w:r>
          </w:p>
        </w:tc>
      </w:tr>
      <w:tr w:rsidR="00FE2D1C" w:rsidRPr="00FE2D1C" w:rsidTr="00FE2D1C">
        <w:trPr>
          <w:trHeight w:val="210"/>
        </w:trPr>
        <w:tc>
          <w:tcPr>
            <w:tcW w:w="118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Edificaciones</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20.354.692,37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151.756,91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(91.671,62) </w:t>
            </w:r>
          </w:p>
        </w:tc>
        <w:tc>
          <w:tcPr>
            <w:tcW w:w="47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448.967,27 </w:t>
            </w:r>
          </w:p>
        </w:tc>
        <w:tc>
          <w:tcPr>
            <w:tcW w:w="31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2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20.863.744,93 </w:t>
            </w:r>
          </w:p>
        </w:tc>
      </w:tr>
      <w:tr w:rsidR="00FE2D1C" w:rsidRPr="00FE2D1C" w:rsidTr="00FE2D1C">
        <w:trPr>
          <w:trHeight w:val="210"/>
        </w:trPr>
        <w:tc>
          <w:tcPr>
            <w:tcW w:w="118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Instalaciones generales</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876.476,18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7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2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876.476,18 </w:t>
            </w:r>
          </w:p>
        </w:tc>
      </w:tr>
      <w:tr w:rsidR="00FE2D1C" w:rsidRPr="00FE2D1C" w:rsidTr="00FE2D1C">
        <w:trPr>
          <w:trHeight w:val="210"/>
        </w:trPr>
        <w:tc>
          <w:tcPr>
            <w:tcW w:w="118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Pavimentos, calzadas y vías de circulación</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26.588.604,45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7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2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26.588.604,45 </w:t>
            </w:r>
          </w:p>
        </w:tc>
      </w:tr>
      <w:tr w:rsidR="00FE2D1C" w:rsidRPr="00FE2D1C" w:rsidTr="00FE2D1C">
        <w:trPr>
          <w:trHeight w:val="210"/>
        </w:trPr>
        <w:tc>
          <w:tcPr>
            <w:tcW w:w="1111" w:type="pct"/>
            <w:tcBorders>
              <w:top w:val="nil"/>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jc w:val="center"/>
              <w:rPr>
                <w:rFonts w:ascii="Lucida Bright" w:hAnsi="Lucida Bright" w:cs="Calibri"/>
                <w:b/>
                <w:bCs/>
                <w:sz w:val="14"/>
                <w:szCs w:val="14"/>
                <w:lang w:val="es-ES"/>
              </w:rPr>
            </w:pPr>
            <w:r w:rsidRPr="00FE2D1C">
              <w:rPr>
                <w:rFonts w:ascii="Lucida Bright" w:hAnsi="Lucida Bright" w:cs="Calibri"/>
                <w:b/>
                <w:bCs/>
                <w:sz w:val="14"/>
                <w:szCs w:val="14"/>
                <w:lang w:val="es-ES"/>
              </w:rPr>
              <w:t>TOTAL</w:t>
            </w:r>
          </w:p>
        </w:tc>
        <w:tc>
          <w:tcPr>
            <w:tcW w:w="7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115.303.436,77 </w:t>
            </w:r>
          </w:p>
        </w:tc>
        <w:tc>
          <w:tcPr>
            <w:tcW w:w="40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151.756,91 </w:t>
            </w:r>
          </w:p>
        </w:tc>
        <w:tc>
          <w:tcPr>
            <w:tcW w:w="359"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5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(91.671,62) </w:t>
            </w:r>
          </w:p>
        </w:tc>
        <w:tc>
          <w:tcPr>
            <w:tcW w:w="470"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(1,98) </w:t>
            </w:r>
          </w:p>
        </w:tc>
        <w:tc>
          <w:tcPr>
            <w:tcW w:w="37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448.967,27 </w:t>
            </w:r>
          </w:p>
        </w:tc>
        <w:tc>
          <w:tcPr>
            <w:tcW w:w="31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27"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44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115.812.487,35 </w:t>
            </w:r>
          </w:p>
        </w:tc>
      </w:tr>
    </w:tbl>
    <w:p w:rsidR="00FE2D1C" w:rsidRDefault="00FE2D1C" w:rsidP="008323F0">
      <w:pPr>
        <w:ind w:right="35"/>
        <w:rPr>
          <w:rFonts w:ascii="Lucida Bright" w:eastAsia="Lucida Bright" w:hAnsi="Lucida Bright" w:cs="Lucida Bright"/>
          <w:b/>
          <w:bCs/>
          <w:color w:val="000000"/>
          <w:sz w:val="14"/>
        </w:rPr>
      </w:pPr>
    </w:p>
    <w:tbl>
      <w:tblPr>
        <w:tblW w:w="5037" w:type="pct"/>
        <w:tblCellMar>
          <w:left w:w="70" w:type="dxa"/>
          <w:right w:w="70" w:type="dxa"/>
        </w:tblCellMar>
        <w:tblLook w:val="04A0" w:firstRow="1" w:lastRow="0" w:firstColumn="1" w:lastColumn="0" w:noHBand="0" w:noVBand="1"/>
      </w:tblPr>
      <w:tblGrid>
        <w:gridCol w:w="2919"/>
        <w:gridCol w:w="259"/>
        <w:gridCol w:w="1726"/>
        <w:gridCol w:w="1379"/>
        <w:gridCol w:w="1267"/>
        <w:gridCol w:w="1734"/>
        <w:gridCol w:w="1220"/>
        <w:gridCol w:w="974"/>
        <w:gridCol w:w="974"/>
        <w:gridCol w:w="1226"/>
      </w:tblGrid>
      <w:tr w:rsidR="00FE2D1C" w:rsidRPr="00FE2D1C" w:rsidTr="003A3F89">
        <w:trPr>
          <w:trHeight w:val="300"/>
        </w:trPr>
        <w:tc>
          <w:tcPr>
            <w:tcW w:w="3840" w:type="pct"/>
            <w:gridSpan w:val="7"/>
            <w:tcBorders>
              <w:top w:val="nil"/>
              <w:left w:val="nil"/>
              <w:bottom w:val="single" w:sz="4" w:space="0" w:color="auto"/>
              <w:right w:val="nil"/>
            </w:tcBorders>
            <w:shd w:val="clear" w:color="auto" w:fill="auto"/>
            <w:noWrap/>
            <w:vAlign w:val="bottom"/>
            <w:hideMark/>
          </w:tcPr>
          <w:p w:rsidR="00FE2D1C" w:rsidRPr="00FE2D1C" w:rsidRDefault="00FE2D1C" w:rsidP="00FE2D1C">
            <w:pPr>
              <w:rPr>
                <w:rFonts w:ascii="Lucida Bright" w:hAnsi="Lucida Bright" w:cs="Calibri"/>
                <w:b/>
                <w:bCs/>
                <w:sz w:val="18"/>
                <w:szCs w:val="18"/>
                <w:lang w:val="es-ES"/>
              </w:rPr>
            </w:pPr>
            <w:r w:rsidRPr="00FE2D1C">
              <w:rPr>
                <w:rFonts w:ascii="Lucida Bright" w:hAnsi="Lucida Bright" w:cs="Calibri"/>
                <w:b/>
                <w:bCs/>
                <w:sz w:val="18"/>
                <w:szCs w:val="18"/>
                <w:lang w:val="es-ES"/>
              </w:rPr>
              <w:t>CUADRO: AMORTIZACIÓN ACUMULADA DE LAS INVERSIONES INMOBILIARIAS 2023</w:t>
            </w:r>
          </w:p>
        </w:tc>
        <w:tc>
          <w:tcPr>
            <w:tcW w:w="356" w:type="pct"/>
            <w:tcBorders>
              <w:top w:val="nil"/>
              <w:left w:val="nil"/>
              <w:bottom w:val="nil"/>
              <w:right w:val="nil"/>
            </w:tcBorders>
            <w:shd w:val="clear" w:color="000000" w:fill="FFFFFF"/>
            <w:noWrap/>
            <w:vAlign w:val="bottom"/>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(en euros)</w:t>
            </w:r>
          </w:p>
        </w:tc>
        <w:tc>
          <w:tcPr>
            <w:tcW w:w="356" w:type="pct"/>
            <w:tcBorders>
              <w:top w:val="nil"/>
              <w:left w:val="nil"/>
              <w:bottom w:val="nil"/>
              <w:right w:val="nil"/>
            </w:tcBorders>
            <w:shd w:val="clear" w:color="000000" w:fill="FFFFFF"/>
            <w:noWrap/>
            <w:hideMark/>
          </w:tcPr>
          <w:p w:rsidR="00FE2D1C" w:rsidRPr="00FE2D1C" w:rsidRDefault="00FE2D1C" w:rsidP="00FE2D1C">
            <w:pPr>
              <w:rPr>
                <w:rFonts w:ascii="Lucida Bright" w:hAnsi="Lucida Bright" w:cs="Calibri"/>
                <w:sz w:val="18"/>
                <w:szCs w:val="18"/>
                <w:lang w:val="es-ES"/>
              </w:rPr>
            </w:pPr>
            <w:r w:rsidRPr="00FE2D1C">
              <w:rPr>
                <w:rFonts w:ascii="Lucida Bright" w:hAnsi="Lucida Bright" w:cs="Calibri"/>
                <w:sz w:val="18"/>
                <w:szCs w:val="18"/>
                <w:lang w:val="es-ES"/>
              </w:rPr>
              <w:t> </w:t>
            </w:r>
          </w:p>
        </w:tc>
        <w:tc>
          <w:tcPr>
            <w:tcW w:w="448" w:type="pct"/>
            <w:tcBorders>
              <w:top w:val="nil"/>
              <w:left w:val="nil"/>
              <w:bottom w:val="nil"/>
              <w:right w:val="nil"/>
            </w:tcBorders>
            <w:shd w:val="clear" w:color="000000" w:fill="FFFFFF"/>
            <w:noWrap/>
            <w:hideMark/>
          </w:tcPr>
          <w:p w:rsidR="00FE2D1C" w:rsidRPr="00FE2D1C" w:rsidRDefault="00FE2D1C" w:rsidP="00FE2D1C">
            <w:pPr>
              <w:rPr>
                <w:rFonts w:ascii="Lucida Bright" w:hAnsi="Lucida Bright" w:cs="Calibri"/>
                <w:sz w:val="18"/>
                <w:szCs w:val="18"/>
                <w:lang w:val="es-ES"/>
              </w:rPr>
            </w:pPr>
            <w:r w:rsidRPr="00FE2D1C">
              <w:rPr>
                <w:rFonts w:ascii="Lucida Bright" w:hAnsi="Lucida Bright" w:cs="Calibri"/>
                <w:sz w:val="18"/>
                <w:szCs w:val="18"/>
                <w:lang w:val="es-ES"/>
              </w:rPr>
              <w:t> </w:t>
            </w:r>
          </w:p>
        </w:tc>
      </w:tr>
      <w:tr w:rsidR="00FE2D1C" w:rsidRPr="00FE2D1C" w:rsidTr="003A3F89">
        <w:trPr>
          <w:trHeight w:val="720"/>
        </w:trPr>
        <w:tc>
          <w:tcPr>
            <w:tcW w:w="1162" w:type="pct"/>
            <w:gridSpan w:val="2"/>
            <w:tcBorders>
              <w:top w:val="single" w:sz="4" w:space="0" w:color="auto"/>
              <w:left w:val="single" w:sz="4" w:space="0" w:color="auto"/>
              <w:bottom w:val="single" w:sz="4" w:space="0" w:color="auto"/>
              <w:right w:val="single" w:sz="4" w:space="0" w:color="000000"/>
            </w:tcBorders>
            <w:shd w:val="clear" w:color="000000" w:fill="CCFFCC"/>
            <w:vAlign w:val="center"/>
            <w:hideMark/>
          </w:tcPr>
          <w:p w:rsidR="00FE2D1C" w:rsidRPr="00FE2D1C" w:rsidRDefault="00FE2D1C" w:rsidP="00FE2D1C">
            <w:pPr>
              <w:jc w:val="center"/>
              <w:rPr>
                <w:rFonts w:ascii="Lucida Bright" w:hAnsi="Lucida Bright" w:cs="Calibri"/>
                <w:b/>
                <w:bCs/>
                <w:sz w:val="14"/>
                <w:szCs w:val="14"/>
                <w:lang w:val="es-ES"/>
              </w:rPr>
            </w:pPr>
            <w:r w:rsidRPr="00FE2D1C">
              <w:rPr>
                <w:rFonts w:ascii="Lucida Bright" w:hAnsi="Lucida Bright" w:cs="Calibri"/>
                <w:b/>
                <w:bCs/>
                <w:sz w:val="14"/>
                <w:szCs w:val="14"/>
                <w:lang w:val="es-ES"/>
              </w:rPr>
              <w:t>CONCEPTO</w:t>
            </w:r>
          </w:p>
        </w:tc>
        <w:tc>
          <w:tcPr>
            <w:tcW w:w="631" w:type="pct"/>
            <w:tcBorders>
              <w:top w:val="nil"/>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Saldo a</w:t>
            </w:r>
            <w:r w:rsidRPr="00FE2D1C">
              <w:rPr>
                <w:rFonts w:ascii="Lucida Bright" w:hAnsi="Lucida Bright" w:cs="Calibri"/>
                <w:sz w:val="14"/>
                <w:szCs w:val="14"/>
                <w:lang w:val="es-ES"/>
              </w:rPr>
              <w:br/>
              <w:t>31-12-22</w:t>
            </w:r>
          </w:p>
        </w:tc>
        <w:tc>
          <w:tcPr>
            <w:tcW w:w="504" w:type="pct"/>
            <w:tcBorders>
              <w:top w:val="nil"/>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Dotaciones</w:t>
            </w:r>
            <w:r w:rsidRPr="00FE2D1C">
              <w:rPr>
                <w:rFonts w:ascii="Lucida Bright" w:hAnsi="Lucida Bright" w:cs="Calibri"/>
                <w:sz w:val="14"/>
                <w:szCs w:val="14"/>
                <w:lang w:val="es-ES"/>
              </w:rPr>
              <w:br/>
              <w:t>(+)</w:t>
            </w:r>
          </w:p>
        </w:tc>
        <w:tc>
          <w:tcPr>
            <w:tcW w:w="463" w:type="pct"/>
            <w:tcBorders>
              <w:top w:val="nil"/>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Ventas, retiros y bajas (-)</w:t>
            </w:r>
          </w:p>
        </w:tc>
        <w:tc>
          <w:tcPr>
            <w:tcW w:w="634" w:type="pct"/>
            <w:tcBorders>
              <w:top w:val="nil"/>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Reclasificaciones (+/-)</w:t>
            </w:r>
          </w:p>
        </w:tc>
        <w:tc>
          <w:tcPr>
            <w:tcW w:w="446" w:type="pct"/>
            <w:tcBorders>
              <w:top w:val="nil"/>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Traspaso a/de inmovilizado material (+/-)</w:t>
            </w:r>
          </w:p>
        </w:tc>
        <w:tc>
          <w:tcPr>
            <w:tcW w:w="356" w:type="pct"/>
            <w:tcBorders>
              <w:top w:val="single" w:sz="4" w:space="0" w:color="auto"/>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proofErr w:type="spellStart"/>
            <w:r w:rsidRPr="00FE2D1C">
              <w:rPr>
                <w:rFonts w:ascii="Lucida Bright" w:hAnsi="Lucida Bright" w:cs="Calibri"/>
                <w:sz w:val="14"/>
                <w:szCs w:val="14"/>
                <w:lang w:val="es-ES"/>
              </w:rPr>
              <w:t>Trasp</w:t>
            </w:r>
            <w:proofErr w:type="spellEnd"/>
            <w:r w:rsidRPr="00FE2D1C">
              <w:rPr>
                <w:rFonts w:ascii="Lucida Bright" w:hAnsi="Lucida Bright" w:cs="Calibri"/>
                <w:sz w:val="14"/>
                <w:szCs w:val="14"/>
                <w:lang w:val="es-ES"/>
              </w:rPr>
              <w:t>. a activo no corriente mantenido para la venta (-)</w:t>
            </w:r>
          </w:p>
        </w:tc>
        <w:tc>
          <w:tcPr>
            <w:tcW w:w="356" w:type="pct"/>
            <w:tcBorders>
              <w:top w:val="single" w:sz="4" w:space="0" w:color="auto"/>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proofErr w:type="spellStart"/>
            <w:r w:rsidRPr="00FE2D1C">
              <w:rPr>
                <w:rFonts w:ascii="Lucida Bright" w:hAnsi="Lucida Bright" w:cs="Calibri"/>
                <w:sz w:val="14"/>
                <w:szCs w:val="14"/>
                <w:lang w:val="es-ES"/>
              </w:rPr>
              <w:t>Transf</w:t>
            </w:r>
            <w:proofErr w:type="spellEnd"/>
            <w:r w:rsidRPr="00FE2D1C">
              <w:rPr>
                <w:rFonts w:ascii="Lucida Bright" w:hAnsi="Lucida Bright" w:cs="Calibri"/>
                <w:sz w:val="14"/>
                <w:szCs w:val="14"/>
                <w:lang w:val="es-ES"/>
              </w:rPr>
              <w:t xml:space="preserve">. </w:t>
            </w:r>
            <w:proofErr w:type="gramStart"/>
            <w:r w:rsidRPr="00FE2D1C">
              <w:rPr>
                <w:rFonts w:ascii="Lucida Bright" w:hAnsi="Lucida Bright" w:cs="Calibri"/>
                <w:sz w:val="14"/>
                <w:szCs w:val="14"/>
                <w:lang w:val="es-ES"/>
              </w:rPr>
              <w:t>a</w:t>
            </w:r>
            <w:proofErr w:type="gramEnd"/>
            <w:r w:rsidRPr="00FE2D1C">
              <w:rPr>
                <w:rFonts w:ascii="Lucida Bright" w:hAnsi="Lucida Bright" w:cs="Calibri"/>
                <w:sz w:val="14"/>
                <w:szCs w:val="14"/>
                <w:lang w:val="es-ES"/>
              </w:rPr>
              <w:t xml:space="preserve"> otros </w:t>
            </w:r>
            <w:proofErr w:type="spellStart"/>
            <w:r w:rsidRPr="00FE2D1C">
              <w:rPr>
                <w:rFonts w:ascii="Lucida Bright" w:hAnsi="Lucida Bright" w:cs="Calibri"/>
                <w:sz w:val="14"/>
                <w:szCs w:val="14"/>
                <w:lang w:val="es-ES"/>
              </w:rPr>
              <w:t>Org</w:t>
            </w:r>
            <w:proofErr w:type="spellEnd"/>
            <w:r w:rsidRPr="00FE2D1C">
              <w:rPr>
                <w:rFonts w:ascii="Lucida Bright" w:hAnsi="Lucida Bright" w:cs="Calibri"/>
                <w:sz w:val="14"/>
                <w:szCs w:val="14"/>
                <w:lang w:val="es-ES"/>
              </w:rPr>
              <w:t xml:space="preserve">. </w:t>
            </w:r>
            <w:proofErr w:type="spellStart"/>
            <w:r w:rsidRPr="00FE2D1C">
              <w:rPr>
                <w:rFonts w:ascii="Lucida Bright" w:hAnsi="Lucida Bright" w:cs="Calibri"/>
                <w:sz w:val="14"/>
                <w:szCs w:val="14"/>
                <w:lang w:val="es-ES"/>
              </w:rPr>
              <w:t>Públ</w:t>
            </w:r>
            <w:proofErr w:type="spellEnd"/>
            <w:r w:rsidRPr="00FE2D1C">
              <w:rPr>
                <w:rFonts w:ascii="Lucida Bright" w:hAnsi="Lucida Bright" w:cs="Calibri"/>
                <w:sz w:val="14"/>
                <w:szCs w:val="14"/>
                <w:lang w:val="es-ES"/>
              </w:rPr>
              <w:t>. y Ajustes contra patrimonio (+/-)</w:t>
            </w:r>
          </w:p>
        </w:tc>
        <w:tc>
          <w:tcPr>
            <w:tcW w:w="448" w:type="pct"/>
            <w:tcBorders>
              <w:top w:val="single" w:sz="4" w:space="0" w:color="auto"/>
              <w:left w:val="nil"/>
              <w:bottom w:val="single" w:sz="4" w:space="0" w:color="auto"/>
              <w:right w:val="single" w:sz="4" w:space="0" w:color="auto"/>
            </w:tcBorders>
            <w:shd w:val="clear" w:color="000000" w:fill="CCFFCC"/>
            <w:vAlign w:val="center"/>
            <w:hideMark/>
          </w:tcPr>
          <w:p w:rsidR="00FE2D1C" w:rsidRPr="00FE2D1C" w:rsidRDefault="00FE2D1C" w:rsidP="00FE2D1C">
            <w:pPr>
              <w:jc w:val="center"/>
              <w:rPr>
                <w:rFonts w:ascii="Lucida Bright" w:hAnsi="Lucida Bright" w:cs="Calibri"/>
                <w:sz w:val="14"/>
                <w:szCs w:val="14"/>
                <w:lang w:val="es-ES"/>
              </w:rPr>
            </w:pPr>
            <w:r w:rsidRPr="00FE2D1C">
              <w:rPr>
                <w:rFonts w:ascii="Lucida Bright" w:hAnsi="Lucida Bright" w:cs="Calibri"/>
                <w:sz w:val="14"/>
                <w:szCs w:val="14"/>
                <w:lang w:val="es-ES"/>
              </w:rPr>
              <w:t>Saldo a</w:t>
            </w:r>
            <w:r w:rsidRPr="00FE2D1C">
              <w:rPr>
                <w:rFonts w:ascii="Lucida Bright" w:hAnsi="Lucida Bright" w:cs="Calibri"/>
                <w:sz w:val="14"/>
                <w:szCs w:val="14"/>
                <w:lang w:val="es-ES"/>
              </w:rPr>
              <w:br/>
              <w:t>31-12-23</w:t>
            </w:r>
          </w:p>
        </w:tc>
      </w:tr>
      <w:tr w:rsidR="00FE2D1C" w:rsidRPr="00FE2D1C" w:rsidTr="003A3F89">
        <w:trPr>
          <w:trHeight w:val="210"/>
        </w:trPr>
        <w:tc>
          <w:tcPr>
            <w:tcW w:w="1162"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xml:space="preserve"> b) Construcciones</w:t>
            </w:r>
          </w:p>
        </w:tc>
        <w:tc>
          <w:tcPr>
            <w:tcW w:w="63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39.488.055,12 </w:t>
            </w:r>
          </w:p>
        </w:tc>
        <w:tc>
          <w:tcPr>
            <w:tcW w:w="50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532.711,28 </w:t>
            </w:r>
          </w:p>
        </w:tc>
        <w:tc>
          <w:tcPr>
            <w:tcW w:w="463"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(40.982,65) </w:t>
            </w:r>
          </w:p>
        </w:tc>
        <w:tc>
          <w:tcPr>
            <w:tcW w:w="6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0,16 </w:t>
            </w:r>
          </w:p>
        </w:tc>
        <w:tc>
          <w:tcPr>
            <w:tcW w:w="44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448"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39.979.783,91 </w:t>
            </w:r>
          </w:p>
        </w:tc>
      </w:tr>
      <w:tr w:rsidR="00FE2D1C" w:rsidRPr="00FE2D1C" w:rsidTr="003A3F89">
        <w:trPr>
          <w:trHeight w:val="210"/>
        </w:trPr>
        <w:tc>
          <w:tcPr>
            <w:tcW w:w="116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Accesos marítimos</w:t>
            </w:r>
          </w:p>
        </w:tc>
        <w:tc>
          <w:tcPr>
            <w:tcW w:w="63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50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8"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r>
      <w:tr w:rsidR="00FE2D1C" w:rsidRPr="00FE2D1C" w:rsidTr="003A3F89">
        <w:trPr>
          <w:trHeight w:val="210"/>
        </w:trPr>
        <w:tc>
          <w:tcPr>
            <w:tcW w:w="116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Obras de abrigo y defensa</w:t>
            </w:r>
          </w:p>
        </w:tc>
        <w:tc>
          <w:tcPr>
            <w:tcW w:w="63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50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8"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r>
      <w:tr w:rsidR="00FE2D1C" w:rsidRPr="00FE2D1C" w:rsidTr="003A3F89">
        <w:trPr>
          <w:trHeight w:val="210"/>
        </w:trPr>
        <w:tc>
          <w:tcPr>
            <w:tcW w:w="116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Obras de atraque</w:t>
            </w:r>
          </w:p>
        </w:tc>
        <w:tc>
          <w:tcPr>
            <w:tcW w:w="63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449.903,05 </w:t>
            </w:r>
          </w:p>
        </w:tc>
        <w:tc>
          <w:tcPr>
            <w:tcW w:w="50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72.104,52 </w:t>
            </w:r>
          </w:p>
        </w:tc>
        <w:tc>
          <w:tcPr>
            <w:tcW w:w="463"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8"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522.007,57 </w:t>
            </w:r>
          </w:p>
        </w:tc>
      </w:tr>
      <w:tr w:rsidR="00FE2D1C" w:rsidRPr="00FE2D1C" w:rsidTr="003A3F89">
        <w:trPr>
          <w:trHeight w:val="210"/>
        </w:trPr>
        <w:tc>
          <w:tcPr>
            <w:tcW w:w="116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Instalaciones para reparación de barcos</w:t>
            </w:r>
          </w:p>
        </w:tc>
        <w:tc>
          <w:tcPr>
            <w:tcW w:w="63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1.574.298,10 </w:t>
            </w:r>
          </w:p>
        </w:tc>
        <w:tc>
          <w:tcPr>
            <w:tcW w:w="50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726,31 </w:t>
            </w:r>
          </w:p>
        </w:tc>
        <w:tc>
          <w:tcPr>
            <w:tcW w:w="463"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0,16 </w:t>
            </w:r>
          </w:p>
        </w:tc>
        <w:tc>
          <w:tcPr>
            <w:tcW w:w="44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8"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1.575.024,57 </w:t>
            </w:r>
          </w:p>
        </w:tc>
      </w:tr>
      <w:tr w:rsidR="00FE2D1C" w:rsidRPr="00FE2D1C" w:rsidTr="003A3F89">
        <w:trPr>
          <w:trHeight w:val="210"/>
        </w:trPr>
        <w:tc>
          <w:tcPr>
            <w:tcW w:w="116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Edificaciones</w:t>
            </w:r>
          </w:p>
        </w:tc>
        <w:tc>
          <w:tcPr>
            <w:tcW w:w="63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10.310.423,79 </w:t>
            </w:r>
          </w:p>
        </w:tc>
        <w:tc>
          <w:tcPr>
            <w:tcW w:w="50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326.502,14 </w:t>
            </w:r>
          </w:p>
        </w:tc>
        <w:tc>
          <w:tcPr>
            <w:tcW w:w="463"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(40.982,65) </w:t>
            </w:r>
          </w:p>
        </w:tc>
        <w:tc>
          <w:tcPr>
            <w:tcW w:w="6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8"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10.595.943,28 </w:t>
            </w:r>
          </w:p>
        </w:tc>
      </w:tr>
      <w:tr w:rsidR="00FE2D1C" w:rsidRPr="00FE2D1C" w:rsidTr="003A3F89">
        <w:trPr>
          <w:trHeight w:val="210"/>
        </w:trPr>
        <w:tc>
          <w:tcPr>
            <w:tcW w:w="116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Instalaciones generales</w:t>
            </w:r>
          </w:p>
        </w:tc>
        <w:tc>
          <w:tcPr>
            <w:tcW w:w="63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839.956,39 </w:t>
            </w:r>
          </w:p>
        </w:tc>
        <w:tc>
          <w:tcPr>
            <w:tcW w:w="50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36.519,79 </w:t>
            </w:r>
          </w:p>
        </w:tc>
        <w:tc>
          <w:tcPr>
            <w:tcW w:w="463"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8"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876.476,18 </w:t>
            </w:r>
          </w:p>
        </w:tc>
      </w:tr>
      <w:tr w:rsidR="00FE2D1C" w:rsidRPr="00FE2D1C" w:rsidTr="003A3F89">
        <w:trPr>
          <w:trHeight w:val="210"/>
        </w:trPr>
        <w:tc>
          <w:tcPr>
            <w:tcW w:w="116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xml:space="preserve">    Pavimentos, calzadas y vías de circulación</w:t>
            </w:r>
          </w:p>
        </w:tc>
        <w:tc>
          <w:tcPr>
            <w:tcW w:w="631"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26.313.473,79 </w:t>
            </w:r>
          </w:p>
        </w:tc>
        <w:tc>
          <w:tcPr>
            <w:tcW w:w="50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96.858,52 </w:t>
            </w:r>
          </w:p>
        </w:tc>
        <w:tc>
          <w:tcPr>
            <w:tcW w:w="463"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6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rPr>
                <w:rFonts w:ascii="Lucida Bright" w:hAnsi="Lucida Bright" w:cs="Calibri"/>
                <w:sz w:val="14"/>
                <w:szCs w:val="14"/>
                <w:lang w:val="es-ES"/>
              </w:rPr>
            </w:pPr>
            <w:r w:rsidRPr="00FE2D1C">
              <w:rPr>
                <w:rFonts w:ascii="Lucida Bright" w:hAnsi="Lucida Bright" w:cs="Calibri"/>
                <w:sz w:val="14"/>
                <w:szCs w:val="14"/>
                <w:lang w:val="es-ES"/>
              </w:rPr>
              <w:t> </w:t>
            </w:r>
          </w:p>
        </w:tc>
        <w:tc>
          <w:tcPr>
            <w:tcW w:w="448"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sz w:val="14"/>
                <w:szCs w:val="14"/>
                <w:lang w:val="es-ES"/>
              </w:rPr>
            </w:pPr>
            <w:r w:rsidRPr="00FE2D1C">
              <w:rPr>
                <w:rFonts w:ascii="Lucida Bright" w:hAnsi="Lucida Bright" w:cs="Calibri"/>
                <w:sz w:val="14"/>
                <w:szCs w:val="14"/>
                <w:lang w:val="es-ES"/>
              </w:rPr>
              <w:t xml:space="preserve">26.410.332,31 </w:t>
            </w:r>
          </w:p>
        </w:tc>
      </w:tr>
      <w:tr w:rsidR="00FE2D1C" w:rsidRPr="00FE2D1C" w:rsidTr="003A3F89">
        <w:trPr>
          <w:trHeight w:val="210"/>
        </w:trPr>
        <w:tc>
          <w:tcPr>
            <w:tcW w:w="1067" w:type="pct"/>
            <w:tcBorders>
              <w:top w:val="nil"/>
              <w:left w:val="single" w:sz="4" w:space="0" w:color="auto"/>
              <w:bottom w:val="single" w:sz="4" w:space="0" w:color="auto"/>
              <w:right w:val="nil"/>
            </w:tcBorders>
            <w:shd w:val="clear" w:color="000000" w:fill="FFFFFF"/>
            <w:noWrap/>
            <w:vAlign w:val="center"/>
            <w:hideMark/>
          </w:tcPr>
          <w:p w:rsidR="00FE2D1C" w:rsidRPr="00FE2D1C" w:rsidRDefault="00FE2D1C" w:rsidP="00FE2D1C">
            <w:pPr>
              <w:jc w:val="center"/>
              <w:rPr>
                <w:rFonts w:ascii="Lucida Bright" w:hAnsi="Lucida Bright" w:cs="Calibri"/>
                <w:b/>
                <w:bCs/>
                <w:sz w:val="14"/>
                <w:szCs w:val="14"/>
                <w:lang w:val="es-ES"/>
              </w:rPr>
            </w:pPr>
            <w:r w:rsidRPr="00FE2D1C">
              <w:rPr>
                <w:rFonts w:ascii="Lucida Bright" w:hAnsi="Lucida Bright" w:cs="Calibri"/>
                <w:b/>
                <w:bCs/>
                <w:sz w:val="14"/>
                <w:szCs w:val="14"/>
                <w:lang w:val="es-ES"/>
              </w:rPr>
              <w:t>TOTAL</w:t>
            </w:r>
          </w:p>
        </w:tc>
        <w:tc>
          <w:tcPr>
            <w:tcW w:w="95" w:type="pct"/>
            <w:tcBorders>
              <w:top w:val="nil"/>
              <w:left w:val="nil"/>
              <w:bottom w:val="single" w:sz="4" w:space="0" w:color="auto"/>
              <w:right w:val="nil"/>
            </w:tcBorders>
            <w:shd w:val="clear" w:color="000000" w:fill="FFFFFF"/>
            <w:noWrap/>
            <w:vAlign w:val="center"/>
            <w:hideMark/>
          </w:tcPr>
          <w:p w:rsidR="00FE2D1C" w:rsidRPr="00FE2D1C" w:rsidRDefault="00FE2D1C" w:rsidP="00FE2D1C">
            <w:pPr>
              <w:rPr>
                <w:rFonts w:ascii="Lucida Bright" w:hAnsi="Lucida Bright" w:cs="Calibri"/>
                <w:b/>
                <w:bCs/>
                <w:sz w:val="14"/>
                <w:szCs w:val="14"/>
                <w:lang w:val="es-ES"/>
              </w:rPr>
            </w:pPr>
            <w:r w:rsidRPr="00FE2D1C">
              <w:rPr>
                <w:rFonts w:ascii="Lucida Bright" w:hAnsi="Lucida Bright" w:cs="Calibri"/>
                <w:b/>
                <w:bCs/>
                <w:sz w:val="14"/>
                <w:szCs w:val="14"/>
                <w:lang w:val="es-ES"/>
              </w:rPr>
              <w:t> </w:t>
            </w:r>
          </w:p>
        </w:tc>
        <w:tc>
          <w:tcPr>
            <w:tcW w:w="631" w:type="pct"/>
            <w:tcBorders>
              <w:top w:val="nil"/>
              <w:left w:val="single" w:sz="4" w:space="0" w:color="auto"/>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39.488.055,12 </w:t>
            </w:r>
          </w:p>
        </w:tc>
        <w:tc>
          <w:tcPr>
            <w:tcW w:w="50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532.711,28 </w:t>
            </w:r>
          </w:p>
        </w:tc>
        <w:tc>
          <w:tcPr>
            <w:tcW w:w="463"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(40.982,65) </w:t>
            </w:r>
          </w:p>
        </w:tc>
        <w:tc>
          <w:tcPr>
            <w:tcW w:w="634"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0,16 </w:t>
            </w:r>
          </w:p>
        </w:tc>
        <w:tc>
          <w:tcPr>
            <w:tcW w:w="44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356"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 </w:t>
            </w:r>
          </w:p>
        </w:tc>
        <w:tc>
          <w:tcPr>
            <w:tcW w:w="448" w:type="pct"/>
            <w:tcBorders>
              <w:top w:val="nil"/>
              <w:left w:val="nil"/>
              <w:bottom w:val="single" w:sz="4" w:space="0" w:color="auto"/>
              <w:right w:val="single" w:sz="4" w:space="0" w:color="auto"/>
            </w:tcBorders>
            <w:shd w:val="clear" w:color="000000" w:fill="FFFFFF"/>
            <w:noWrap/>
            <w:vAlign w:val="center"/>
            <w:hideMark/>
          </w:tcPr>
          <w:p w:rsidR="00FE2D1C" w:rsidRPr="00FE2D1C" w:rsidRDefault="00FE2D1C" w:rsidP="00FE2D1C">
            <w:pPr>
              <w:jc w:val="right"/>
              <w:rPr>
                <w:rFonts w:ascii="Lucida Bright" w:hAnsi="Lucida Bright" w:cs="Calibri"/>
                <w:b/>
                <w:bCs/>
                <w:sz w:val="14"/>
                <w:szCs w:val="14"/>
                <w:lang w:val="es-ES"/>
              </w:rPr>
            </w:pPr>
            <w:r w:rsidRPr="00FE2D1C">
              <w:rPr>
                <w:rFonts w:ascii="Lucida Bright" w:hAnsi="Lucida Bright" w:cs="Calibri"/>
                <w:b/>
                <w:bCs/>
                <w:sz w:val="14"/>
                <w:szCs w:val="14"/>
                <w:lang w:val="es-ES"/>
              </w:rPr>
              <w:t xml:space="preserve">39.979.783,91 </w:t>
            </w:r>
          </w:p>
        </w:tc>
      </w:tr>
    </w:tbl>
    <w:p w:rsidR="00FE2D1C" w:rsidRDefault="00FE2D1C" w:rsidP="008323F0">
      <w:pPr>
        <w:ind w:right="35"/>
        <w:rPr>
          <w:rFonts w:ascii="Lucida Bright" w:eastAsia="Lucida Bright" w:hAnsi="Lucida Bright" w:cs="Lucida Bright"/>
          <w:b/>
          <w:bCs/>
          <w:color w:val="000000"/>
          <w:sz w:val="14"/>
        </w:rPr>
      </w:pPr>
    </w:p>
    <w:p w:rsidR="003A3F89" w:rsidRDefault="003A3F89" w:rsidP="008323F0">
      <w:pPr>
        <w:ind w:right="35"/>
        <w:rPr>
          <w:rFonts w:ascii="Lucida Bright" w:eastAsia="Lucida Bright" w:hAnsi="Lucida Bright" w:cs="Lucida Bright"/>
          <w:b/>
          <w:bCs/>
          <w:color w:val="000000"/>
          <w:sz w:val="14"/>
        </w:rPr>
        <w:sectPr w:rsidR="003A3F89" w:rsidSect="000B4249">
          <w:pgSz w:w="16840" w:h="11907" w:orient="landscape" w:code="9"/>
          <w:pgMar w:top="1985" w:right="1701" w:bottom="1418" w:left="1701" w:header="567" w:footer="720" w:gutter="0"/>
          <w:cols w:space="720"/>
          <w:docGrid w:linePitch="272"/>
        </w:sectPr>
      </w:pPr>
    </w:p>
    <w:p w:rsidR="008323F0" w:rsidRDefault="008323F0" w:rsidP="00BF22FE">
      <w:pPr>
        <w:tabs>
          <w:tab w:val="left" w:leader="dot" w:pos="4395"/>
        </w:tabs>
        <w:ind w:firstLine="284"/>
        <w:jc w:val="both"/>
        <w:rPr>
          <w:bCs/>
        </w:rPr>
      </w:pPr>
    </w:p>
    <w:p w:rsidR="008323F0" w:rsidRDefault="008323F0" w:rsidP="00BF22FE">
      <w:pPr>
        <w:tabs>
          <w:tab w:val="left" w:leader="dot" w:pos="4395"/>
        </w:tabs>
        <w:ind w:firstLine="284"/>
        <w:jc w:val="both"/>
        <w:rPr>
          <w:bCs/>
        </w:rPr>
      </w:pPr>
    </w:p>
    <w:tbl>
      <w:tblPr>
        <w:tblW w:w="5089" w:type="pct"/>
        <w:tblCellMar>
          <w:left w:w="70" w:type="dxa"/>
          <w:right w:w="70" w:type="dxa"/>
        </w:tblCellMar>
        <w:tblLook w:val="04A0" w:firstRow="1" w:lastRow="0" w:firstColumn="1" w:lastColumn="0" w:noHBand="0" w:noVBand="1"/>
      </w:tblPr>
      <w:tblGrid>
        <w:gridCol w:w="3063"/>
        <w:gridCol w:w="200"/>
        <w:gridCol w:w="1212"/>
        <w:gridCol w:w="1098"/>
        <w:gridCol w:w="987"/>
        <w:gridCol w:w="1293"/>
        <w:gridCol w:w="1029"/>
        <w:gridCol w:w="1293"/>
        <w:gridCol w:w="1029"/>
        <w:gridCol w:w="1125"/>
        <w:gridCol w:w="898"/>
        <w:gridCol w:w="1212"/>
      </w:tblGrid>
      <w:tr w:rsidR="003A3F89" w:rsidRPr="003A3F89" w:rsidTr="003A3F89">
        <w:trPr>
          <w:trHeight w:val="300"/>
        </w:trPr>
        <w:tc>
          <w:tcPr>
            <w:tcW w:w="2230" w:type="pct"/>
            <w:gridSpan w:val="5"/>
            <w:tcBorders>
              <w:top w:val="nil"/>
              <w:left w:val="nil"/>
              <w:bottom w:val="single" w:sz="4" w:space="0" w:color="auto"/>
              <w:right w:val="nil"/>
            </w:tcBorders>
            <w:shd w:val="clear" w:color="auto" w:fill="auto"/>
            <w:noWrap/>
            <w:vAlign w:val="bottom"/>
            <w:hideMark/>
          </w:tcPr>
          <w:p w:rsidR="003A3F89" w:rsidRPr="003A3F89" w:rsidRDefault="003A3F89" w:rsidP="003A3F89">
            <w:pPr>
              <w:rPr>
                <w:rFonts w:ascii="Lucida Bright" w:hAnsi="Lucida Bright" w:cs="Calibri"/>
                <w:b/>
                <w:bCs/>
                <w:sz w:val="18"/>
                <w:szCs w:val="18"/>
                <w:lang w:val="es-ES"/>
              </w:rPr>
            </w:pPr>
            <w:r w:rsidRPr="003A3F89">
              <w:rPr>
                <w:rFonts w:ascii="Lucida Bright" w:hAnsi="Lucida Bright" w:cs="Calibri"/>
                <w:b/>
                <w:bCs/>
                <w:sz w:val="18"/>
                <w:szCs w:val="18"/>
                <w:lang w:val="es-ES"/>
              </w:rPr>
              <w:t>CUADRO: INVERSIONES INMOBILIARIAS 2022</w:t>
            </w:r>
          </w:p>
        </w:tc>
        <w:tc>
          <w:tcPr>
            <w:tcW w:w="440"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(en euros)</w:t>
            </w:r>
          </w:p>
        </w:tc>
        <w:tc>
          <w:tcPr>
            <w:tcW w:w="440"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900"/>
        </w:trPr>
        <w:tc>
          <w:tcPr>
            <w:tcW w:w="1039" w:type="pct"/>
            <w:tcBorders>
              <w:top w:val="nil"/>
              <w:left w:val="single" w:sz="4" w:space="0" w:color="auto"/>
              <w:bottom w:val="single" w:sz="4" w:space="0" w:color="auto"/>
              <w:right w:val="nil"/>
            </w:tcBorders>
            <w:shd w:val="clear" w:color="000000" w:fill="CCFFCC"/>
            <w:noWrap/>
            <w:vAlign w:val="center"/>
            <w:hideMark/>
          </w:tcPr>
          <w:p w:rsidR="003A3F89" w:rsidRPr="003A3F89" w:rsidRDefault="003A3F89" w:rsidP="003A3F89">
            <w:pPr>
              <w:jc w:val="center"/>
              <w:rPr>
                <w:rFonts w:ascii="Lucida Bright" w:hAnsi="Lucida Bright" w:cs="Calibri"/>
                <w:b/>
                <w:bCs/>
                <w:sz w:val="14"/>
                <w:szCs w:val="14"/>
                <w:lang w:val="es-ES"/>
              </w:rPr>
            </w:pPr>
            <w:r w:rsidRPr="003A3F89">
              <w:rPr>
                <w:rFonts w:ascii="Lucida Bright" w:hAnsi="Lucida Bright" w:cs="Calibri"/>
                <w:b/>
                <w:bCs/>
                <w:sz w:val="14"/>
                <w:szCs w:val="14"/>
                <w:lang w:val="es-ES"/>
              </w:rPr>
              <w:t>CONCEPTO</w:t>
            </w:r>
          </w:p>
        </w:tc>
        <w:tc>
          <w:tcPr>
            <w:tcW w:w="68" w:type="pct"/>
            <w:tcBorders>
              <w:top w:val="nil"/>
              <w:left w:val="nil"/>
              <w:bottom w:val="single" w:sz="4" w:space="0" w:color="auto"/>
              <w:right w:val="single" w:sz="4" w:space="0" w:color="auto"/>
            </w:tcBorders>
            <w:shd w:val="clear" w:color="000000" w:fill="CCFFCC"/>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12" w:type="pct"/>
            <w:tcBorders>
              <w:top w:val="nil"/>
              <w:left w:val="nil"/>
              <w:bottom w:val="nil"/>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Saldo a</w:t>
            </w:r>
            <w:r w:rsidRPr="003A3F89">
              <w:rPr>
                <w:rFonts w:ascii="Lucida Bright" w:hAnsi="Lucida Bright" w:cs="Calibri"/>
                <w:sz w:val="14"/>
                <w:szCs w:val="14"/>
                <w:lang w:val="es-ES"/>
              </w:rPr>
              <w:br/>
              <w:t>31-12-21</w:t>
            </w:r>
          </w:p>
        </w:tc>
        <w:tc>
          <w:tcPr>
            <w:tcW w:w="374" w:type="pct"/>
            <w:tcBorders>
              <w:top w:val="nil"/>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Adquisiciones (+)</w:t>
            </w:r>
          </w:p>
        </w:tc>
        <w:tc>
          <w:tcPr>
            <w:tcW w:w="336" w:type="pct"/>
            <w:tcBorders>
              <w:top w:val="nil"/>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Concesiones revertidas, donaciones y legados (+)</w:t>
            </w:r>
          </w:p>
        </w:tc>
        <w:tc>
          <w:tcPr>
            <w:tcW w:w="440" w:type="pct"/>
            <w:tcBorders>
              <w:top w:val="single" w:sz="4" w:space="0" w:color="auto"/>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Rescate anticipado de concesiones (+)</w:t>
            </w:r>
          </w:p>
        </w:tc>
        <w:tc>
          <w:tcPr>
            <w:tcW w:w="351" w:type="pct"/>
            <w:tcBorders>
              <w:top w:val="single" w:sz="4" w:space="0" w:color="auto"/>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Ventas, retiros y bajas (-)</w:t>
            </w:r>
          </w:p>
        </w:tc>
        <w:tc>
          <w:tcPr>
            <w:tcW w:w="440" w:type="pct"/>
            <w:tcBorders>
              <w:top w:val="single" w:sz="4" w:space="0" w:color="auto"/>
              <w:left w:val="nil"/>
              <w:bottom w:val="nil"/>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Reclasificaciones (+/-)</w:t>
            </w:r>
          </w:p>
        </w:tc>
        <w:tc>
          <w:tcPr>
            <w:tcW w:w="351" w:type="pct"/>
            <w:tcBorders>
              <w:top w:val="single" w:sz="4" w:space="0" w:color="auto"/>
              <w:left w:val="nil"/>
              <w:bottom w:val="nil"/>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Traspaso a/de inmovilizado material (+/-)</w:t>
            </w:r>
          </w:p>
        </w:tc>
        <w:tc>
          <w:tcPr>
            <w:tcW w:w="383" w:type="pct"/>
            <w:tcBorders>
              <w:top w:val="single" w:sz="4" w:space="0" w:color="auto"/>
              <w:left w:val="nil"/>
              <w:bottom w:val="nil"/>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Traspaso a activo no corriente mantenido para la venta (-)</w:t>
            </w:r>
          </w:p>
        </w:tc>
        <w:tc>
          <w:tcPr>
            <w:tcW w:w="306" w:type="pct"/>
            <w:tcBorders>
              <w:top w:val="single" w:sz="4" w:space="0" w:color="auto"/>
              <w:left w:val="nil"/>
              <w:bottom w:val="nil"/>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proofErr w:type="spellStart"/>
            <w:r w:rsidRPr="003A3F89">
              <w:rPr>
                <w:rFonts w:ascii="Lucida Bright" w:hAnsi="Lucida Bright" w:cs="Calibri"/>
                <w:sz w:val="14"/>
                <w:szCs w:val="14"/>
                <w:lang w:val="es-ES"/>
              </w:rPr>
              <w:t>Transf</w:t>
            </w:r>
            <w:proofErr w:type="spellEnd"/>
            <w:r w:rsidRPr="003A3F89">
              <w:rPr>
                <w:rFonts w:ascii="Lucida Bright" w:hAnsi="Lucida Bright" w:cs="Calibri"/>
                <w:sz w:val="14"/>
                <w:szCs w:val="14"/>
                <w:lang w:val="es-ES"/>
              </w:rPr>
              <w:t xml:space="preserve">. </w:t>
            </w:r>
            <w:proofErr w:type="gramStart"/>
            <w:r w:rsidRPr="003A3F89">
              <w:rPr>
                <w:rFonts w:ascii="Lucida Bright" w:hAnsi="Lucida Bright" w:cs="Calibri"/>
                <w:sz w:val="14"/>
                <w:szCs w:val="14"/>
                <w:lang w:val="es-ES"/>
              </w:rPr>
              <w:t>a</w:t>
            </w:r>
            <w:proofErr w:type="gramEnd"/>
            <w:r w:rsidRPr="003A3F89">
              <w:rPr>
                <w:rFonts w:ascii="Lucida Bright" w:hAnsi="Lucida Bright" w:cs="Calibri"/>
                <w:sz w:val="14"/>
                <w:szCs w:val="14"/>
                <w:lang w:val="es-ES"/>
              </w:rPr>
              <w:t xml:space="preserve"> otros </w:t>
            </w:r>
            <w:proofErr w:type="spellStart"/>
            <w:r w:rsidRPr="003A3F89">
              <w:rPr>
                <w:rFonts w:ascii="Lucida Bright" w:hAnsi="Lucida Bright" w:cs="Calibri"/>
                <w:sz w:val="14"/>
                <w:szCs w:val="14"/>
                <w:lang w:val="es-ES"/>
              </w:rPr>
              <w:t>Org</w:t>
            </w:r>
            <w:proofErr w:type="spellEnd"/>
            <w:r w:rsidRPr="003A3F89">
              <w:rPr>
                <w:rFonts w:ascii="Lucida Bright" w:hAnsi="Lucida Bright" w:cs="Calibri"/>
                <w:sz w:val="14"/>
                <w:szCs w:val="14"/>
                <w:lang w:val="es-ES"/>
              </w:rPr>
              <w:t xml:space="preserve">. </w:t>
            </w:r>
            <w:proofErr w:type="spellStart"/>
            <w:r w:rsidRPr="003A3F89">
              <w:rPr>
                <w:rFonts w:ascii="Lucida Bright" w:hAnsi="Lucida Bright" w:cs="Calibri"/>
                <w:sz w:val="14"/>
                <w:szCs w:val="14"/>
                <w:lang w:val="es-ES"/>
              </w:rPr>
              <w:t>Públ</w:t>
            </w:r>
            <w:proofErr w:type="spellEnd"/>
            <w:r w:rsidRPr="003A3F89">
              <w:rPr>
                <w:rFonts w:ascii="Lucida Bright" w:hAnsi="Lucida Bright" w:cs="Calibri"/>
                <w:sz w:val="14"/>
                <w:szCs w:val="14"/>
                <w:lang w:val="es-ES"/>
              </w:rPr>
              <w:t>. y Ajustes contra patrimonio (+/-)</w:t>
            </w:r>
          </w:p>
        </w:tc>
        <w:tc>
          <w:tcPr>
            <w:tcW w:w="500" w:type="pct"/>
            <w:tcBorders>
              <w:top w:val="single" w:sz="4" w:space="0" w:color="auto"/>
              <w:left w:val="nil"/>
              <w:bottom w:val="nil"/>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Saldo a</w:t>
            </w:r>
            <w:r w:rsidRPr="003A3F89">
              <w:rPr>
                <w:rFonts w:ascii="Lucida Bright" w:hAnsi="Lucida Bright" w:cs="Calibri"/>
                <w:sz w:val="14"/>
                <w:szCs w:val="14"/>
                <w:lang w:val="es-ES"/>
              </w:rPr>
              <w:br/>
              <w:t>31-12-22</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xml:space="preserve"> a) Terrenos</w:t>
            </w:r>
          </w:p>
        </w:tc>
        <w:tc>
          <w:tcPr>
            <w:tcW w:w="412" w:type="pct"/>
            <w:tcBorders>
              <w:top w:val="single" w:sz="4" w:space="0" w:color="auto"/>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64.033.614,39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306" w:type="pct"/>
            <w:tcBorders>
              <w:top w:val="single" w:sz="4" w:space="0" w:color="auto"/>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500" w:type="pct"/>
            <w:tcBorders>
              <w:top w:val="single" w:sz="4" w:space="0" w:color="auto"/>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64.033.614,39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xml:space="preserve"> b) Construcciones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51.087.107,72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182.714,66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0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50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51.269.822,38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Accesos marítimos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Obras de abrigo y defensa</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Obras de atraque</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1.871.584,52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1.871.584,52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Instalaciones para reparación de barcos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1.578.464,86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1.578.464,86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Edificaciones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20.171.977,71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182.714,66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20.354.692,37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Instalaciones generales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876.476,18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876.476,18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Pavimentos, calzadas y vías de circulación</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26.588.604,45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26.588.604,45 </w:t>
            </w:r>
          </w:p>
        </w:tc>
      </w:tr>
      <w:tr w:rsidR="003A3F89" w:rsidRPr="003A3F89" w:rsidTr="003A3F89">
        <w:trPr>
          <w:trHeight w:val="210"/>
        </w:trPr>
        <w:tc>
          <w:tcPr>
            <w:tcW w:w="1039" w:type="pct"/>
            <w:tcBorders>
              <w:top w:val="nil"/>
              <w:left w:val="single" w:sz="4" w:space="0" w:color="auto"/>
              <w:bottom w:val="single" w:sz="4" w:space="0" w:color="auto"/>
              <w:right w:val="nil"/>
            </w:tcBorders>
            <w:shd w:val="clear" w:color="000000" w:fill="FFFFFF"/>
            <w:noWrap/>
            <w:vAlign w:val="center"/>
            <w:hideMark/>
          </w:tcPr>
          <w:p w:rsidR="003A3F89" w:rsidRPr="003A3F89" w:rsidRDefault="003A3F89" w:rsidP="003A3F89">
            <w:pPr>
              <w:jc w:val="center"/>
              <w:rPr>
                <w:rFonts w:ascii="Lucida Bright" w:hAnsi="Lucida Bright" w:cs="Calibri"/>
                <w:b/>
                <w:bCs/>
                <w:sz w:val="14"/>
                <w:szCs w:val="14"/>
                <w:lang w:val="es-ES"/>
              </w:rPr>
            </w:pPr>
            <w:r w:rsidRPr="003A3F89">
              <w:rPr>
                <w:rFonts w:ascii="Lucida Bright" w:hAnsi="Lucida Bright" w:cs="Calibri"/>
                <w:b/>
                <w:bCs/>
                <w:sz w:val="14"/>
                <w:szCs w:val="14"/>
                <w:lang w:val="es-ES"/>
              </w:rPr>
              <w:t>TOTAL</w:t>
            </w:r>
          </w:p>
        </w:tc>
        <w:tc>
          <w:tcPr>
            <w:tcW w:w="68" w:type="pct"/>
            <w:tcBorders>
              <w:top w:val="nil"/>
              <w:left w:val="nil"/>
              <w:bottom w:val="single" w:sz="4" w:space="0" w:color="auto"/>
              <w:right w:val="nil"/>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412" w:type="pct"/>
            <w:tcBorders>
              <w:top w:val="nil"/>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115.120.722,11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182.714,66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0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50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115.303.436,77 </w:t>
            </w:r>
          </w:p>
        </w:tc>
      </w:tr>
      <w:tr w:rsidR="003A3F89" w:rsidRPr="003A3F89" w:rsidTr="003A3F89">
        <w:trPr>
          <w:trHeight w:val="210"/>
        </w:trPr>
        <w:tc>
          <w:tcPr>
            <w:tcW w:w="1039"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68"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12"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74"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nil"/>
              <w:right w:val="nil"/>
            </w:tcBorders>
            <w:shd w:val="clear" w:color="000000" w:fill="FFFFFF"/>
            <w:noWrap/>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nil"/>
              <w:right w:val="nil"/>
            </w:tcBorders>
            <w:shd w:val="clear" w:color="000000" w:fill="FFFFFF"/>
            <w:noWrap/>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nil"/>
              <w:right w:val="nil"/>
            </w:tcBorders>
            <w:shd w:val="clear" w:color="000000" w:fill="FFFFFF"/>
            <w:noWrap/>
            <w:vAlign w:val="bottom"/>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500"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40"/>
        </w:trPr>
        <w:tc>
          <w:tcPr>
            <w:tcW w:w="3020" w:type="pct"/>
            <w:gridSpan w:val="7"/>
            <w:tcBorders>
              <w:top w:val="nil"/>
              <w:left w:val="nil"/>
              <w:bottom w:val="single" w:sz="4" w:space="0" w:color="auto"/>
              <w:right w:val="nil"/>
            </w:tcBorders>
            <w:shd w:val="clear" w:color="auto" w:fill="auto"/>
            <w:noWrap/>
            <w:vAlign w:val="bottom"/>
            <w:hideMark/>
          </w:tcPr>
          <w:p w:rsidR="003A3F89" w:rsidRPr="003A3F89" w:rsidRDefault="003A3F89" w:rsidP="003A3F89">
            <w:pPr>
              <w:rPr>
                <w:rFonts w:ascii="Lucida Bright" w:hAnsi="Lucida Bright" w:cs="Calibri"/>
                <w:b/>
                <w:bCs/>
                <w:sz w:val="18"/>
                <w:szCs w:val="18"/>
                <w:lang w:val="es-ES"/>
              </w:rPr>
            </w:pPr>
            <w:r w:rsidRPr="003A3F89">
              <w:rPr>
                <w:rFonts w:ascii="Lucida Bright" w:hAnsi="Lucida Bright" w:cs="Calibri"/>
                <w:b/>
                <w:bCs/>
                <w:sz w:val="18"/>
                <w:szCs w:val="18"/>
                <w:lang w:val="es-ES"/>
              </w:rPr>
              <w:t>CUADRO: AMORTIZACIÓN ACUMULADA DE LAS INVERSIONES INMOBILIARIAS 2022</w:t>
            </w:r>
          </w:p>
        </w:tc>
        <w:tc>
          <w:tcPr>
            <w:tcW w:w="440"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(en euros)</w:t>
            </w:r>
          </w:p>
        </w:tc>
        <w:tc>
          <w:tcPr>
            <w:tcW w:w="351"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8"/>
                <w:szCs w:val="18"/>
                <w:lang w:val="es-ES"/>
              </w:rPr>
            </w:pPr>
            <w:r w:rsidRPr="003A3F89">
              <w:rPr>
                <w:rFonts w:ascii="Lucida Bright" w:hAnsi="Lucida Bright" w:cs="Calibri"/>
                <w:sz w:val="18"/>
                <w:szCs w:val="18"/>
                <w:lang w:val="es-ES"/>
              </w:rPr>
              <w:t> </w:t>
            </w:r>
          </w:p>
        </w:tc>
        <w:tc>
          <w:tcPr>
            <w:tcW w:w="383"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8"/>
                <w:szCs w:val="18"/>
                <w:lang w:val="es-ES"/>
              </w:rPr>
            </w:pPr>
            <w:r w:rsidRPr="003A3F89">
              <w:rPr>
                <w:rFonts w:ascii="Lucida Bright" w:hAnsi="Lucida Bright" w:cs="Calibri"/>
                <w:sz w:val="18"/>
                <w:szCs w:val="18"/>
                <w:lang w:val="es-ES"/>
              </w:rPr>
              <w:t> </w:t>
            </w:r>
          </w:p>
        </w:tc>
        <w:tc>
          <w:tcPr>
            <w:tcW w:w="306"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8"/>
                <w:szCs w:val="18"/>
                <w:lang w:val="es-ES"/>
              </w:rPr>
            </w:pPr>
            <w:r w:rsidRPr="003A3F89">
              <w:rPr>
                <w:rFonts w:ascii="Lucida Bright" w:hAnsi="Lucida Bright" w:cs="Calibri"/>
                <w:sz w:val="18"/>
                <w:szCs w:val="18"/>
                <w:lang w:val="es-ES"/>
              </w:rPr>
              <w:t> </w:t>
            </w:r>
          </w:p>
        </w:tc>
        <w:tc>
          <w:tcPr>
            <w:tcW w:w="500" w:type="pct"/>
            <w:tcBorders>
              <w:top w:val="nil"/>
              <w:left w:val="nil"/>
              <w:bottom w:val="nil"/>
              <w:right w:val="nil"/>
            </w:tcBorders>
            <w:shd w:val="clear" w:color="000000" w:fill="FFFFFF"/>
            <w:noWrap/>
            <w:hideMark/>
          </w:tcPr>
          <w:p w:rsidR="003A3F89" w:rsidRPr="003A3F89" w:rsidRDefault="003A3F89" w:rsidP="003A3F89">
            <w:pPr>
              <w:rPr>
                <w:rFonts w:ascii="Lucida Bright" w:hAnsi="Lucida Bright" w:cs="Calibri"/>
                <w:sz w:val="18"/>
                <w:szCs w:val="18"/>
                <w:lang w:val="es-ES"/>
              </w:rPr>
            </w:pPr>
            <w:r w:rsidRPr="003A3F89">
              <w:rPr>
                <w:rFonts w:ascii="Lucida Bright" w:hAnsi="Lucida Bright" w:cs="Calibri"/>
                <w:sz w:val="18"/>
                <w:szCs w:val="18"/>
                <w:lang w:val="es-ES"/>
              </w:rPr>
              <w:t> </w:t>
            </w:r>
          </w:p>
        </w:tc>
      </w:tr>
      <w:tr w:rsidR="003A3F89" w:rsidRPr="003A3F89" w:rsidTr="003A3F89">
        <w:trPr>
          <w:trHeight w:val="720"/>
        </w:trPr>
        <w:tc>
          <w:tcPr>
            <w:tcW w:w="1107" w:type="pct"/>
            <w:gridSpan w:val="2"/>
            <w:tcBorders>
              <w:top w:val="single" w:sz="4" w:space="0" w:color="auto"/>
              <w:left w:val="single" w:sz="4" w:space="0" w:color="auto"/>
              <w:bottom w:val="single" w:sz="4" w:space="0" w:color="auto"/>
              <w:right w:val="single" w:sz="4" w:space="0" w:color="000000"/>
            </w:tcBorders>
            <w:shd w:val="clear" w:color="000000" w:fill="CCFFCC"/>
            <w:vAlign w:val="center"/>
            <w:hideMark/>
          </w:tcPr>
          <w:p w:rsidR="003A3F89" w:rsidRPr="003A3F89" w:rsidRDefault="003A3F89" w:rsidP="003A3F89">
            <w:pPr>
              <w:jc w:val="center"/>
              <w:rPr>
                <w:rFonts w:ascii="Lucida Bright" w:hAnsi="Lucida Bright" w:cs="Calibri"/>
                <w:b/>
                <w:bCs/>
                <w:sz w:val="14"/>
                <w:szCs w:val="14"/>
                <w:lang w:val="es-ES"/>
              </w:rPr>
            </w:pPr>
            <w:r w:rsidRPr="003A3F89">
              <w:rPr>
                <w:rFonts w:ascii="Lucida Bright" w:hAnsi="Lucida Bright" w:cs="Calibri"/>
                <w:b/>
                <w:bCs/>
                <w:sz w:val="14"/>
                <w:szCs w:val="14"/>
                <w:lang w:val="es-ES"/>
              </w:rPr>
              <w:t>CONCEPTO</w:t>
            </w:r>
          </w:p>
        </w:tc>
        <w:tc>
          <w:tcPr>
            <w:tcW w:w="412" w:type="pct"/>
            <w:tcBorders>
              <w:top w:val="nil"/>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Saldo a</w:t>
            </w:r>
            <w:r w:rsidRPr="003A3F89">
              <w:rPr>
                <w:rFonts w:ascii="Lucida Bright" w:hAnsi="Lucida Bright" w:cs="Calibri"/>
                <w:sz w:val="14"/>
                <w:szCs w:val="14"/>
                <w:lang w:val="es-ES"/>
              </w:rPr>
              <w:br/>
              <w:t>31-12-21</w:t>
            </w:r>
          </w:p>
        </w:tc>
        <w:tc>
          <w:tcPr>
            <w:tcW w:w="374" w:type="pct"/>
            <w:tcBorders>
              <w:top w:val="nil"/>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Dotaciones</w:t>
            </w:r>
            <w:r w:rsidRPr="003A3F89">
              <w:rPr>
                <w:rFonts w:ascii="Lucida Bright" w:hAnsi="Lucida Bright" w:cs="Calibri"/>
                <w:sz w:val="14"/>
                <w:szCs w:val="14"/>
                <w:lang w:val="es-ES"/>
              </w:rPr>
              <w:br/>
              <w:t>(+)</w:t>
            </w:r>
          </w:p>
        </w:tc>
        <w:tc>
          <w:tcPr>
            <w:tcW w:w="336" w:type="pct"/>
            <w:tcBorders>
              <w:top w:val="nil"/>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Ventas, retiros y bajas (-)</w:t>
            </w:r>
          </w:p>
        </w:tc>
        <w:tc>
          <w:tcPr>
            <w:tcW w:w="440" w:type="pct"/>
            <w:tcBorders>
              <w:top w:val="nil"/>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Reclasificaciones (+/-)</w:t>
            </w:r>
          </w:p>
        </w:tc>
        <w:tc>
          <w:tcPr>
            <w:tcW w:w="351" w:type="pct"/>
            <w:tcBorders>
              <w:top w:val="nil"/>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Traspaso a/de inmovilizado material (+/-)</w:t>
            </w:r>
          </w:p>
        </w:tc>
        <w:tc>
          <w:tcPr>
            <w:tcW w:w="440" w:type="pct"/>
            <w:tcBorders>
              <w:top w:val="single" w:sz="4" w:space="0" w:color="auto"/>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proofErr w:type="spellStart"/>
            <w:r w:rsidRPr="003A3F89">
              <w:rPr>
                <w:rFonts w:ascii="Lucida Bright" w:hAnsi="Lucida Bright" w:cs="Calibri"/>
                <w:sz w:val="14"/>
                <w:szCs w:val="14"/>
                <w:lang w:val="es-ES"/>
              </w:rPr>
              <w:t>Trasp</w:t>
            </w:r>
            <w:proofErr w:type="spellEnd"/>
            <w:r w:rsidRPr="003A3F89">
              <w:rPr>
                <w:rFonts w:ascii="Lucida Bright" w:hAnsi="Lucida Bright" w:cs="Calibri"/>
                <w:sz w:val="14"/>
                <w:szCs w:val="14"/>
                <w:lang w:val="es-ES"/>
              </w:rPr>
              <w:t>. a activo no corriente mantenido para la venta (-)</w:t>
            </w:r>
          </w:p>
        </w:tc>
        <w:tc>
          <w:tcPr>
            <w:tcW w:w="351" w:type="pct"/>
            <w:tcBorders>
              <w:top w:val="single" w:sz="4" w:space="0" w:color="auto"/>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proofErr w:type="spellStart"/>
            <w:r w:rsidRPr="003A3F89">
              <w:rPr>
                <w:rFonts w:ascii="Lucida Bright" w:hAnsi="Lucida Bright" w:cs="Calibri"/>
                <w:sz w:val="14"/>
                <w:szCs w:val="14"/>
                <w:lang w:val="es-ES"/>
              </w:rPr>
              <w:t>Transf</w:t>
            </w:r>
            <w:proofErr w:type="spellEnd"/>
            <w:r w:rsidRPr="003A3F89">
              <w:rPr>
                <w:rFonts w:ascii="Lucida Bright" w:hAnsi="Lucida Bright" w:cs="Calibri"/>
                <w:sz w:val="14"/>
                <w:szCs w:val="14"/>
                <w:lang w:val="es-ES"/>
              </w:rPr>
              <w:t xml:space="preserve">. </w:t>
            </w:r>
            <w:proofErr w:type="gramStart"/>
            <w:r w:rsidRPr="003A3F89">
              <w:rPr>
                <w:rFonts w:ascii="Lucida Bright" w:hAnsi="Lucida Bright" w:cs="Calibri"/>
                <w:sz w:val="14"/>
                <w:szCs w:val="14"/>
                <w:lang w:val="es-ES"/>
              </w:rPr>
              <w:t>a</w:t>
            </w:r>
            <w:proofErr w:type="gramEnd"/>
            <w:r w:rsidRPr="003A3F89">
              <w:rPr>
                <w:rFonts w:ascii="Lucida Bright" w:hAnsi="Lucida Bright" w:cs="Calibri"/>
                <w:sz w:val="14"/>
                <w:szCs w:val="14"/>
                <w:lang w:val="es-ES"/>
              </w:rPr>
              <w:t xml:space="preserve"> otros </w:t>
            </w:r>
            <w:proofErr w:type="spellStart"/>
            <w:r w:rsidRPr="003A3F89">
              <w:rPr>
                <w:rFonts w:ascii="Lucida Bright" w:hAnsi="Lucida Bright" w:cs="Calibri"/>
                <w:sz w:val="14"/>
                <w:szCs w:val="14"/>
                <w:lang w:val="es-ES"/>
              </w:rPr>
              <w:t>Org</w:t>
            </w:r>
            <w:proofErr w:type="spellEnd"/>
            <w:r w:rsidRPr="003A3F89">
              <w:rPr>
                <w:rFonts w:ascii="Lucida Bright" w:hAnsi="Lucida Bright" w:cs="Calibri"/>
                <w:sz w:val="14"/>
                <w:szCs w:val="14"/>
                <w:lang w:val="es-ES"/>
              </w:rPr>
              <w:t xml:space="preserve">. </w:t>
            </w:r>
            <w:proofErr w:type="spellStart"/>
            <w:r w:rsidRPr="003A3F89">
              <w:rPr>
                <w:rFonts w:ascii="Lucida Bright" w:hAnsi="Lucida Bright" w:cs="Calibri"/>
                <w:sz w:val="14"/>
                <w:szCs w:val="14"/>
                <w:lang w:val="es-ES"/>
              </w:rPr>
              <w:t>Públ</w:t>
            </w:r>
            <w:proofErr w:type="spellEnd"/>
            <w:r w:rsidRPr="003A3F89">
              <w:rPr>
                <w:rFonts w:ascii="Lucida Bright" w:hAnsi="Lucida Bright" w:cs="Calibri"/>
                <w:sz w:val="14"/>
                <w:szCs w:val="14"/>
                <w:lang w:val="es-ES"/>
              </w:rPr>
              <w:t>. y Ajustes contra patrimonio (+/-)</w:t>
            </w:r>
          </w:p>
        </w:tc>
        <w:tc>
          <w:tcPr>
            <w:tcW w:w="383" w:type="pct"/>
            <w:tcBorders>
              <w:top w:val="single" w:sz="4" w:space="0" w:color="auto"/>
              <w:left w:val="nil"/>
              <w:bottom w:val="single" w:sz="4" w:space="0" w:color="auto"/>
              <w:right w:val="single" w:sz="4" w:space="0" w:color="auto"/>
            </w:tcBorders>
            <w:shd w:val="clear" w:color="000000" w:fill="CCFFCC"/>
            <w:vAlign w:val="center"/>
            <w:hideMark/>
          </w:tcPr>
          <w:p w:rsidR="003A3F89" w:rsidRPr="003A3F89" w:rsidRDefault="003A3F89" w:rsidP="003A3F89">
            <w:pPr>
              <w:jc w:val="center"/>
              <w:rPr>
                <w:rFonts w:ascii="Lucida Bright" w:hAnsi="Lucida Bright" w:cs="Calibri"/>
                <w:sz w:val="14"/>
                <w:szCs w:val="14"/>
                <w:lang w:val="es-ES"/>
              </w:rPr>
            </w:pPr>
            <w:r w:rsidRPr="003A3F89">
              <w:rPr>
                <w:rFonts w:ascii="Lucida Bright" w:hAnsi="Lucida Bright" w:cs="Calibri"/>
                <w:sz w:val="14"/>
                <w:szCs w:val="14"/>
                <w:lang w:val="es-ES"/>
              </w:rPr>
              <w:t>Saldo a</w:t>
            </w:r>
            <w:r w:rsidRPr="003A3F89">
              <w:rPr>
                <w:rFonts w:ascii="Lucida Bright" w:hAnsi="Lucida Bright" w:cs="Calibri"/>
                <w:sz w:val="14"/>
                <w:szCs w:val="14"/>
                <w:lang w:val="es-ES"/>
              </w:rPr>
              <w:br/>
              <w:t>31-12-22</w:t>
            </w:r>
          </w:p>
        </w:tc>
        <w:tc>
          <w:tcPr>
            <w:tcW w:w="306"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xml:space="preserve"> b) Construcciones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38.623.311,85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864.743,27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39.488.055,12 </w:t>
            </w:r>
          </w:p>
        </w:tc>
        <w:tc>
          <w:tcPr>
            <w:tcW w:w="306"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vAlign w:val="bottom"/>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Accesos marítimos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Obras de abrigo y defensa</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06"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Obras de atraque</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377.798,53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72.104,52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449.903,05 </w:t>
            </w:r>
          </w:p>
        </w:tc>
        <w:tc>
          <w:tcPr>
            <w:tcW w:w="306"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Instalaciones para reparación de barcos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1.573.571,81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726,29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1.574.298,10 </w:t>
            </w:r>
          </w:p>
        </w:tc>
        <w:tc>
          <w:tcPr>
            <w:tcW w:w="306"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Edificaciones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9.988.959,41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321.464,38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10.310.423,79 </w:t>
            </w:r>
          </w:p>
        </w:tc>
        <w:tc>
          <w:tcPr>
            <w:tcW w:w="306"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Instalaciones generales</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752.308,85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87.647,54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839.956,39 </w:t>
            </w:r>
          </w:p>
        </w:tc>
        <w:tc>
          <w:tcPr>
            <w:tcW w:w="306"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1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xml:space="preserve">    Pavimentos, calzadas y vías de circulación</w:t>
            </w:r>
          </w:p>
        </w:tc>
        <w:tc>
          <w:tcPr>
            <w:tcW w:w="412"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25.930.673,25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382.800,54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sz w:val="14"/>
                <w:szCs w:val="14"/>
                <w:lang w:val="es-ES"/>
              </w:rPr>
            </w:pPr>
            <w:r w:rsidRPr="003A3F89">
              <w:rPr>
                <w:rFonts w:ascii="Lucida Bright" w:hAnsi="Lucida Bright" w:cs="Calibri"/>
                <w:sz w:val="14"/>
                <w:szCs w:val="14"/>
                <w:lang w:val="es-ES"/>
              </w:rPr>
              <w:t xml:space="preserve">26.313.473,79 </w:t>
            </w:r>
          </w:p>
        </w:tc>
        <w:tc>
          <w:tcPr>
            <w:tcW w:w="306"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c>
          <w:tcPr>
            <w:tcW w:w="500" w:type="pct"/>
            <w:tcBorders>
              <w:top w:val="nil"/>
              <w:left w:val="nil"/>
              <w:bottom w:val="nil"/>
              <w:right w:val="nil"/>
            </w:tcBorders>
            <w:shd w:val="clear" w:color="000000" w:fill="FFFFFF"/>
            <w:noWrap/>
            <w:vAlign w:val="center"/>
            <w:hideMark/>
          </w:tcPr>
          <w:p w:rsidR="003A3F89" w:rsidRPr="003A3F89" w:rsidRDefault="003A3F89" w:rsidP="003A3F89">
            <w:pPr>
              <w:rPr>
                <w:rFonts w:ascii="Lucida Bright" w:hAnsi="Lucida Bright" w:cs="Calibri"/>
                <w:sz w:val="14"/>
                <w:szCs w:val="14"/>
                <w:lang w:val="es-ES"/>
              </w:rPr>
            </w:pPr>
            <w:r w:rsidRPr="003A3F89">
              <w:rPr>
                <w:rFonts w:ascii="Lucida Bright" w:hAnsi="Lucida Bright" w:cs="Calibri"/>
                <w:sz w:val="14"/>
                <w:szCs w:val="14"/>
                <w:lang w:val="es-ES"/>
              </w:rPr>
              <w:t> </w:t>
            </w:r>
          </w:p>
        </w:tc>
      </w:tr>
      <w:tr w:rsidR="003A3F89" w:rsidRPr="003A3F89" w:rsidTr="003A3F89">
        <w:trPr>
          <w:trHeight w:val="210"/>
        </w:trPr>
        <w:tc>
          <w:tcPr>
            <w:tcW w:w="1039" w:type="pct"/>
            <w:tcBorders>
              <w:top w:val="nil"/>
              <w:left w:val="single" w:sz="4" w:space="0" w:color="auto"/>
              <w:bottom w:val="single" w:sz="4" w:space="0" w:color="auto"/>
              <w:right w:val="nil"/>
            </w:tcBorders>
            <w:shd w:val="clear" w:color="000000" w:fill="FFFFFF"/>
            <w:noWrap/>
            <w:vAlign w:val="center"/>
            <w:hideMark/>
          </w:tcPr>
          <w:p w:rsidR="003A3F89" w:rsidRPr="003A3F89" w:rsidRDefault="003A3F89" w:rsidP="003A3F89">
            <w:pPr>
              <w:jc w:val="center"/>
              <w:rPr>
                <w:rFonts w:ascii="Lucida Bright" w:hAnsi="Lucida Bright" w:cs="Calibri"/>
                <w:b/>
                <w:bCs/>
                <w:sz w:val="14"/>
                <w:szCs w:val="14"/>
                <w:lang w:val="es-ES"/>
              </w:rPr>
            </w:pPr>
            <w:r w:rsidRPr="003A3F89">
              <w:rPr>
                <w:rFonts w:ascii="Lucida Bright" w:hAnsi="Lucida Bright" w:cs="Calibri"/>
                <w:b/>
                <w:bCs/>
                <w:sz w:val="14"/>
                <w:szCs w:val="14"/>
                <w:lang w:val="es-ES"/>
              </w:rPr>
              <w:t>TOTAL</w:t>
            </w:r>
          </w:p>
        </w:tc>
        <w:tc>
          <w:tcPr>
            <w:tcW w:w="68" w:type="pct"/>
            <w:tcBorders>
              <w:top w:val="nil"/>
              <w:left w:val="nil"/>
              <w:bottom w:val="single" w:sz="4" w:space="0" w:color="auto"/>
              <w:right w:val="nil"/>
            </w:tcBorders>
            <w:shd w:val="clear" w:color="000000" w:fill="FFFFFF"/>
            <w:noWrap/>
            <w:vAlign w:val="center"/>
            <w:hideMark/>
          </w:tcPr>
          <w:p w:rsidR="003A3F89" w:rsidRPr="003A3F89" w:rsidRDefault="003A3F89" w:rsidP="003A3F89">
            <w:pPr>
              <w:rPr>
                <w:rFonts w:ascii="Lucida Bright" w:hAnsi="Lucida Bright" w:cs="Calibri"/>
                <w:b/>
                <w:bCs/>
                <w:sz w:val="14"/>
                <w:szCs w:val="14"/>
                <w:lang w:val="es-ES"/>
              </w:rPr>
            </w:pPr>
            <w:r w:rsidRPr="003A3F89">
              <w:rPr>
                <w:rFonts w:ascii="Lucida Bright" w:hAnsi="Lucida Bright" w:cs="Calibri"/>
                <w:b/>
                <w:bCs/>
                <w:sz w:val="14"/>
                <w:szCs w:val="14"/>
                <w:lang w:val="es-ES"/>
              </w:rPr>
              <w:t> </w:t>
            </w:r>
          </w:p>
        </w:tc>
        <w:tc>
          <w:tcPr>
            <w:tcW w:w="412" w:type="pct"/>
            <w:tcBorders>
              <w:top w:val="nil"/>
              <w:left w:val="single" w:sz="4" w:space="0" w:color="auto"/>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38.623.311,85 </w:t>
            </w:r>
          </w:p>
        </w:tc>
        <w:tc>
          <w:tcPr>
            <w:tcW w:w="374"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864.743,27 </w:t>
            </w:r>
          </w:p>
        </w:tc>
        <w:tc>
          <w:tcPr>
            <w:tcW w:w="336"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440"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 </w:t>
            </w:r>
          </w:p>
        </w:tc>
        <w:tc>
          <w:tcPr>
            <w:tcW w:w="383" w:type="pct"/>
            <w:tcBorders>
              <w:top w:val="nil"/>
              <w:left w:val="nil"/>
              <w:bottom w:val="single" w:sz="4" w:space="0" w:color="auto"/>
              <w:right w:val="single" w:sz="4" w:space="0" w:color="auto"/>
            </w:tcBorders>
            <w:shd w:val="clear" w:color="000000" w:fill="FFFFFF"/>
            <w:noWrap/>
            <w:vAlign w:val="center"/>
            <w:hideMark/>
          </w:tcPr>
          <w:p w:rsidR="003A3F89" w:rsidRPr="003A3F89" w:rsidRDefault="003A3F89" w:rsidP="003A3F89">
            <w:pPr>
              <w:jc w:val="right"/>
              <w:rPr>
                <w:rFonts w:ascii="Lucida Bright" w:hAnsi="Lucida Bright" w:cs="Calibri"/>
                <w:b/>
                <w:bCs/>
                <w:sz w:val="14"/>
                <w:szCs w:val="14"/>
                <w:lang w:val="es-ES"/>
              </w:rPr>
            </w:pPr>
            <w:r w:rsidRPr="003A3F89">
              <w:rPr>
                <w:rFonts w:ascii="Lucida Bright" w:hAnsi="Lucida Bright" w:cs="Calibri"/>
                <w:b/>
                <w:bCs/>
                <w:sz w:val="14"/>
                <w:szCs w:val="14"/>
                <w:lang w:val="es-ES"/>
              </w:rPr>
              <w:t xml:space="preserve">39.488.055,12 </w:t>
            </w:r>
          </w:p>
        </w:tc>
        <w:tc>
          <w:tcPr>
            <w:tcW w:w="306" w:type="pct"/>
            <w:tcBorders>
              <w:top w:val="nil"/>
              <w:left w:val="nil"/>
              <w:bottom w:val="nil"/>
              <w:right w:val="nil"/>
            </w:tcBorders>
            <w:shd w:val="clear" w:color="auto" w:fill="auto"/>
            <w:noWrap/>
            <w:vAlign w:val="bottom"/>
            <w:hideMark/>
          </w:tcPr>
          <w:p w:rsidR="003A3F89" w:rsidRPr="003A3F89" w:rsidRDefault="003A3F89" w:rsidP="003A3F89">
            <w:pPr>
              <w:rPr>
                <w:rFonts w:ascii="Lucida Bright" w:hAnsi="Lucida Bright" w:cs="Calibri"/>
                <w:color w:val="000000"/>
                <w:sz w:val="14"/>
                <w:szCs w:val="14"/>
                <w:lang w:val="es-ES"/>
              </w:rPr>
            </w:pPr>
          </w:p>
        </w:tc>
        <w:tc>
          <w:tcPr>
            <w:tcW w:w="500" w:type="pct"/>
            <w:tcBorders>
              <w:top w:val="nil"/>
              <w:left w:val="nil"/>
              <w:bottom w:val="nil"/>
              <w:right w:val="nil"/>
            </w:tcBorders>
            <w:shd w:val="clear" w:color="auto" w:fill="auto"/>
            <w:noWrap/>
            <w:vAlign w:val="bottom"/>
            <w:hideMark/>
          </w:tcPr>
          <w:p w:rsidR="003A3F89" w:rsidRPr="003A3F89" w:rsidRDefault="003A3F89" w:rsidP="003A3F89">
            <w:pPr>
              <w:rPr>
                <w:rFonts w:ascii="Lucida Bright" w:hAnsi="Lucida Bright" w:cs="Calibri"/>
                <w:color w:val="000000"/>
                <w:sz w:val="14"/>
                <w:szCs w:val="14"/>
                <w:lang w:val="es-ES"/>
              </w:rPr>
            </w:pPr>
          </w:p>
        </w:tc>
      </w:tr>
    </w:tbl>
    <w:p w:rsidR="00671651" w:rsidRDefault="00671651" w:rsidP="00BF22FE">
      <w:pPr>
        <w:tabs>
          <w:tab w:val="left" w:leader="dot" w:pos="4395"/>
        </w:tabs>
        <w:ind w:firstLine="284"/>
        <w:jc w:val="both"/>
        <w:rPr>
          <w:bCs/>
        </w:rPr>
        <w:sectPr w:rsidR="00671651" w:rsidSect="003A3F89">
          <w:pgSz w:w="16840" w:h="11907" w:orient="landscape" w:code="9"/>
          <w:pgMar w:top="1985" w:right="1701" w:bottom="1418" w:left="1701" w:header="567" w:footer="720" w:gutter="0"/>
          <w:cols w:space="720"/>
          <w:docGrid w:linePitch="272"/>
        </w:sectPr>
      </w:pPr>
    </w:p>
    <w:p w:rsidR="008323F0" w:rsidRDefault="008323F0" w:rsidP="00BF22FE">
      <w:pPr>
        <w:tabs>
          <w:tab w:val="left" w:leader="dot" w:pos="4395"/>
        </w:tabs>
        <w:ind w:firstLine="284"/>
        <w:jc w:val="both"/>
        <w:rPr>
          <w:bCs/>
        </w:rPr>
      </w:pPr>
    </w:p>
    <w:p w:rsidR="004158AB" w:rsidRDefault="004158AB" w:rsidP="00BF22FE">
      <w:pPr>
        <w:tabs>
          <w:tab w:val="left" w:leader="dot" w:pos="4395"/>
        </w:tabs>
        <w:ind w:firstLine="284"/>
        <w:jc w:val="both"/>
        <w:rPr>
          <w:bCs/>
        </w:rPr>
      </w:pPr>
    </w:p>
    <w:p w:rsidR="004158AB" w:rsidRDefault="004158AB" w:rsidP="00BF22FE">
      <w:pPr>
        <w:tabs>
          <w:tab w:val="left" w:leader="dot" w:pos="4395"/>
        </w:tabs>
        <w:ind w:firstLine="284"/>
        <w:jc w:val="both"/>
        <w:rPr>
          <w:bCs/>
        </w:rPr>
      </w:pPr>
    </w:p>
    <w:p w:rsidR="00764B1E" w:rsidRPr="00671651" w:rsidRDefault="00C92258" w:rsidP="0050293A">
      <w:pPr>
        <w:tabs>
          <w:tab w:val="left" w:leader="dot" w:pos="4395"/>
        </w:tabs>
        <w:ind w:firstLine="567"/>
        <w:jc w:val="both"/>
        <w:rPr>
          <w:rFonts w:ascii="NewBaskerville" w:hAnsi="NewBaskerville"/>
          <w:bCs/>
        </w:rPr>
      </w:pPr>
      <w:r w:rsidRPr="00671651">
        <w:rPr>
          <w:rFonts w:ascii="NewBaskerville" w:hAnsi="NewBaskerville"/>
          <w:bCs/>
        </w:rPr>
        <w:t>A</w:t>
      </w:r>
      <w:r w:rsidR="00A723E7" w:rsidRPr="00671651">
        <w:rPr>
          <w:rFonts w:ascii="NewBaskerville" w:hAnsi="NewBaskerville"/>
          <w:bCs/>
        </w:rPr>
        <w:t xml:space="preserve"> 31 de</w:t>
      </w:r>
      <w:r w:rsidR="00D4480F" w:rsidRPr="00671651">
        <w:rPr>
          <w:rFonts w:ascii="NewBaskerville" w:hAnsi="NewBaskerville"/>
          <w:bCs/>
        </w:rPr>
        <w:t xml:space="preserve"> diciembre del 202</w:t>
      </w:r>
      <w:r w:rsidR="003A3F89">
        <w:rPr>
          <w:rFonts w:ascii="NewBaskerville" w:hAnsi="NewBaskerville"/>
          <w:bCs/>
        </w:rPr>
        <w:t>3</w:t>
      </w:r>
      <w:r w:rsidR="00764B1E" w:rsidRPr="00671651">
        <w:rPr>
          <w:rFonts w:ascii="NewBaskerville" w:hAnsi="NewBaskerville"/>
          <w:bCs/>
        </w:rPr>
        <w:t xml:space="preserve"> y 20</w:t>
      </w:r>
      <w:r w:rsidR="00D4480F" w:rsidRPr="00671651">
        <w:rPr>
          <w:rFonts w:ascii="NewBaskerville" w:hAnsi="NewBaskerville"/>
          <w:bCs/>
        </w:rPr>
        <w:t>2</w:t>
      </w:r>
      <w:r w:rsidR="00671651">
        <w:rPr>
          <w:rFonts w:ascii="NewBaskerville" w:hAnsi="NewBaskerville"/>
          <w:bCs/>
        </w:rPr>
        <w:t>2</w:t>
      </w:r>
      <w:r w:rsidR="00764B1E" w:rsidRPr="00671651">
        <w:rPr>
          <w:rFonts w:ascii="NewBaskerville" w:hAnsi="NewBaskerville"/>
          <w:bCs/>
        </w:rPr>
        <w:t xml:space="preserve"> no existen indicios de deterioro de inversiones  inmobiliarias.</w:t>
      </w:r>
    </w:p>
    <w:p w:rsidR="00FC6508" w:rsidRPr="00671651" w:rsidRDefault="00FC6508" w:rsidP="00BF22FE">
      <w:pPr>
        <w:tabs>
          <w:tab w:val="left" w:leader="dot" w:pos="4395"/>
        </w:tabs>
        <w:ind w:firstLine="284"/>
        <w:jc w:val="both"/>
        <w:rPr>
          <w:rFonts w:ascii="NewBaskerville" w:hAnsi="NewBaskerville"/>
          <w:bCs/>
        </w:rPr>
      </w:pPr>
    </w:p>
    <w:p w:rsidR="00FC6508" w:rsidRPr="00671651" w:rsidRDefault="00FC6508" w:rsidP="0050293A">
      <w:pPr>
        <w:tabs>
          <w:tab w:val="left" w:leader="dot" w:pos="4395"/>
        </w:tabs>
        <w:ind w:firstLine="567"/>
        <w:jc w:val="both"/>
        <w:rPr>
          <w:rFonts w:ascii="NewBaskerville" w:hAnsi="NewBaskerville"/>
          <w:bCs/>
        </w:rPr>
      </w:pPr>
      <w:r w:rsidRPr="00671651">
        <w:rPr>
          <w:rFonts w:ascii="NewBaskerville" w:hAnsi="NewBaskerville"/>
          <w:bCs/>
        </w:rPr>
        <w:t xml:space="preserve">Las inversiones inmobiliarias totalmente amortizadas por epígrafe corresponden </w:t>
      </w:r>
      <w:r w:rsidR="003F24D6" w:rsidRPr="00671651">
        <w:rPr>
          <w:rFonts w:ascii="NewBaskerville" w:hAnsi="NewBaskerville"/>
          <w:bCs/>
        </w:rPr>
        <w:t>a:</w:t>
      </w:r>
    </w:p>
    <w:p w:rsidR="00FC791B" w:rsidRDefault="00FC791B" w:rsidP="00BF22FE">
      <w:pPr>
        <w:tabs>
          <w:tab w:val="left" w:leader="dot" w:pos="4395"/>
        </w:tabs>
        <w:ind w:firstLine="284"/>
        <w:jc w:val="both"/>
        <w:rPr>
          <w:bCs/>
        </w:rPr>
      </w:pPr>
    </w:p>
    <w:tbl>
      <w:tblPr>
        <w:tblW w:w="7400" w:type="dxa"/>
        <w:tblInd w:w="60" w:type="dxa"/>
        <w:tblCellMar>
          <w:left w:w="70" w:type="dxa"/>
          <w:right w:w="70" w:type="dxa"/>
        </w:tblCellMar>
        <w:tblLook w:val="04A0" w:firstRow="1" w:lastRow="0" w:firstColumn="1" w:lastColumn="0" w:noHBand="0" w:noVBand="1"/>
      </w:tblPr>
      <w:tblGrid>
        <w:gridCol w:w="3940"/>
        <w:gridCol w:w="1700"/>
        <w:gridCol w:w="1760"/>
      </w:tblGrid>
      <w:tr w:rsidR="003A3F89" w:rsidRPr="003A3F89" w:rsidTr="003A3F89">
        <w:trPr>
          <w:trHeight w:val="315"/>
        </w:trPr>
        <w:tc>
          <w:tcPr>
            <w:tcW w:w="394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3A3F89" w:rsidRPr="003A3F89" w:rsidRDefault="003A3F89" w:rsidP="003A3F89">
            <w:pPr>
              <w:jc w:val="center"/>
              <w:rPr>
                <w:rFonts w:ascii="Lucida Bright" w:hAnsi="Lucida Bright" w:cs="Calibri"/>
                <w:b/>
                <w:bCs/>
                <w:color w:val="000000"/>
                <w:sz w:val="18"/>
                <w:szCs w:val="18"/>
                <w:lang w:val="es-ES"/>
              </w:rPr>
            </w:pPr>
            <w:r w:rsidRPr="003A3F89">
              <w:rPr>
                <w:rFonts w:ascii="Lucida Bright" w:hAnsi="Lucida Bright" w:cs="Calibri"/>
                <w:b/>
                <w:bCs/>
                <w:color w:val="000000"/>
                <w:sz w:val="18"/>
                <w:szCs w:val="18"/>
                <w:lang w:val="es-ES"/>
              </w:rPr>
              <w:t>Epígrafe</w:t>
            </w:r>
          </w:p>
        </w:tc>
        <w:tc>
          <w:tcPr>
            <w:tcW w:w="1700" w:type="dxa"/>
            <w:tcBorders>
              <w:top w:val="single" w:sz="8" w:space="0" w:color="000000"/>
              <w:left w:val="nil"/>
              <w:bottom w:val="single" w:sz="8" w:space="0" w:color="000000"/>
              <w:right w:val="single" w:sz="8" w:space="0" w:color="000000"/>
            </w:tcBorders>
            <w:shd w:val="clear" w:color="000000" w:fill="CCFFCC"/>
            <w:noWrap/>
            <w:vAlign w:val="center"/>
            <w:hideMark/>
          </w:tcPr>
          <w:p w:rsidR="003A3F89" w:rsidRPr="003A3F89" w:rsidRDefault="003A3F89" w:rsidP="003A3F89">
            <w:pPr>
              <w:jc w:val="center"/>
              <w:rPr>
                <w:rFonts w:ascii="Lucida Bright" w:hAnsi="Lucida Bright" w:cs="Calibri"/>
                <w:b/>
                <w:bCs/>
                <w:color w:val="000000"/>
                <w:sz w:val="18"/>
                <w:szCs w:val="18"/>
                <w:lang w:val="es-ES"/>
              </w:rPr>
            </w:pPr>
            <w:r w:rsidRPr="003A3F89">
              <w:rPr>
                <w:rFonts w:ascii="Lucida Bright" w:hAnsi="Lucida Bright" w:cs="Calibri"/>
                <w:b/>
                <w:bCs/>
                <w:color w:val="000000"/>
                <w:sz w:val="18"/>
                <w:szCs w:val="18"/>
                <w:lang w:val="es-ES"/>
              </w:rPr>
              <w:t>2023</w:t>
            </w:r>
          </w:p>
        </w:tc>
        <w:tc>
          <w:tcPr>
            <w:tcW w:w="1760" w:type="dxa"/>
            <w:tcBorders>
              <w:top w:val="single" w:sz="8" w:space="0" w:color="000000"/>
              <w:left w:val="nil"/>
              <w:bottom w:val="single" w:sz="8" w:space="0" w:color="000000"/>
              <w:right w:val="single" w:sz="8" w:space="0" w:color="000000"/>
            </w:tcBorders>
            <w:shd w:val="clear" w:color="000000" w:fill="CCFFCC"/>
            <w:noWrap/>
            <w:vAlign w:val="center"/>
            <w:hideMark/>
          </w:tcPr>
          <w:p w:rsidR="003A3F89" w:rsidRPr="003A3F89" w:rsidRDefault="003A3F89" w:rsidP="003A3F89">
            <w:pPr>
              <w:jc w:val="center"/>
              <w:rPr>
                <w:rFonts w:ascii="Lucida Bright" w:hAnsi="Lucida Bright" w:cs="Calibri"/>
                <w:b/>
                <w:bCs/>
                <w:color w:val="000000"/>
                <w:sz w:val="18"/>
                <w:szCs w:val="18"/>
                <w:lang w:val="es-ES"/>
              </w:rPr>
            </w:pPr>
            <w:r w:rsidRPr="003A3F89">
              <w:rPr>
                <w:rFonts w:ascii="Lucida Bright" w:hAnsi="Lucida Bright" w:cs="Calibri"/>
                <w:b/>
                <w:bCs/>
                <w:color w:val="000000"/>
                <w:sz w:val="18"/>
                <w:szCs w:val="18"/>
                <w:lang w:val="es-ES"/>
              </w:rPr>
              <w:t>2022</w:t>
            </w:r>
          </w:p>
        </w:tc>
      </w:tr>
      <w:tr w:rsidR="003A3F89" w:rsidRPr="003A3F89" w:rsidTr="003A3F89">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A3F89" w:rsidRPr="003A3F89" w:rsidRDefault="003A3F89" w:rsidP="003A3F89">
            <w:pPr>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Instalaciones para reparación de barcos</w:t>
            </w:r>
          </w:p>
        </w:tc>
        <w:tc>
          <w:tcPr>
            <w:tcW w:w="1700" w:type="dxa"/>
            <w:tcBorders>
              <w:top w:val="nil"/>
              <w:left w:val="nil"/>
              <w:bottom w:val="single" w:sz="8" w:space="0" w:color="000000"/>
              <w:right w:val="single" w:sz="8" w:space="0" w:color="000000"/>
            </w:tcBorders>
            <w:shd w:val="clear" w:color="000000" w:fill="FFFFFF"/>
            <w:noWrap/>
            <w:vAlign w:val="center"/>
            <w:hideMark/>
          </w:tcPr>
          <w:p w:rsidR="003A3F89" w:rsidRPr="003A3F89" w:rsidRDefault="003A3F89" w:rsidP="003A3F89">
            <w:pPr>
              <w:jc w:val="right"/>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1.557.284,13</w:t>
            </w:r>
          </w:p>
        </w:tc>
        <w:tc>
          <w:tcPr>
            <w:tcW w:w="1760" w:type="dxa"/>
            <w:tcBorders>
              <w:top w:val="nil"/>
              <w:left w:val="nil"/>
              <w:bottom w:val="single" w:sz="8" w:space="0" w:color="000000"/>
              <w:right w:val="single" w:sz="8" w:space="0" w:color="000000"/>
            </w:tcBorders>
            <w:shd w:val="clear" w:color="000000" w:fill="FFFFFF"/>
            <w:noWrap/>
            <w:vAlign w:val="center"/>
            <w:hideMark/>
          </w:tcPr>
          <w:p w:rsidR="003A3F89" w:rsidRPr="003A3F89" w:rsidRDefault="003A3F89" w:rsidP="003A3F89">
            <w:pPr>
              <w:jc w:val="right"/>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1.557.284,13</w:t>
            </w:r>
          </w:p>
        </w:tc>
      </w:tr>
      <w:tr w:rsidR="003A3F89" w:rsidRPr="003A3F89" w:rsidTr="003A3F89">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A3F89" w:rsidRPr="003A3F89" w:rsidRDefault="003A3F89" w:rsidP="003A3F89">
            <w:pPr>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Edificaciones</w:t>
            </w:r>
          </w:p>
        </w:tc>
        <w:tc>
          <w:tcPr>
            <w:tcW w:w="1700" w:type="dxa"/>
            <w:tcBorders>
              <w:top w:val="nil"/>
              <w:left w:val="nil"/>
              <w:bottom w:val="single" w:sz="8" w:space="0" w:color="000000"/>
              <w:right w:val="single" w:sz="8" w:space="0" w:color="000000"/>
            </w:tcBorders>
            <w:shd w:val="clear" w:color="000000" w:fill="FFFFFF"/>
            <w:noWrap/>
            <w:vAlign w:val="center"/>
            <w:hideMark/>
          </w:tcPr>
          <w:p w:rsidR="003A3F89" w:rsidRPr="003A3F89" w:rsidRDefault="003A3F89" w:rsidP="003A3F89">
            <w:pPr>
              <w:jc w:val="right"/>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5.475.840,25</w:t>
            </w:r>
          </w:p>
        </w:tc>
        <w:tc>
          <w:tcPr>
            <w:tcW w:w="1760" w:type="dxa"/>
            <w:tcBorders>
              <w:top w:val="nil"/>
              <w:left w:val="nil"/>
              <w:bottom w:val="single" w:sz="8" w:space="0" w:color="000000"/>
              <w:right w:val="single" w:sz="8" w:space="0" w:color="000000"/>
            </w:tcBorders>
            <w:shd w:val="clear" w:color="000000" w:fill="FFFFFF"/>
            <w:noWrap/>
            <w:vAlign w:val="center"/>
            <w:hideMark/>
          </w:tcPr>
          <w:p w:rsidR="003A3F89" w:rsidRPr="003A3F89" w:rsidRDefault="003A3F89" w:rsidP="003A3F89">
            <w:pPr>
              <w:jc w:val="right"/>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5.475.840,25</w:t>
            </w:r>
          </w:p>
        </w:tc>
      </w:tr>
      <w:tr w:rsidR="003A3F89" w:rsidRPr="003A3F89" w:rsidTr="003A3F89">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A3F89" w:rsidRPr="003A3F89" w:rsidRDefault="003A3F89" w:rsidP="003A3F89">
            <w:pPr>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Instalaciones generales</w:t>
            </w:r>
          </w:p>
        </w:tc>
        <w:tc>
          <w:tcPr>
            <w:tcW w:w="1700" w:type="dxa"/>
            <w:tcBorders>
              <w:top w:val="nil"/>
              <w:left w:val="nil"/>
              <w:bottom w:val="single" w:sz="8" w:space="0" w:color="000000"/>
              <w:right w:val="single" w:sz="8" w:space="0" w:color="000000"/>
            </w:tcBorders>
            <w:shd w:val="clear" w:color="000000" w:fill="FFFFFF"/>
            <w:noWrap/>
            <w:vAlign w:val="center"/>
            <w:hideMark/>
          </w:tcPr>
          <w:p w:rsidR="003A3F89" w:rsidRPr="003A3F89" w:rsidRDefault="003A3F89" w:rsidP="003A3F89">
            <w:pPr>
              <w:jc w:val="right"/>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876.476,18</w:t>
            </w:r>
          </w:p>
        </w:tc>
        <w:tc>
          <w:tcPr>
            <w:tcW w:w="1760" w:type="dxa"/>
            <w:tcBorders>
              <w:top w:val="nil"/>
              <w:left w:val="nil"/>
              <w:bottom w:val="single" w:sz="8" w:space="0" w:color="000000"/>
              <w:right w:val="single" w:sz="8" w:space="0" w:color="000000"/>
            </w:tcBorders>
            <w:shd w:val="clear" w:color="000000" w:fill="FFFFFF"/>
            <w:noWrap/>
            <w:vAlign w:val="center"/>
            <w:hideMark/>
          </w:tcPr>
          <w:p w:rsidR="003A3F89" w:rsidRPr="003A3F89" w:rsidRDefault="003A3F89" w:rsidP="003A3F89">
            <w:pPr>
              <w:jc w:val="right"/>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0,00</w:t>
            </w:r>
          </w:p>
        </w:tc>
      </w:tr>
      <w:tr w:rsidR="003A3F89" w:rsidRPr="003A3F89" w:rsidTr="003A3F89">
        <w:trPr>
          <w:trHeight w:val="300"/>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A3F89" w:rsidRPr="003A3F89" w:rsidRDefault="003A3F89" w:rsidP="003A3F89">
            <w:pPr>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Pavimentos, calzadas y vías de circulación</w:t>
            </w:r>
          </w:p>
        </w:tc>
        <w:tc>
          <w:tcPr>
            <w:tcW w:w="1700" w:type="dxa"/>
            <w:tcBorders>
              <w:top w:val="nil"/>
              <w:left w:val="nil"/>
              <w:bottom w:val="single" w:sz="8" w:space="0" w:color="000000"/>
              <w:right w:val="single" w:sz="8" w:space="0" w:color="000000"/>
            </w:tcBorders>
            <w:shd w:val="clear" w:color="000000" w:fill="FFFFFF"/>
            <w:noWrap/>
            <w:vAlign w:val="center"/>
            <w:hideMark/>
          </w:tcPr>
          <w:p w:rsidR="003A3F89" w:rsidRPr="003A3F89" w:rsidRDefault="003A3F89" w:rsidP="003A3F89">
            <w:pPr>
              <w:jc w:val="right"/>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25.335.651,41</w:t>
            </w:r>
          </w:p>
        </w:tc>
        <w:tc>
          <w:tcPr>
            <w:tcW w:w="1760" w:type="dxa"/>
            <w:tcBorders>
              <w:top w:val="nil"/>
              <w:left w:val="nil"/>
              <w:bottom w:val="single" w:sz="8" w:space="0" w:color="000000"/>
              <w:right w:val="single" w:sz="8" w:space="0" w:color="000000"/>
            </w:tcBorders>
            <w:shd w:val="clear" w:color="000000" w:fill="FFFFFF"/>
            <w:noWrap/>
            <w:vAlign w:val="center"/>
            <w:hideMark/>
          </w:tcPr>
          <w:p w:rsidR="003A3F89" w:rsidRPr="003A3F89" w:rsidRDefault="003A3F89" w:rsidP="003A3F89">
            <w:pPr>
              <w:jc w:val="right"/>
              <w:rPr>
                <w:rFonts w:ascii="Lucida Bright" w:hAnsi="Lucida Bright" w:cs="Calibri"/>
                <w:color w:val="000000"/>
                <w:sz w:val="18"/>
                <w:szCs w:val="18"/>
                <w:lang w:val="es-ES"/>
              </w:rPr>
            </w:pPr>
            <w:r w:rsidRPr="003A3F89">
              <w:rPr>
                <w:rFonts w:ascii="Lucida Bright" w:hAnsi="Lucida Bright" w:cs="Calibri"/>
                <w:color w:val="000000"/>
                <w:sz w:val="18"/>
                <w:szCs w:val="18"/>
                <w:lang w:val="es-ES"/>
              </w:rPr>
              <w:t>24.362.139,96</w:t>
            </w:r>
          </w:p>
        </w:tc>
      </w:tr>
      <w:tr w:rsidR="003A3F89" w:rsidRPr="003A3F89" w:rsidTr="003A3F89">
        <w:trPr>
          <w:trHeight w:val="315"/>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3A3F89" w:rsidRPr="003A3F89" w:rsidRDefault="003A3F89" w:rsidP="003A3F89">
            <w:pPr>
              <w:ind w:firstLineChars="200" w:firstLine="361"/>
              <w:jc w:val="right"/>
              <w:rPr>
                <w:rFonts w:ascii="Lucida Bright" w:hAnsi="Lucida Bright" w:cs="Calibri"/>
                <w:b/>
                <w:bCs/>
                <w:color w:val="000000"/>
                <w:sz w:val="18"/>
                <w:szCs w:val="18"/>
                <w:lang w:val="es-ES"/>
              </w:rPr>
            </w:pPr>
            <w:r w:rsidRPr="003A3F89">
              <w:rPr>
                <w:rFonts w:ascii="Lucida Bright" w:hAnsi="Lucida Bright" w:cs="Calibri"/>
                <w:b/>
                <w:bCs/>
                <w:color w:val="000000"/>
                <w:sz w:val="18"/>
                <w:szCs w:val="18"/>
                <w:lang w:val="es-ES"/>
              </w:rPr>
              <w:t>TOTAL</w:t>
            </w:r>
          </w:p>
        </w:tc>
        <w:tc>
          <w:tcPr>
            <w:tcW w:w="1700" w:type="dxa"/>
            <w:tcBorders>
              <w:top w:val="nil"/>
              <w:left w:val="nil"/>
              <w:bottom w:val="single" w:sz="8" w:space="0" w:color="000000"/>
              <w:right w:val="single" w:sz="8" w:space="0" w:color="000000"/>
            </w:tcBorders>
            <w:shd w:val="clear" w:color="auto" w:fill="auto"/>
            <w:noWrap/>
            <w:vAlign w:val="center"/>
            <w:hideMark/>
          </w:tcPr>
          <w:p w:rsidR="003A3F89" w:rsidRPr="003A3F89" w:rsidRDefault="003A3F89" w:rsidP="003A3F89">
            <w:pPr>
              <w:jc w:val="right"/>
              <w:rPr>
                <w:rFonts w:ascii="Lucida Bright" w:hAnsi="Lucida Bright" w:cs="Calibri"/>
                <w:b/>
                <w:bCs/>
                <w:color w:val="000000"/>
                <w:sz w:val="18"/>
                <w:szCs w:val="18"/>
                <w:lang w:val="es-ES"/>
              </w:rPr>
            </w:pPr>
            <w:r w:rsidRPr="003A3F89">
              <w:rPr>
                <w:rFonts w:ascii="Lucida Bright" w:hAnsi="Lucida Bright" w:cs="Calibri"/>
                <w:b/>
                <w:bCs/>
                <w:color w:val="000000"/>
                <w:sz w:val="18"/>
                <w:szCs w:val="18"/>
                <w:lang w:val="es-ES"/>
              </w:rPr>
              <w:t>33.245.251,97</w:t>
            </w:r>
          </w:p>
        </w:tc>
        <w:tc>
          <w:tcPr>
            <w:tcW w:w="1760" w:type="dxa"/>
            <w:tcBorders>
              <w:top w:val="nil"/>
              <w:left w:val="nil"/>
              <w:bottom w:val="single" w:sz="8" w:space="0" w:color="000000"/>
              <w:right w:val="single" w:sz="8" w:space="0" w:color="000000"/>
            </w:tcBorders>
            <w:shd w:val="clear" w:color="auto" w:fill="auto"/>
            <w:noWrap/>
            <w:vAlign w:val="center"/>
            <w:hideMark/>
          </w:tcPr>
          <w:p w:rsidR="003A3F89" w:rsidRPr="003A3F89" w:rsidRDefault="003A3F89" w:rsidP="003A3F89">
            <w:pPr>
              <w:jc w:val="right"/>
              <w:rPr>
                <w:rFonts w:ascii="Lucida Bright" w:hAnsi="Lucida Bright" w:cs="Calibri"/>
                <w:b/>
                <w:bCs/>
                <w:color w:val="000000"/>
                <w:sz w:val="18"/>
                <w:szCs w:val="18"/>
                <w:lang w:val="es-ES"/>
              </w:rPr>
            </w:pPr>
            <w:r w:rsidRPr="003A3F89">
              <w:rPr>
                <w:rFonts w:ascii="Lucida Bright" w:hAnsi="Lucida Bright" w:cs="Calibri"/>
                <w:b/>
                <w:bCs/>
                <w:color w:val="000000"/>
                <w:sz w:val="18"/>
                <w:szCs w:val="18"/>
                <w:lang w:val="es-ES"/>
              </w:rPr>
              <w:t>31.395.264,34</w:t>
            </w:r>
          </w:p>
        </w:tc>
      </w:tr>
    </w:tbl>
    <w:p w:rsidR="00FC791B" w:rsidRDefault="00FC791B" w:rsidP="00BF22FE">
      <w:pPr>
        <w:tabs>
          <w:tab w:val="left" w:leader="dot" w:pos="4395"/>
        </w:tabs>
        <w:ind w:firstLine="284"/>
        <w:jc w:val="both"/>
        <w:rPr>
          <w:bCs/>
        </w:rPr>
      </w:pPr>
    </w:p>
    <w:p w:rsidR="003A3F89" w:rsidRDefault="003A3F89" w:rsidP="00BF22FE">
      <w:pPr>
        <w:tabs>
          <w:tab w:val="left" w:leader="dot" w:pos="4395"/>
        </w:tabs>
        <w:ind w:firstLine="284"/>
        <w:jc w:val="both"/>
        <w:rPr>
          <w:bCs/>
        </w:rPr>
      </w:pPr>
    </w:p>
    <w:p w:rsidR="00A96998" w:rsidRDefault="00A96998" w:rsidP="00A96998">
      <w:pPr>
        <w:tabs>
          <w:tab w:val="right" w:pos="8364"/>
        </w:tabs>
        <w:ind w:firstLine="540"/>
        <w:jc w:val="both"/>
        <w:rPr>
          <w:rFonts w:ascii="NewBaskerville" w:hAnsi="NewBaskerville"/>
          <w:bCs/>
        </w:rPr>
      </w:pPr>
      <w:r>
        <w:rPr>
          <w:rFonts w:ascii="NewBaskerville" w:hAnsi="NewBaskerville"/>
          <w:bCs/>
        </w:rPr>
        <w:t>Bajas y retiros:</w:t>
      </w:r>
    </w:p>
    <w:p w:rsidR="00A96998" w:rsidRDefault="00A96998" w:rsidP="00A96998">
      <w:pPr>
        <w:tabs>
          <w:tab w:val="right" w:pos="8364"/>
        </w:tabs>
        <w:ind w:firstLine="540"/>
        <w:jc w:val="both"/>
        <w:rPr>
          <w:rFonts w:ascii="NewBaskerville" w:hAnsi="NewBaskerville"/>
          <w:bCs/>
        </w:rPr>
      </w:pPr>
    </w:p>
    <w:p w:rsidR="00A96998" w:rsidRDefault="00A96998" w:rsidP="00A96998">
      <w:pPr>
        <w:tabs>
          <w:tab w:val="right" w:pos="8364"/>
        </w:tabs>
        <w:ind w:firstLine="540"/>
        <w:jc w:val="both"/>
        <w:rPr>
          <w:rFonts w:ascii="NewBaskerville" w:hAnsi="NewBaskerville"/>
          <w:bCs/>
        </w:rPr>
      </w:pPr>
      <w:r>
        <w:rPr>
          <w:rFonts w:ascii="NewBaskerville" w:hAnsi="NewBaskerville"/>
          <w:bCs/>
        </w:rPr>
        <w:t>Durante el ejercicio 2023 se han producido bajas en inversiones inmobiliarias debido a:</w:t>
      </w:r>
    </w:p>
    <w:p w:rsidR="00A96998" w:rsidRDefault="00A96998" w:rsidP="00A96998">
      <w:pPr>
        <w:tabs>
          <w:tab w:val="right" w:pos="8364"/>
        </w:tabs>
        <w:ind w:firstLine="540"/>
        <w:jc w:val="both"/>
        <w:rPr>
          <w:rFonts w:ascii="NewBaskerville" w:hAnsi="NewBaskerville"/>
          <w:bCs/>
        </w:rPr>
      </w:pPr>
    </w:p>
    <w:p w:rsidR="00A96998" w:rsidRDefault="00A96998" w:rsidP="00A96998">
      <w:pPr>
        <w:pStyle w:val="Prrafodelista"/>
        <w:numPr>
          <w:ilvl w:val="0"/>
          <w:numId w:val="6"/>
        </w:numPr>
        <w:tabs>
          <w:tab w:val="right" w:pos="8364"/>
        </w:tabs>
        <w:jc w:val="both"/>
        <w:rPr>
          <w:rFonts w:ascii="NewBaskerville" w:hAnsi="NewBaskerville"/>
          <w:bCs/>
        </w:rPr>
      </w:pPr>
      <w:r>
        <w:rPr>
          <w:rFonts w:ascii="NewBaskerville" w:hAnsi="NewBaskerville"/>
          <w:bCs/>
        </w:rPr>
        <w:t>Por pasar a situación de fuera de uso tras finalizar su vida útil, o por su antigüedad en el final de la misma.</w:t>
      </w:r>
    </w:p>
    <w:p w:rsidR="00A96998" w:rsidRDefault="00A96998" w:rsidP="00A96998">
      <w:pPr>
        <w:pStyle w:val="Prrafodelista"/>
        <w:numPr>
          <w:ilvl w:val="0"/>
          <w:numId w:val="6"/>
        </w:numPr>
        <w:tabs>
          <w:tab w:val="right" w:pos="8364"/>
        </w:tabs>
        <w:jc w:val="both"/>
        <w:rPr>
          <w:rFonts w:ascii="NewBaskerville" w:hAnsi="NewBaskerville"/>
          <w:bCs/>
        </w:rPr>
      </w:pPr>
      <w:r>
        <w:rPr>
          <w:rFonts w:ascii="NewBaskerville" w:hAnsi="NewBaskerville"/>
          <w:bCs/>
        </w:rPr>
        <w:t>Por su desaparición física constatada mediante inventario físico.</w:t>
      </w:r>
    </w:p>
    <w:p w:rsidR="00A96998" w:rsidRDefault="00A96998" w:rsidP="00A96998">
      <w:pPr>
        <w:tabs>
          <w:tab w:val="right" w:pos="8364"/>
        </w:tabs>
        <w:jc w:val="both"/>
        <w:rPr>
          <w:rFonts w:ascii="NewBaskerville" w:hAnsi="NewBaskerville"/>
          <w:bCs/>
        </w:rPr>
      </w:pPr>
    </w:p>
    <w:p w:rsidR="00A96998" w:rsidRDefault="00A96998" w:rsidP="00A96998">
      <w:pPr>
        <w:tabs>
          <w:tab w:val="right" w:pos="8364"/>
        </w:tabs>
        <w:ind w:firstLine="567"/>
        <w:jc w:val="both"/>
        <w:rPr>
          <w:rFonts w:ascii="NewBaskerville" w:hAnsi="NewBaskerville"/>
          <w:bCs/>
        </w:rPr>
      </w:pPr>
      <w:r>
        <w:rPr>
          <w:rFonts w:ascii="NewBaskerville" w:hAnsi="NewBaskerville"/>
          <w:bCs/>
        </w:rPr>
        <w:t xml:space="preserve">En </w:t>
      </w:r>
      <w:r w:rsidR="00350D1C">
        <w:rPr>
          <w:rFonts w:ascii="NewBaskerville" w:hAnsi="NewBaskerville"/>
          <w:bCs/>
        </w:rPr>
        <w:t>ningún caso se esperaba</w:t>
      </w:r>
      <w:r>
        <w:rPr>
          <w:rFonts w:ascii="NewBaskerville" w:hAnsi="NewBaskerville"/>
          <w:bCs/>
        </w:rPr>
        <w:t xml:space="preserve"> obtener de estas inversiones inmobiliarias beneficios o rendimientos económicos futuros.</w:t>
      </w:r>
    </w:p>
    <w:p w:rsidR="00A96998" w:rsidRDefault="00A96998" w:rsidP="00A96998">
      <w:pPr>
        <w:tabs>
          <w:tab w:val="right" w:pos="8364"/>
        </w:tabs>
        <w:ind w:firstLine="567"/>
        <w:jc w:val="both"/>
        <w:rPr>
          <w:rFonts w:ascii="NewBaskerville" w:hAnsi="NewBaskerville"/>
          <w:bCs/>
        </w:rPr>
      </w:pPr>
    </w:p>
    <w:p w:rsidR="00A96998" w:rsidRPr="00E56AB5" w:rsidRDefault="00A96998" w:rsidP="00A96998">
      <w:pPr>
        <w:tabs>
          <w:tab w:val="right" w:pos="8364"/>
        </w:tabs>
        <w:ind w:firstLine="567"/>
        <w:jc w:val="both"/>
        <w:rPr>
          <w:rFonts w:ascii="NewBaskerville" w:hAnsi="NewBaskerville"/>
          <w:bCs/>
        </w:rPr>
      </w:pPr>
      <w:r>
        <w:rPr>
          <w:rFonts w:ascii="NewBaskerville" w:hAnsi="NewBaskerville"/>
          <w:bCs/>
        </w:rPr>
        <w:t>El resultado por bajas ha sido:</w:t>
      </w:r>
    </w:p>
    <w:p w:rsidR="00CC17F7" w:rsidRDefault="00CC17F7" w:rsidP="00F348FE">
      <w:pPr>
        <w:tabs>
          <w:tab w:val="right" w:pos="8364"/>
        </w:tabs>
        <w:ind w:left="567" w:hanging="567"/>
        <w:jc w:val="both"/>
        <w:rPr>
          <w:b/>
          <w:bCs/>
          <w:sz w:val="24"/>
          <w:szCs w:val="24"/>
        </w:rPr>
      </w:pPr>
    </w:p>
    <w:tbl>
      <w:tblPr>
        <w:tblW w:w="8440" w:type="dxa"/>
        <w:tblInd w:w="70" w:type="dxa"/>
        <w:tblCellMar>
          <w:left w:w="70" w:type="dxa"/>
          <w:right w:w="70" w:type="dxa"/>
        </w:tblCellMar>
        <w:tblLook w:val="04A0" w:firstRow="1" w:lastRow="0" w:firstColumn="1" w:lastColumn="0" w:noHBand="0" w:noVBand="1"/>
      </w:tblPr>
      <w:tblGrid>
        <w:gridCol w:w="1026"/>
        <w:gridCol w:w="1168"/>
        <w:gridCol w:w="1584"/>
        <w:gridCol w:w="1165"/>
        <w:gridCol w:w="1184"/>
        <w:gridCol w:w="1141"/>
        <w:gridCol w:w="1172"/>
      </w:tblGrid>
      <w:tr w:rsidR="00A96998" w:rsidRPr="00A96998" w:rsidTr="00A96998">
        <w:trPr>
          <w:trHeight w:val="300"/>
        </w:trPr>
        <w:tc>
          <w:tcPr>
            <w:tcW w:w="8440" w:type="dxa"/>
            <w:gridSpan w:val="7"/>
            <w:vMerge w:val="restart"/>
            <w:tcBorders>
              <w:top w:val="nil"/>
              <w:left w:val="nil"/>
              <w:bottom w:val="nil"/>
              <w:right w:val="nil"/>
            </w:tcBorders>
            <w:shd w:val="clear" w:color="000000" w:fill="FFFFFF"/>
            <w:vAlign w:val="center"/>
            <w:hideMark/>
          </w:tcPr>
          <w:p w:rsidR="00A96998" w:rsidRPr="00A96998" w:rsidRDefault="00A96998" w:rsidP="00A96998">
            <w:pPr>
              <w:rPr>
                <w:rFonts w:ascii="Lucida Bright" w:hAnsi="Lucida Bright" w:cs="Calibri"/>
                <w:b/>
                <w:bCs/>
                <w:sz w:val="18"/>
                <w:szCs w:val="18"/>
                <w:lang w:val="es-ES"/>
              </w:rPr>
            </w:pPr>
            <w:r w:rsidRPr="00A96998">
              <w:rPr>
                <w:rFonts w:ascii="Lucida Bright" w:hAnsi="Lucida Bright" w:cs="Calibri"/>
                <w:b/>
                <w:bCs/>
                <w:sz w:val="18"/>
                <w:szCs w:val="18"/>
                <w:lang w:val="es-ES"/>
              </w:rPr>
              <w:t xml:space="preserve">CUADRO: RESULTADO POR ENAJENACIONES Y BAJAS DE INVERSIONES INMOBILIARIAS 2023 </w:t>
            </w:r>
            <w:r w:rsidRPr="00A96998">
              <w:rPr>
                <w:rFonts w:ascii="Lucida Bright" w:hAnsi="Lucida Bright" w:cs="Calibri"/>
                <w:sz w:val="14"/>
                <w:szCs w:val="14"/>
                <w:lang w:val="es-ES"/>
              </w:rPr>
              <w:t>(en euros)</w:t>
            </w:r>
          </w:p>
        </w:tc>
      </w:tr>
      <w:tr w:rsidR="00A96998" w:rsidRPr="00A96998" w:rsidTr="00A96998">
        <w:trPr>
          <w:trHeight w:val="300"/>
        </w:trPr>
        <w:tc>
          <w:tcPr>
            <w:tcW w:w="8440" w:type="dxa"/>
            <w:gridSpan w:val="7"/>
            <w:vMerge/>
            <w:tcBorders>
              <w:top w:val="nil"/>
              <w:left w:val="nil"/>
              <w:bottom w:val="nil"/>
              <w:right w:val="nil"/>
            </w:tcBorders>
            <w:vAlign w:val="center"/>
            <w:hideMark/>
          </w:tcPr>
          <w:p w:rsidR="00A96998" w:rsidRPr="00A96998" w:rsidRDefault="00A96998" w:rsidP="00A96998">
            <w:pPr>
              <w:rPr>
                <w:rFonts w:ascii="Lucida Bright" w:hAnsi="Lucida Bright" w:cs="Calibri"/>
                <w:b/>
                <w:bCs/>
                <w:sz w:val="18"/>
                <w:szCs w:val="18"/>
                <w:lang w:val="es-ES"/>
              </w:rPr>
            </w:pPr>
          </w:p>
        </w:tc>
      </w:tr>
      <w:tr w:rsidR="00A96998" w:rsidRPr="00A96998" w:rsidTr="00A96998">
        <w:trPr>
          <w:trHeight w:val="720"/>
        </w:trPr>
        <w:tc>
          <w:tcPr>
            <w:tcW w:w="1026"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96998" w:rsidRPr="00A96998" w:rsidRDefault="00A96998" w:rsidP="00A96998">
            <w:pPr>
              <w:jc w:val="center"/>
              <w:rPr>
                <w:rFonts w:ascii="Lucida Bright" w:hAnsi="Lucida Bright" w:cs="Calibri"/>
                <w:b/>
                <w:bCs/>
                <w:sz w:val="14"/>
                <w:szCs w:val="14"/>
                <w:lang w:val="es-ES"/>
              </w:rPr>
            </w:pPr>
            <w:r w:rsidRPr="00A96998">
              <w:rPr>
                <w:rFonts w:ascii="Lucida Bright" w:hAnsi="Lucida Bright" w:cs="Calibri"/>
                <w:b/>
                <w:bCs/>
                <w:sz w:val="14"/>
                <w:szCs w:val="14"/>
                <w:lang w:val="es-ES"/>
              </w:rPr>
              <w:t>Fecha</w:t>
            </w:r>
          </w:p>
        </w:tc>
        <w:tc>
          <w:tcPr>
            <w:tcW w:w="1168" w:type="dxa"/>
            <w:tcBorders>
              <w:top w:val="single" w:sz="4" w:space="0" w:color="auto"/>
              <w:left w:val="nil"/>
              <w:bottom w:val="single" w:sz="4" w:space="0" w:color="auto"/>
              <w:right w:val="single" w:sz="4" w:space="0" w:color="auto"/>
            </w:tcBorders>
            <w:shd w:val="clear" w:color="000000" w:fill="CCFFCC"/>
            <w:vAlign w:val="center"/>
            <w:hideMark/>
          </w:tcPr>
          <w:p w:rsidR="00A96998" w:rsidRPr="00A96998" w:rsidRDefault="00A96998" w:rsidP="00A96998">
            <w:pPr>
              <w:jc w:val="center"/>
              <w:rPr>
                <w:rFonts w:ascii="Lucida Bright" w:hAnsi="Lucida Bright" w:cs="Calibri"/>
                <w:b/>
                <w:bCs/>
                <w:sz w:val="14"/>
                <w:szCs w:val="14"/>
                <w:lang w:val="es-ES"/>
              </w:rPr>
            </w:pPr>
            <w:r w:rsidRPr="00A96998">
              <w:rPr>
                <w:rFonts w:ascii="Lucida Bright" w:hAnsi="Lucida Bright" w:cs="Calibri"/>
                <w:b/>
                <w:bCs/>
                <w:sz w:val="14"/>
                <w:szCs w:val="14"/>
                <w:lang w:val="es-ES"/>
              </w:rPr>
              <w:t>Operación</w:t>
            </w:r>
            <w:r w:rsidRPr="00A96998">
              <w:rPr>
                <w:rFonts w:ascii="Lucida Bright" w:hAnsi="Lucida Bright" w:cs="Calibri"/>
                <w:b/>
                <w:bCs/>
                <w:sz w:val="14"/>
                <w:szCs w:val="14"/>
                <w:lang w:val="es-ES"/>
              </w:rPr>
              <w:br/>
              <w:t xml:space="preserve">(Venta, retiro, </w:t>
            </w:r>
            <w:proofErr w:type="spellStart"/>
            <w:r w:rsidRPr="00A96998">
              <w:rPr>
                <w:rFonts w:ascii="Lucida Bright" w:hAnsi="Lucida Bright" w:cs="Calibri"/>
                <w:b/>
                <w:bCs/>
                <w:sz w:val="14"/>
                <w:szCs w:val="14"/>
                <w:lang w:val="es-ES"/>
              </w:rPr>
              <w:t>etc</w:t>
            </w:r>
            <w:proofErr w:type="spellEnd"/>
            <w:r w:rsidRPr="00A96998">
              <w:rPr>
                <w:rFonts w:ascii="Lucida Bright" w:hAnsi="Lucida Bright" w:cs="Calibri"/>
                <w:b/>
                <w:bCs/>
                <w:sz w:val="14"/>
                <w:szCs w:val="14"/>
                <w:lang w:val="es-ES"/>
              </w:rPr>
              <w:t>)</w:t>
            </w:r>
          </w:p>
        </w:tc>
        <w:tc>
          <w:tcPr>
            <w:tcW w:w="1584" w:type="dxa"/>
            <w:tcBorders>
              <w:top w:val="single" w:sz="4" w:space="0" w:color="auto"/>
              <w:left w:val="nil"/>
              <w:bottom w:val="single" w:sz="4" w:space="0" w:color="auto"/>
              <w:right w:val="nil"/>
            </w:tcBorders>
            <w:shd w:val="clear" w:color="000000" w:fill="CCFFCC"/>
            <w:vAlign w:val="center"/>
            <w:hideMark/>
          </w:tcPr>
          <w:p w:rsidR="00A96998" w:rsidRPr="00A96998" w:rsidRDefault="00A96998" w:rsidP="00A96998">
            <w:pPr>
              <w:jc w:val="center"/>
              <w:rPr>
                <w:rFonts w:ascii="Lucida Bright" w:hAnsi="Lucida Bright" w:cs="Calibri"/>
                <w:b/>
                <w:bCs/>
                <w:sz w:val="14"/>
                <w:szCs w:val="14"/>
                <w:lang w:val="es-ES"/>
              </w:rPr>
            </w:pPr>
            <w:r w:rsidRPr="00A96998">
              <w:rPr>
                <w:rFonts w:ascii="Lucida Bright" w:hAnsi="Lucida Bright" w:cs="Calibri"/>
                <w:b/>
                <w:bCs/>
                <w:sz w:val="14"/>
                <w:szCs w:val="14"/>
                <w:lang w:val="es-ES"/>
              </w:rPr>
              <w:t>Descripción/Grupo funcional del activo</w:t>
            </w:r>
          </w:p>
        </w:tc>
        <w:tc>
          <w:tcPr>
            <w:tcW w:w="1165"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96998" w:rsidRPr="00A96998" w:rsidRDefault="00A96998" w:rsidP="00A96998">
            <w:pPr>
              <w:jc w:val="center"/>
              <w:rPr>
                <w:rFonts w:ascii="Lucida Bright" w:hAnsi="Lucida Bright" w:cs="Calibri"/>
                <w:b/>
                <w:bCs/>
                <w:sz w:val="14"/>
                <w:szCs w:val="14"/>
                <w:lang w:val="es-ES"/>
              </w:rPr>
            </w:pPr>
            <w:r w:rsidRPr="00A96998">
              <w:rPr>
                <w:rFonts w:ascii="Lucida Bright" w:hAnsi="Lucida Bright" w:cs="Calibri"/>
                <w:b/>
                <w:bCs/>
                <w:sz w:val="14"/>
                <w:szCs w:val="14"/>
                <w:lang w:val="es-ES"/>
              </w:rPr>
              <w:t>Valor</w:t>
            </w:r>
            <w:r w:rsidRPr="00A96998">
              <w:rPr>
                <w:rFonts w:ascii="Lucida Bright" w:hAnsi="Lucida Bright" w:cs="Calibri"/>
                <w:b/>
                <w:bCs/>
                <w:sz w:val="14"/>
                <w:szCs w:val="14"/>
                <w:lang w:val="es-ES"/>
              </w:rPr>
              <w:br/>
              <w:t>contable</w:t>
            </w:r>
            <w:r w:rsidRPr="00A96998">
              <w:rPr>
                <w:rFonts w:ascii="Lucida Bright" w:hAnsi="Lucida Bright" w:cs="Calibri"/>
                <w:b/>
                <w:bCs/>
                <w:sz w:val="14"/>
                <w:szCs w:val="14"/>
                <w:lang w:val="es-ES"/>
              </w:rPr>
              <w:br/>
              <w:t>bruto</w:t>
            </w:r>
          </w:p>
        </w:tc>
        <w:tc>
          <w:tcPr>
            <w:tcW w:w="1184" w:type="dxa"/>
            <w:tcBorders>
              <w:top w:val="single" w:sz="4" w:space="0" w:color="auto"/>
              <w:left w:val="nil"/>
              <w:bottom w:val="single" w:sz="4" w:space="0" w:color="auto"/>
              <w:right w:val="single" w:sz="4" w:space="0" w:color="auto"/>
            </w:tcBorders>
            <w:shd w:val="clear" w:color="000000" w:fill="CCFFCC"/>
            <w:vAlign w:val="center"/>
            <w:hideMark/>
          </w:tcPr>
          <w:p w:rsidR="00A96998" w:rsidRPr="00A96998" w:rsidRDefault="00A96998" w:rsidP="00A96998">
            <w:pPr>
              <w:jc w:val="center"/>
              <w:rPr>
                <w:rFonts w:ascii="Lucida Bright" w:hAnsi="Lucida Bright" w:cs="Calibri"/>
                <w:b/>
                <w:bCs/>
                <w:sz w:val="14"/>
                <w:szCs w:val="14"/>
                <w:lang w:val="es-ES"/>
              </w:rPr>
            </w:pPr>
            <w:r w:rsidRPr="00A96998">
              <w:rPr>
                <w:rFonts w:ascii="Lucida Bright" w:hAnsi="Lucida Bright" w:cs="Calibri"/>
                <w:b/>
                <w:bCs/>
                <w:sz w:val="14"/>
                <w:szCs w:val="14"/>
                <w:lang w:val="es-ES"/>
              </w:rPr>
              <w:t>Amortización</w:t>
            </w:r>
            <w:r w:rsidRPr="00A96998">
              <w:rPr>
                <w:rFonts w:ascii="Lucida Bright" w:hAnsi="Lucida Bright" w:cs="Calibri"/>
                <w:b/>
                <w:bCs/>
                <w:sz w:val="14"/>
                <w:szCs w:val="14"/>
                <w:lang w:val="es-ES"/>
              </w:rPr>
              <w:br/>
              <w:t>acumulada/</w:t>
            </w:r>
            <w:r w:rsidRPr="00A96998">
              <w:rPr>
                <w:rFonts w:ascii="Lucida Bright" w:hAnsi="Lucida Bright" w:cs="Calibri"/>
                <w:b/>
                <w:bCs/>
                <w:sz w:val="14"/>
                <w:szCs w:val="14"/>
                <w:lang w:val="es-ES"/>
              </w:rPr>
              <w:br/>
              <w:t>Deterioro de valor aplicado</w:t>
            </w:r>
          </w:p>
        </w:tc>
        <w:tc>
          <w:tcPr>
            <w:tcW w:w="1141" w:type="dxa"/>
            <w:tcBorders>
              <w:top w:val="single" w:sz="4" w:space="0" w:color="auto"/>
              <w:left w:val="nil"/>
              <w:bottom w:val="single" w:sz="4" w:space="0" w:color="auto"/>
              <w:right w:val="nil"/>
            </w:tcBorders>
            <w:shd w:val="clear" w:color="000000" w:fill="CCFFCC"/>
            <w:vAlign w:val="center"/>
            <w:hideMark/>
          </w:tcPr>
          <w:p w:rsidR="00A96998" w:rsidRPr="00A96998" w:rsidRDefault="00A96998" w:rsidP="00A96998">
            <w:pPr>
              <w:jc w:val="center"/>
              <w:rPr>
                <w:rFonts w:ascii="Lucida Bright" w:hAnsi="Lucida Bright" w:cs="Calibri"/>
                <w:b/>
                <w:bCs/>
                <w:sz w:val="14"/>
                <w:szCs w:val="14"/>
                <w:lang w:val="es-ES"/>
              </w:rPr>
            </w:pPr>
            <w:r w:rsidRPr="00A96998">
              <w:rPr>
                <w:rFonts w:ascii="Lucida Bright" w:hAnsi="Lucida Bright" w:cs="Calibri"/>
                <w:b/>
                <w:bCs/>
                <w:sz w:val="14"/>
                <w:szCs w:val="14"/>
                <w:lang w:val="es-ES"/>
              </w:rPr>
              <w:t>Precio de</w:t>
            </w:r>
            <w:r w:rsidRPr="00A96998">
              <w:rPr>
                <w:rFonts w:ascii="Lucida Bright" w:hAnsi="Lucida Bright" w:cs="Calibri"/>
                <w:b/>
                <w:bCs/>
                <w:sz w:val="14"/>
                <w:szCs w:val="14"/>
                <w:lang w:val="es-ES"/>
              </w:rPr>
              <w:br/>
              <w:t>venta</w:t>
            </w:r>
          </w:p>
        </w:tc>
        <w:tc>
          <w:tcPr>
            <w:tcW w:w="117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96998" w:rsidRPr="00A96998" w:rsidRDefault="00A96998" w:rsidP="00A96998">
            <w:pPr>
              <w:jc w:val="center"/>
              <w:rPr>
                <w:rFonts w:ascii="Lucida Bright" w:hAnsi="Lucida Bright" w:cs="Calibri"/>
                <w:b/>
                <w:bCs/>
                <w:sz w:val="14"/>
                <w:szCs w:val="14"/>
                <w:lang w:val="es-ES"/>
              </w:rPr>
            </w:pPr>
            <w:r w:rsidRPr="00A96998">
              <w:rPr>
                <w:rFonts w:ascii="Lucida Bright" w:hAnsi="Lucida Bright" w:cs="Calibri"/>
                <w:b/>
                <w:bCs/>
                <w:sz w:val="14"/>
                <w:szCs w:val="14"/>
                <w:lang w:val="es-ES"/>
              </w:rPr>
              <w:t>Resultado de</w:t>
            </w:r>
            <w:r w:rsidRPr="00A96998">
              <w:rPr>
                <w:rFonts w:ascii="Lucida Bright" w:hAnsi="Lucida Bright" w:cs="Calibri"/>
                <w:b/>
                <w:bCs/>
                <w:sz w:val="14"/>
                <w:szCs w:val="14"/>
                <w:lang w:val="es-ES"/>
              </w:rPr>
              <w:br/>
              <w:t>la operación</w:t>
            </w:r>
          </w:p>
        </w:tc>
      </w:tr>
      <w:tr w:rsidR="00A96998" w:rsidRPr="00A96998" w:rsidTr="00A96998">
        <w:trPr>
          <w:trHeight w:val="300"/>
        </w:trPr>
        <w:tc>
          <w:tcPr>
            <w:tcW w:w="2194"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A96998" w:rsidRPr="00A96998" w:rsidRDefault="00A96998" w:rsidP="00A96998">
            <w:pPr>
              <w:rPr>
                <w:rFonts w:ascii="Lucida Bright" w:hAnsi="Lucida Bright" w:cs="Calibri"/>
                <w:b/>
                <w:bCs/>
                <w:sz w:val="14"/>
                <w:szCs w:val="14"/>
                <w:lang w:val="es-ES"/>
              </w:rPr>
            </w:pPr>
            <w:r w:rsidRPr="00A96998">
              <w:rPr>
                <w:rFonts w:ascii="Lucida Bright" w:hAnsi="Lucida Bright" w:cs="Calibri"/>
                <w:b/>
                <w:bCs/>
                <w:sz w:val="14"/>
                <w:szCs w:val="14"/>
                <w:lang w:val="es-ES"/>
              </w:rPr>
              <w:t>Inversión inmobiliaria</w:t>
            </w:r>
          </w:p>
        </w:tc>
        <w:tc>
          <w:tcPr>
            <w:tcW w:w="1584" w:type="dxa"/>
            <w:tcBorders>
              <w:top w:val="single" w:sz="4" w:space="0" w:color="auto"/>
              <w:left w:val="nil"/>
              <w:bottom w:val="nil"/>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65" w:type="dxa"/>
            <w:tcBorders>
              <w:top w:val="single" w:sz="4" w:space="0" w:color="auto"/>
              <w:left w:val="nil"/>
              <w:bottom w:val="nil"/>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84" w:type="dxa"/>
            <w:tcBorders>
              <w:top w:val="single" w:sz="4" w:space="0" w:color="auto"/>
              <w:left w:val="nil"/>
              <w:bottom w:val="nil"/>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41" w:type="dxa"/>
            <w:tcBorders>
              <w:top w:val="single" w:sz="4" w:space="0" w:color="auto"/>
              <w:left w:val="nil"/>
              <w:bottom w:val="nil"/>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72" w:type="dxa"/>
            <w:tcBorders>
              <w:top w:val="single" w:sz="4" w:space="0" w:color="auto"/>
              <w:left w:val="nil"/>
              <w:bottom w:val="nil"/>
              <w:right w:val="single" w:sz="4" w:space="0" w:color="auto"/>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r>
      <w:tr w:rsidR="00A96998" w:rsidRPr="00A96998" w:rsidTr="00A96998">
        <w:trPr>
          <w:trHeight w:val="540"/>
        </w:trPr>
        <w:tc>
          <w:tcPr>
            <w:tcW w:w="1026" w:type="dxa"/>
            <w:tcBorders>
              <w:top w:val="nil"/>
              <w:left w:val="single" w:sz="4" w:space="0" w:color="auto"/>
              <w:bottom w:val="single" w:sz="4" w:space="0" w:color="auto"/>
              <w:right w:val="single" w:sz="4" w:space="0" w:color="auto"/>
            </w:tcBorders>
            <w:shd w:val="clear" w:color="000000" w:fill="FFFFFF"/>
            <w:noWrap/>
            <w:vAlign w:val="center"/>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03/10/2023</w:t>
            </w:r>
          </w:p>
        </w:tc>
        <w:tc>
          <w:tcPr>
            <w:tcW w:w="1168" w:type="dxa"/>
            <w:tcBorders>
              <w:top w:val="nil"/>
              <w:left w:val="nil"/>
              <w:bottom w:val="single" w:sz="4" w:space="0" w:color="auto"/>
              <w:right w:val="single" w:sz="4" w:space="0" w:color="auto"/>
            </w:tcBorders>
            <w:shd w:val="clear" w:color="000000" w:fill="FFFFFF"/>
            <w:noWrap/>
            <w:vAlign w:val="center"/>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Baja</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A96998" w:rsidRPr="00A96998" w:rsidRDefault="00A96998" w:rsidP="00A96998">
            <w:pPr>
              <w:rPr>
                <w:rFonts w:ascii="Arial" w:hAnsi="Arial" w:cs="Arial"/>
                <w:color w:val="000000"/>
                <w:sz w:val="14"/>
                <w:szCs w:val="14"/>
                <w:lang w:val="es-ES"/>
              </w:rPr>
            </w:pPr>
            <w:r w:rsidRPr="00A96998">
              <w:rPr>
                <w:rFonts w:ascii="Arial" w:hAnsi="Arial" w:cs="Arial"/>
                <w:color w:val="000000"/>
                <w:sz w:val="14"/>
                <w:szCs w:val="14"/>
                <w:lang w:val="es-ES"/>
              </w:rPr>
              <w:t>Mejora de locales de la entreplanta de la EM Ibiza</w:t>
            </w:r>
          </w:p>
        </w:tc>
        <w:tc>
          <w:tcPr>
            <w:tcW w:w="1165" w:type="dxa"/>
            <w:tcBorders>
              <w:top w:val="single" w:sz="4" w:space="0" w:color="auto"/>
              <w:left w:val="nil"/>
              <w:bottom w:val="single" w:sz="4" w:space="0" w:color="auto"/>
              <w:right w:val="single" w:sz="4" w:space="0" w:color="auto"/>
            </w:tcBorders>
            <w:shd w:val="clear" w:color="000000" w:fill="FFFFFF"/>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12.953,00 </w:t>
            </w:r>
          </w:p>
        </w:tc>
        <w:tc>
          <w:tcPr>
            <w:tcW w:w="1184" w:type="dxa"/>
            <w:tcBorders>
              <w:top w:val="single" w:sz="4" w:space="0" w:color="auto"/>
              <w:left w:val="nil"/>
              <w:bottom w:val="single" w:sz="4" w:space="0" w:color="auto"/>
              <w:right w:val="single" w:sz="4" w:space="0" w:color="auto"/>
            </w:tcBorders>
            <w:shd w:val="clear" w:color="000000" w:fill="FFFFFF"/>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(5.964,64) </w:t>
            </w:r>
          </w:p>
        </w:tc>
        <w:tc>
          <w:tcPr>
            <w:tcW w:w="1141" w:type="dxa"/>
            <w:tcBorders>
              <w:top w:val="single" w:sz="4" w:space="0" w:color="auto"/>
              <w:left w:val="nil"/>
              <w:bottom w:val="single" w:sz="4" w:space="0" w:color="auto"/>
              <w:right w:val="single" w:sz="4" w:space="0" w:color="auto"/>
            </w:tcBorders>
            <w:shd w:val="clear" w:color="000000" w:fill="FFFFFF"/>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(6.988,36) </w:t>
            </w:r>
          </w:p>
        </w:tc>
      </w:tr>
      <w:tr w:rsidR="00A96998" w:rsidRPr="00A96998" w:rsidTr="00A96998">
        <w:trPr>
          <w:trHeight w:val="360"/>
        </w:trPr>
        <w:tc>
          <w:tcPr>
            <w:tcW w:w="1026" w:type="dxa"/>
            <w:tcBorders>
              <w:top w:val="nil"/>
              <w:left w:val="single" w:sz="4" w:space="0" w:color="auto"/>
              <w:bottom w:val="single" w:sz="4" w:space="0" w:color="auto"/>
              <w:right w:val="single" w:sz="4" w:space="0" w:color="auto"/>
            </w:tcBorders>
            <w:shd w:val="clear" w:color="000000" w:fill="FFFFFF"/>
            <w:noWrap/>
            <w:vAlign w:val="center"/>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03/10/2023</w:t>
            </w:r>
          </w:p>
        </w:tc>
        <w:tc>
          <w:tcPr>
            <w:tcW w:w="1168" w:type="dxa"/>
            <w:tcBorders>
              <w:top w:val="nil"/>
              <w:left w:val="nil"/>
              <w:bottom w:val="single" w:sz="4" w:space="0" w:color="auto"/>
              <w:right w:val="single" w:sz="4" w:space="0" w:color="auto"/>
            </w:tcBorders>
            <w:shd w:val="clear" w:color="000000" w:fill="FFFFFF"/>
            <w:noWrap/>
            <w:vAlign w:val="center"/>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Baja</w:t>
            </w:r>
          </w:p>
        </w:tc>
        <w:tc>
          <w:tcPr>
            <w:tcW w:w="1584" w:type="dxa"/>
            <w:tcBorders>
              <w:top w:val="nil"/>
              <w:left w:val="nil"/>
              <w:bottom w:val="single" w:sz="4" w:space="0" w:color="auto"/>
              <w:right w:val="single" w:sz="4" w:space="0" w:color="auto"/>
            </w:tcBorders>
            <w:shd w:val="clear" w:color="auto" w:fill="auto"/>
            <w:vAlign w:val="center"/>
            <w:hideMark/>
          </w:tcPr>
          <w:p w:rsidR="00A96998" w:rsidRPr="00A96998" w:rsidRDefault="00A96998" w:rsidP="00A96998">
            <w:pPr>
              <w:rPr>
                <w:rFonts w:ascii="Arial" w:hAnsi="Arial" w:cs="Arial"/>
                <w:color w:val="000000"/>
                <w:sz w:val="14"/>
                <w:szCs w:val="14"/>
                <w:lang w:val="es-ES"/>
              </w:rPr>
            </w:pPr>
            <w:proofErr w:type="spellStart"/>
            <w:r w:rsidRPr="00A96998">
              <w:rPr>
                <w:rFonts w:ascii="Arial" w:hAnsi="Arial" w:cs="Arial"/>
                <w:color w:val="000000"/>
                <w:sz w:val="14"/>
                <w:szCs w:val="14"/>
                <w:lang w:val="es-ES"/>
              </w:rPr>
              <w:t>Acond</w:t>
            </w:r>
            <w:proofErr w:type="spellEnd"/>
            <w:r w:rsidRPr="00A96998">
              <w:rPr>
                <w:rFonts w:ascii="Arial" w:hAnsi="Arial" w:cs="Arial"/>
                <w:color w:val="000000"/>
                <w:sz w:val="14"/>
                <w:szCs w:val="14"/>
                <w:lang w:val="es-ES"/>
              </w:rPr>
              <w:t>. planta 1ª de la E.M. Contramuelle Ibiza</w:t>
            </w:r>
          </w:p>
        </w:tc>
        <w:tc>
          <w:tcPr>
            <w:tcW w:w="1165" w:type="dxa"/>
            <w:tcBorders>
              <w:top w:val="nil"/>
              <w:left w:val="nil"/>
              <w:bottom w:val="single" w:sz="4" w:space="0" w:color="auto"/>
              <w:right w:val="single" w:sz="4" w:space="0" w:color="auto"/>
            </w:tcBorders>
            <w:shd w:val="clear" w:color="000000" w:fill="FFFFFF"/>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43.099,57 </w:t>
            </w:r>
          </w:p>
        </w:tc>
        <w:tc>
          <w:tcPr>
            <w:tcW w:w="1184" w:type="dxa"/>
            <w:tcBorders>
              <w:top w:val="nil"/>
              <w:left w:val="nil"/>
              <w:bottom w:val="single" w:sz="4" w:space="0" w:color="auto"/>
              <w:right w:val="single" w:sz="4" w:space="0" w:color="auto"/>
            </w:tcBorders>
            <w:shd w:val="clear" w:color="000000" w:fill="FFFFFF"/>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(19.497,80) </w:t>
            </w:r>
          </w:p>
        </w:tc>
        <w:tc>
          <w:tcPr>
            <w:tcW w:w="1141" w:type="dxa"/>
            <w:tcBorders>
              <w:top w:val="nil"/>
              <w:left w:val="nil"/>
              <w:bottom w:val="single" w:sz="4" w:space="0" w:color="auto"/>
              <w:right w:val="single" w:sz="4" w:space="0" w:color="auto"/>
            </w:tcBorders>
            <w:shd w:val="clear" w:color="000000" w:fill="FFFFFF"/>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(23.601,77) </w:t>
            </w:r>
          </w:p>
        </w:tc>
      </w:tr>
      <w:tr w:rsidR="00A96998" w:rsidRPr="00A96998" w:rsidTr="00A96998">
        <w:trPr>
          <w:trHeight w:val="360"/>
        </w:trPr>
        <w:tc>
          <w:tcPr>
            <w:tcW w:w="1026" w:type="dxa"/>
            <w:tcBorders>
              <w:top w:val="nil"/>
              <w:left w:val="single" w:sz="4" w:space="0" w:color="auto"/>
              <w:bottom w:val="single" w:sz="4" w:space="0" w:color="auto"/>
              <w:right w:val="single" w:sz="4" w:space="0" w:color="auto"/>
            </w:tcBorders>
            <w:shd w:val="clear" w:color="000000" w:fill="FFFFFF"/>
            <w:noWrap/>
            <w:vAlign w:val="center"/>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03/10/2023</w:t>
            </w:r>
          </w:p>
        </w:tc>
        <w:tc>
          <w:tcPr>
            <w:tcW w:w="1168" w:type="dxa"/>
            <w:tcBorders>
              <w:top w:val="nil"/>
              <w:left w:val="nil"/>
              <w:bottom w:val="single" w:sz="4" w:space="0" w:color="auto"/>
              <w:right w:val="single" w:sz="4" w:space="0" w:color="auto"/>
            </w:tcBorders>
            <w:shd w:val="clear" w:color="000000" w:fill="FFFFFF"/>
            <w:noWrap/>
            <w:vAlign w:val="center"/>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Baja</w:t>
            </w:r>
          </w:p>
        </w:tc>
        <w:tc>
          <w:tcPr>
            <w:tcW w:w="1584" w:type="dxa"/>
            <w:tcBorders>
              <w:top w:val="nil"/>
              <w:left w:val="nil"/>
              <w:bottom w:val="single" w:sz="4" w:space="0" w:color="auto"/>
              <w:right w:val="single" w:sz="4" w:space="0" w:color="auto"/>
            </w:tcBorders>
            <w:shd w:val="clear" w:color="auto" w:fill="auto"/>
            <w:vAlign w:val="center"/>
            <w:hideMark/>
          </w:tcPr>
          <w:p w:rsidR="00A96998" w:rsidRPr="00A96998" w:rsidRDefault="00A96998" w:rsidP="00A96998">
            <w:pPr>
              <w:rPr>
                <w:rFonts w:ascii="Arial" w:hAnsi="Arial" w:cs="Arial"/>
                <w:color w:val="000000"/>
                <w:sz w:val="14"/>
                <w:szCs w:val="14"/>
                <w:lang w:val="es-ES"/>
              </w:rPr>
            </w:pPr>
            <w:proofErr w:type="spellStart"/>
            <w:r w:rsidRPr="00A96998">
              <w:rPr>
                <w:rFonts w:ascii="Arial" w:hAnsi="Arial" w:cs="Arial"/>
                <w:color w:val="000000"/>
                <w:sz w:val="14"/>
                <w:szCs w:val="14"/>
                <w:lang w:val="es-ES"/>
              </w:rPr>
              <w:t>Sist</w:t>
            </w:r>
            <w:proofErr w:type="spellEnd"/>
            <w:r w:rsidRPr="00A96998">
              <w:rPr>
                <w:rFonts w:ascii="Arial" w:hAnsi="Arial" w:cs="Arial"/>
                <w:color w:val="000000"/>
                <w:sz w:val="14"/>
                <w:szCs w:val="14"/>
                <w:lang w:val="es-ES"/>
              </w:rPr>
              <w:t>. climatización E.M. Contramuelle Ibiza</w:t>
            </w:r>
          </w:p>
        </w:tc>
        <w:tc>
          <w:tcPr>
            <w:tcW w:w="1165" w:type="dxa"/>
            <w:tcBorders>
              <w:top w:val="nil"/>
              <w:left w:val="nil"/>
              <w:bottom w:val="single" w:sz="4" w:space="0" w:color="auto"/>
              <w:right w:val="single" w:sz="4" w:space="0" w:color="auto"/>
            </w:tcBorders>
            <w:shd w:val="clear" w:color="000000" w:fill="FFFFFF"/>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35.619,05 </w:t>
            </w:r>
          </w:p>
        </w:tc>
        <w:tc>
          <w:tcPr>
            <w:tcW w:w="1184" w:type="dxa"/>
            <w:tcBorders>
              <w:top w:val="nil"/>
              <w:left w:val="nil"/>
              <w:bottom w:val="single" w:sz="4" w:space="0" w:color="auto"/>
              <w:right w:val="single" w:sz="4" w:space="0" w:color="auto"/>
            </w:tcBorders>
            <w:shd w:val="clear" w:color="000000" w:fill="FFFFFF"/>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(15.520,21) </w:t>
            </w:r>
          </w:p>
        </w:tc>
        <w:tc>
          <w:tcPr>
            <w:tcW w:w="1141" w:type="dxa"/>
            <w:tcBorders>
              <w:top w:val="nil"/>
              <w:left w:val="nil"/>
              <w:bottom w:val="single" w:sz="4" w:space="0" w:color="auto"/>
              <w:right w:val="single" w:sz="4" w:space="0" w:color="auto"/>
            </w:tcBorders>
            <w:shd w:val="clear" w:color="000000" w:fill="FFFFFF"/>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sz w:val="14"/>
                <w:szCs w:val="14"/>
                <w:lang w:val="es-ES"/>
              </w:rPr>
            </w:pPr>
            <w:r w:rsidRPr="00A96998">
              <w:rPr>
                <w:rFonts w:ascii="Lucida Bright" w:hAnsi="Lucida Bright" w:cs="Calibri"/>
                <w:sz w:val="14"/>
                <w:szCs w:val="14"/>
                <w:lang w:val="es-ES"/>
              </w:rPr>
              <w:t xml:space="preserve">(20.098,84) </w:t>
            </w:r>
          </w:p>
        </w:tc>
      </w:tr>
      <w:tr w:rsidR="00A96998" w:rsidRPr="00A96998" w:rsidTr="00A96998">
        <w:trPr>
          <w:trHeight w:val="300"/>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A96998" w:rsidRPr="00A96998" w:rsidRDefault="00A96998" w:rsidP="00A96998">
            <w:pPr>
              <w:jc w:val="center"/>
              <w:rPr>
                <w:rFonts w:ascii="Lucida Bright" w:hAnsi="Lucida Bright" w:cs="Calibri"/>
                <w:b/>
                <w:bCs/>
                <w:sz w:val="14"/>
                <w:szCs w:val="14"/>
                <w:lang w:val="es-ES"/>
              </w:rPr>
            </w:pPr>
            <w:r w:rsidRPr="00A96998">
              <w:rPr>
                <w:rFonts w:ascii="Lucida Bright" w:hAnsi="Lucida Bright" w:cs="Calibri"/>
                <w:b/>
                <w:bCs/>
                <w:sz w:val="14"/>
                <w:szCs w:val="14"/>
                <w:lang w:val="es-ES"/>
              </w:rPr>
              <w:t>TOTAL</w:t>
            </w:r>
          </w:p>
        </w:tc>
        <w:tc>
          <w:tcPr>
            <w:tcW w:w="1168" w:type="dxa"/>
            <w:tcBorders>
              <w:top w:val="nil"/>
              <w:left w:val="nil"/>
              <w:bottom w:val="single" w:sz="4" w:space="0" w:color="auto"/>
              <w:right w:val="single" w:sz="4" w:space="0" w:color="auto"/>
            </w:tcBorders>
            <w:shd w:val="clear" w:color="auto" w:fill="auto"/>
            <w:noWrap/>
            <w:vAlign w:val="center"/>
            <w:hideMark/>
          </w:tcPr>
          <w:p w:rsidR="00A96998" w:rsidRPr="00A96998" w:rsidRDefault="00A96998" w:rsidP="00A96998">
            <w:pPr>
              <w:rPr>
                <w:rFonts w:ascii="Lucida Bright" w:hAnsi="Lucida Bright" w:cs="Calibri"/>
                <w:b/>
                <w:bCs/>
                <w:sz w:val="14"/>
                <w:szCs w:val="14"/>
                <w:lang w:val="es-ES"/>
              </w:rPr>
            </w:pPr>
            <w:r w:rsidRPr="00A96998">
              <w:rPr>
                <w:rFonts w:ascii="Lucida Bright" w:hAnsi="Lucida Bright" w:cs="Calibri"/>
                <w:b/>
                <w:bCs/>
                <w:sz w:val="14"/>
                <w:szCs w:val="14"/>
                <w:lang w:val="es-ES"/>
              </w:rPr>
              <w:t> </w:t>
            </w:r>
          </w:p>
        </w:tc>
        <w:tc>
          <w:tcPr>
            <w:tcW w:w="1584" w:type="dxa"/>
            <w:tcBorders>
              <w:top w:val="nil"/>
              <w:left w:val="nil"/>
              <w:bottom w:val="single" w:sz="4" w:space="0" w:color="auto"/>
              <w:right w:val="single" w:sz="4" w:space="0" w:color="auto"/>
            </w:tcBorders>
            <w:shd w:val="clear" w:color="auto" w:fill="auto"/>
            <w:noWrap/>
            <w:vAlign w:val="center"/>
            <w:hideMark/>
          </w:tcPr>
          <w:p w:rsidR="00A96998" w:rsidRPr="00A96998" w:rsidRDefault="00A96998" w:rsidP="00A96998">
            <w:pPr>
              <w:rPr>
                <w:rFonts w:ascii="Lucida Bright" w:hAnsi="Lucida Bright" w:cs="Calibri"/>
                <w:b/>
                <w:bCs/>
                <w:sz w:val="14"/>
                <w:szCs w:val="14"/>
                <w:lang w:val="es-ES"/>
              </w:rPr>
            </w:pPr>
            <w:r w:rsidRPr="00A96998">
              <w:rPr>
                <w:rFonts w:ascii="Lucida Bright" w:hAnsi="Lucida Bright" w:cs="Calibri"/>
                <w:b/>
                <w:bCs/>
                <w:sz w:val="14"/>
                <w:szCs w:val="14"/>
                <w:lang w:val="es-ES"/>
              </w:rPr>
              <w:t> </w:t>
            </w:r>
          </w:p>
        </w:tc>
        <w:tc>
          <w:tcPr>
            <w:tcW w:w="1165" w:type="dxa"/>
            <w:tcBorders>
              <w:top w:val="nil"/>
              <w:left w:val="nil"/>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b/>
                <w:bCs/>
                <w:sz w:val="14"/>
                <w:szCs w:val="14"/>
                <w:lang w:val="es-ES"/>
              </w:rPr>
            </w:pPr>
            <w:r w:rsidRPr="00A96998">
              <w:rPr>
                <w:rFonts w:ascii="Lucida Bright" w:hAnsi="Lucida Bright" w:cs="Calibri"/>
                <w:b/>
                <w:bCs/>
                <w:sz w:val="14"/>
                <w:szCs w:val="14"/>
                <w:lang w:val="es-ES"/>
              </w:rPr>
              <w:t xml:space="preserve">91.671,62 </w:t>
            </w:r>
          </w:p>
        </w:tc>
        <w:tc>
          <w:tcPr>
            <w:tcW w:w="1184" w:type="dxa"/>
            <w:tcBorders>
              <w:top w:val="nil"/>
              <w:left w:val="nil"/>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b/>
                <w:bCs/>
                <w:sz w:val="14"/>
                <w:szCs w:val="14"/>
                <w:lang w:val="es-ES"/>
              </w:rPr>
            </w:pPr>
            <w:r w:rsidRPr="00A96998">
              <w:rPr>
                <w:rFonts w:ascii="Lucida Bright" w:hAnsi="Lucida Bright" w:cs="Calibri"/>
                <w:b/>
                <w:bCs/>
                <w:sz w:val="14"/>
                <w:szCs w:val="14"/>
                <w:lang w:val="es-ES"/>
              </w:rPr>
              <w:t xml:space="preserve">(40.982,65) </w:t>
            </w:r>
          </w:p>
        </w:tc>
        <w:tc>
          <w:tcPr>
            <w:tcW w:w="1141" w:type="dxa"/>
            <w:tcBorders>
              <w:top w:val="nil"/>
              <w:left w:val="nil"/>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b/>
                <w:bCs/>
                <w:sz w:val="14"/>
                <w:szCs w:val="14"/>
                <w:lang w:val="es-ES"/>
              </w:rPr>
            </w:pPr>
            <w:r w:rsidRPr="00A96998">
              <w:rPr>
                <w:rFonts w:ascii="Lucida Bright" w:hAnsi="Lucida Bright" w:cs="Calibri"/>
                <w:b/>
                <w:bCs/>
                <w:sz w:val="14"/>
                <w:szCs w:val="14"/>
                <w:lang w:val="es-ES"/>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b/>
                <w:bCs/>
                <w:sz w:val="14"/>
                <w:szCs w:val="14"/>
                <w:lang w:val="es-ES"/>
              </w:rPr>
            </w:pPr>
            <w:r w:rsidRPr="00A96998">
              <w:rPr>
                <w:rFonts w:ascii="Lucida Bright" w:hAnsi="Lucida Bright" w:cs="Calibri"/>
                <w:b/>
                <w:bCs/>
                <w:sz w:val="14"/>
                <w:szCs w:val="14"/>
                <w:lang w:val="es-ES"/>
              </w:rPr>
              <w:t xml:space="preserve">(50.688,97) </w:t>
            </w:r>
          </w:p>
        </w:tc>
      </w:tr>
      <w:tr w:rsidR="00A96998" w:rsidRPr="00A96998" w:rsidTr="00A96998">
        <w:trPr>
          <w:trHeight w:val="300"/>
        </w:trPr>
        <w:tc>
          <w:tcPr>
            <w:tcW w:w="1026" w:type="dxa"/>
            <w:tcBorders>
              <w:top w:val="nil"/>
              <w:left w:val="nil"/>
              <w:bottom w:val="nil"/>
              <w:right w:val="nil"/>
            </w:tcBorders>
            <w:shd w:val="clear" w:color="000000" w:fill="FFFFFF"/>
            <w:noWrap/>
            <w:vAlign w:val="bottom"/>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 </w:t>
            </w:r>
          </w:p>
        </w:tc>
        <w:tc>
          <w:tcPr>
            <w:tcW w:w="1168" w:type="dxa"/>
            <w:tcBorders>
              <w:top w:val="nil"/>
              <w:left w:val="nil"/>
              <w:bottom w:val="nil"/>
              <w:right w:val="nil"/>
            </w:tcBorders>
            <w:shd w:val="clear" w:color="000000" w:fill="FFFFFF"/>
            <w:noWrap/>
            <w:vAlign w:val="bottom"/>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 </w:t>
            </w:r>
          </w:p>
        </w:tc>
        <w:tc>
          <w:tcPr>
            <w:tcW w:w="1584" w:type="dxa"/>
            <w:tcBorders>
              <w:top w:val="nil"/>
              <w:left w:val="nil"/>
              <w:bottom w:val="nil"/>
              <w:right w:val="nil"/>
            </w:tcBorders>
            <w:shd w:val="clear" w:color="000000" w:fill="FFFFFF"/>
            <w:noWrap/>
            <w:vAlign w:val="bottom"/>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 </w:t>
            </w:r>
          </w:p>
        </w:tc>
        <w:tc>
          <w:tcPr>
            <w:tcW w:w="1165" w:type="dxa"/>
            <w:tcBorders>
              <w:top w:val="nil"/>
              <w:left w:val="nil"/>
              <w:bottom w:val="nil"/>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84" w:type="dxa"/>
            <w:tcBorders>
              <w:top w:val="nil"/>
              <w:left w:val="nil"/>
              <w:bottom w:val="single" w:sz="4" w:space="0" w:color="auto"/>
              <w:right w:val="nil"/>
            </w:tcBorders>
            <w:shd w:val="clear" w:color="auto" w:fill="auto"/>
            <w:noWrap/>
            <w:vAlign w:val="center"/>
            <w:hideMark/>
          </w:tcPr>
          <w:p w:rsidR="00A96998" w:rsidRPr="00A96998" w:rsidRDefault="00A96998" w:rsidP="00A96998">
            <w:pPr>
              <w:rPr>
                <w:rFonts w:ascii="Lucida Bright" w:hAnsi="Lucida Bright" w:cs="Calibri"/>
                <w:b/>
                <w:bCs/>
                <w:sz w:val="14"/>
                <w:szCs w:val="14"/>
                <w:lang w:val="es-ES"/>
              </w:rPr>
            </w:pPr>
            <w:r w:rsidRPr="00A96998">
              <w:rPr>
                <w:rFonts w:ascii="Lucida Bright" w:hAnsi="Lucida Bright" w:cs="Calibri"/>
                <w:b/>
                <w:bCs/>
                <w:sz w:val="14"/>
                <w:szCs w:val="14"/>
                <w:lang w:val="es-ES"/>
              </w:rPr>
              <w:t> </w:t>
            </w:r>
          </w:p>
        </w:tc>
        <w:tc>
          <w:tcPr>
            <w:tcW w:w="1141" w:type="dxa"/>
            <w:tcBorders>
              <w:top w:val="nil"/>
              <w:left w:val="nil"/>
              <w:bottom w:val="single" w:sz="4" w:space="0" w:color="auto"/>
              <w:right w:val="nil"/>
            </w:tcBorders>
            <w:shd w:val="clear" w:color="auto" w:fill="auto"/>
            <w:noWrap/>
            <w:vAlign w:val="center"/>
            <w:hideMark/>
          </w:tcPr>
          <w:p w:rsidR="00A96998" w:rsidRPr="00A96998" w:rsidRDefault="00A96998" w:rsidP="00A96998">
            <w:pPr>
              <w:rPr>
                <w:rFonts w:ascii="Lucida Bright" w:hAnsi="Lucida Bright" w:cs="Calibri"/>
                <w:b/>
                <w:bCs/>
                <w:sz w:val="14"/>
                <w:szCs w:val="14"/>
                <w:lang w:val="es-ES"/>
              </w:rPr>
            </w:pPr>
            <w:r w:rsidRPr="00A96998">
              <w:rPr>
                <w:rFonts w:ascii="Lucida Bright" w:hAnsi="Lucida Bright" w:cs="Calibri"/>
                <w:b/>
                <w:bCs/>
                <w:sz w:val="14"/>
                <w:szCs w:val="14"/>
                <w:lang w:val="es-ES"/>
              </w:rPr>
              <w:t> </w:t>
            </w:r>
          </w:p>
        </w:tc>
        <w:tc>
          <w:tcPr>
            <w:tcW w:w="1172" w:type="dxa"/>
            <w:tcBorders>
              <w:top w:val="nil"/>
              <w:left w:val="nil"/>
              <w:bottom w:val="single" w:sz="4" w:space="0" w:color="auto"/>
              <w:right w:val="nil"/>
            </w:tcBorders>
            <w:shd w:val="clear" w:color="auto" w:fill="auto"/>
            <w:noWrap/>
            <w:vAlign w:val="center"/>
            <w:hideMark/>
          </w:tcPr>
          <w:p w:rsidR="00A96998" w:rsidRPr="00A96998" w:rsidRDefault="00A96998" w:rsidP="00A96998">
            <w:pPr>
              <w:rPr>
                <w:rFonts w:ascii="Lucida Bright" w:hAnsi="Lucida Bright" w:cs="Calibri"/>
                <w:b/>
                <w:bCs/>
                <w:sz w:val="14"/>
                <w:szCs w:val="14"/>
                <w:lang w:val="es-ES"/>
              </w:rPr>
            </w:pPr>
            <w:r w:rsidRPr="00A96998">
              <w:rPr>
                <w:rFonts w:ascii="Lucida Bright" w:hAnsi="Lucida Bright" w:cs="Calibri"/>
                <w:b/>
                <w:bCs/>
                <w:sz w:val="14"/>
                <w:szCs w:val="14"/>
                <w:lang w:val="es-ES"/>
              </w:rPr>
              <w:t> </w:t>
            </w:r>
          </w:p>
        </w:tc>
      </w:tr>
      <w:tr w:rsidR="00A96998" w:rsidRPr="00A96998" w:rsidTr="00A96998">
        <w:trPr>
          <w:trHeight w:val="300"/>
        </w:trPr>
        <w:tc>
          <w:tcPr>
            <w:tcW w:w="1026" w:type="dxa"/>
            <w:tcBorders>
              <w:top w:val="nil"/>
              <w:left w:val="nil"/>
              <w:bottom w:val="nil"/>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68" w:type="dxa"/>
            <w:tcBorders>
              <w:top w:val="nil"/>
              <w:left w:val="nil"/>
              <w:bottom w:val="nil"/>
              <w:right w:val="nil"/>
            </w:tcBorders>
            <w:shd w:val="clear" w:color="000000" w:fill="FFFFFF"/>
            <w:noWrap/>
            <w:vAlign w:val="bottom"/>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 </w:t>
            </w:r>
          </w:p>
        </w:tc>
        <w:tc>
          <w:tcPr>
            <w:tcW w:w="1584" w:type="dxa"/>
            <w:tcBorders>
              <w:top w:val="nil"/>
              <w:left w:val="nil"/>
              <w:bottom w:val="nil"/>
              <w:right w:val="nil"/>
            </w:tcBorders>
            <w:shd w:val="clear" w:color="000000" w:fill="FFFFFF"/>
            <w:noWrap/>
            <w:vAlign w:val="bottom"/>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 </w:t>
            </w:r>
          </w:p>
        </w:tc>
        <w:tc>
          <w:tcPr>
            <w:tcW w:w="1165" w:type="dxa"/>
            <w:tcBorders>
              <w:top w:val="nil"/>
              <w:left w:val="nil"/>
              <w:bottom w:val="nil"/>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84" w:type="dxa"/>
            <w:tcBorders>
              <w:top w:val="nil"/>
              <w:left w:val="single" w:sz="4" w:space="0" w:color="auto"/>
              <w:bottom w:val="single" w:sz="4" w:space="0" w:color="auto"/>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b/>
                <w:bCs/>
                <w:sz w:val="14"/>
                <w:szCs w:val="14"/>
                <w:lang w:val="es-ES"/>
              </w:rPr>
            </w:pPr>
            <w:r w:rsidRPr="00A96998">
              <w:rPr>
                <w:rFonts w:ascii="Lucida Bright" w:hAnsi="Lucida Bright" w:cs="Calibri"/>
                <w:b/>
                <w:bCs/>
                <w:sz w:val="14"/>
                <w:szCs w:val="14"/>
                <w:lang w:val="es-ES"/>
              </w:rPr>
              <w:t xml:space="preserve">Total Beneficios </w:t>
            </w:r>
          </w:p>
        </w:tc>
        <w:tc>
          <w:tcPr>
            <w:tcW w:w="1172" w:type="dxa"/>
            <w:tcBorders>
              <w:top w:val="nil"/>
              <w:left w:val="nil"/>
              <w:bottom w:val="nil"/>
              <w:right w:val="single" w:sz="4" w:space="0" w:color="auto"/>
            </w:tcBorders>
            <w:shd w:val="clear" w:color="auto" w:fill="auto"/>
            <w:noWrap/>
            <w:vAlign w:val="center"/>
            <w:hideMark/>
          </w:tcPr>
          <w:p w:rsidR="00A96998" w:rsidRPr="00A96998" w:rsidRDefault="00A96998" w:rsidP="00A96998">
            <w:pPr>
              <w:rPr>
                <w:rFonts w:ascii="Lucida Bright" w:hAnsi="Lucida Bright" w:cs="Calibri"/>
                <w:b/>
                <w:bCs/>
                <w:sz w:val="14"/>
                <w:szCs w:val="14"/>
                <w:lang w:val="es-ES"/>
              </w:rPr>
            </w:pPr>
            <w:r w:rsidRPr="00A96998">
              <w:rPr>
                <w:rFonts w:ascii="Lucida Bright" w:hAnsi="Lucida Bright" w:cs="Calibri"/>
                <w:b/>
                <w:bCs/>
                <w:sz w:val="14"/>
                <w:szCs w:val="14"/>
                <w:lang w:val="es-ES"/>
              </w:rPr>
              <w:t> </w:t>
            </w:r>
          </w:p>
        </w:tc>
      </w:tr>
      <w:tr w:rsidR="00A96998" w:rsidRPr="00A96998" w:rsidTr="00A96998">
        <w:trPr>
          <w:trHeight w:val="300"/>
        </w:trPr>
        <w:tc>
          <w:tcPr>
            <w:tcW w:w="1026" w:type="dxa"/>
            <w:tcBorders>
              <w:top w:val="nil"/>
              <w:left w:val="nil"/>
              <w:bottom w:val="nil"/>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68" w:type="dxa"/>
            <w:tcBorders>
              <w:top w:val="nil"/>
              <w:left w:val="nil"/>
              <w:bottom w:val="nil"/>
              <w:right w:val="nil"/>
            </w:tcBorders>
            <w:shd w:val="clear" w:color="000000" w:fill="FFFFFF"/>
            <w:noWrap/>
            <w:vAlign w:val="bottom"/>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 </w:t>
            </w:r>
          </w:p>
        </w:tc>
        <w:tc>
          <w:tcPr>
            <w:tcW w:w="1584" w:type="dxa"/>
            <w:tcBorders>
              <w:top w:val="nil"/>
              <w:left w:val="nil"/>
              <w:bottom w:val="nil"/>
              <w:right w:val="nil"/>
            </w:tcBorders>
            <w:shd w:val="clear" w:color="000000" w:fill="FFFFFF"/>
            <w:noWrap/>
            <w:vAlign w:val="bottom"/>
            <w:hideMark/>
          </w:tcPr>
          <w:p w:rsidR="00A96998" w:rsidRPr="00A96998" w:rsidRDefault="00A96998" w:rsidP="00A96998">
            <w:pPr>
              <w:jc w:val="center"/>
              <w:rPr>
                <w:rFonts w:ascii="Lucida Bright" w:hAnsi="Lucida Bright" w:cs="Calibri"/>
                <w:sz w:val="14"/>
                <w:szCs w:val="14"/>
                <w:lang w:val="es-ES"/>
              </w:rPr>
            </w:pPr>
            <w:r w:rsidRPr="00A96998">
              <w:rPr>
                <w:rFonts w:ascii="Lucida Bright" w:hAnsi="Lucida Bright" w:cs="Calibri"/>
                <w:sz w:val="14"/>
                <w:szCs w:val="14"/>
                <w:lang w:val="es-ES"/>
              </w:rPr>
              <w:t> </w:t>
            </w:r>
          </w:p>
        </w:tc>
        <w:tc>
          <w:tcPr>
            <w:tcW w:w="1165" w:type="dxa"/>
            <w:tcBorders>
              <w:top w:val="nil"/>
              <w:left w:val="nil"/>
              <w:bottom w:val="nil"/>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84" w:type="dxa"/>
            <w:tcBorders>
              <w:top w:val="nil"/>
              <w:left w:val="single" w:sz="4" w:space="0" w:color="auto"/>
              <w:bottom w:val="single" w:sz="4" w:space="0" w:color="auto"/>
              <w:right w:val="nil"/>
            </w:tcBorders>
            <w:shd w:val="clear" w:color="000000" w:fill="FFFFFF"/>
            <w:noWrap/>
            <w:vAlign w:val="bottom"/>
            <w:hideMark/>
          </w:tcPr>
          <w:p w:rsidR="00A96998" w:rsidRPr="00A96998" w:rsidRDefault="00A96998" w:rsidP="00A96998">
            <w:pPr>
              <w:rPr>
                <w:rFonts w:ascii="Lucida Bright" w:hAnsi="Lucida Bright" w:cs="Calibri"/>
                <w:sz w:val="14"/>
                <w:szCs w:val="14"/>
                <w:lang w:val="es-ES"/>
              </w:rPr>
            </w:pPr>
            <w:r w:rsidRPr="00A96998">
              <w:rPr>
                <w:rFonts w:ascii="Lucida Bright" w:hAnsi="Lucida Bright" w:cs="Calibri"/>
                <w:sz w:val="14"/>
                <w:szCs w:val="14"/>
                <w:lang w:val="es-ES"/>
              </w:rPr>
              <w:t> </w:t>
            </w:r>
          </w:p>
        </w:tc>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b/>
                <w:bCs/>
                <w:sz w:val="14"/>
                <w:szCs w:val="14"/>
                <w:lang w:val="es-ES"/>
              </w:rPr>
            </w:pPr>
            <w:r w:rsidRPr="00A96998">
              <w:rPr>
                <w:rFonts w:ascii="Lucida Bright" w:hAnsi="Lucida Bright" w:cs="Calibri"/>
                <w:b/>
                <w:bCs/>
                <w:sz w:val="14"/>
                <w:szCs w:val="14"/>
                <w:lang w:val="es-ES"/>
              </w:rPr>
              <w:t xml:space="preserve">Total Pérdidas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A96998" w:rsidRPr="00A96998" w:rsidRDefault="00A96998" w:rsidP="00A96998">
            <w:pPr>
              <w:jc w:val="right"/>
              <w:rPr>
                <w:rFonts w:ascii="Lucida Bright" w:hAnsi="Lucida Bright" w:cs="Calibri"/>
                <w:b/>
                <w:bCs/>
                <w:sz w:val="14"/>
                <w:szCs w:val="14"/>
                <w:lang w:val="es-ES"/>
              </w:rPr>
            </w:pPr>
            <w:r w:rsidRPr="00A96998">
              <w:rPr>
                <w:rFonts w:ascii="Lucida Bright" w:hAnsi="Lucida Bright" w:cs="Calibri"/>
                <w:b/>
                <w:bCs/>
                <w:sz w:val="14"/>
                <w:szCs w:val="14"/>
                <w:lang w:val="es-ES"/>
              </w:rPr>
              <w:t xml:space="preserve">(50.688,97) </w:t>
            </w:r>
          </w:p>
        </w:tc>
      </w:tr>
    </w:tbl>
    <w:p w:rsidR="005F35CD" w:rsidRDefault="005F35CD" w:rsidP="00F348FE">
      <w:pPr>
        <w:tabs>
          <w:tab w:val="right" w:pos="8364"/>
        </w:tabs>
        <w:ind w:left="567" w:hanging="567"/>
        <w:jc w:val="both"/>
        <w:rPr>
          <w:b/>
          <w:bCs/>
          <w:sz w:val="24"/>
          <w:szCs w:val="24"/>
        </w:rPr>
      </w:pPr>
    </w:p>
    <w:p w:rsidR="0050293A" w:rsidRDefault="0050293A" w:rsidP="00F348FE">
      <w:pPr>
        <w:tabs>
          <w:tab w:val="right" w:pos="8364"/>
        </w:tabs>
        <w:ind w:left="567" w:hanging="567"/>
        <w:jc w:val="both"/>
        <w:rPr>
          <w:b/>
          <w:bCs/>
          <w:sz w:val="24"/>
          <w:szCs w:val="24"/>
        </w:rPr>
      </w:pPr>
    </w:p>
    <w:p w:rsidR="0050293A" w:rsidRDefault="0050293A" w:rsidP="00F348FE">
      <w:pPr>
        <w:tabs>
          <w:tab w:val="right" w:pos="8364"/>
        </w:tabs>
        <w:ind w:left="567" w:hanging="567"/>
        <w:jc w:val="both"/>
        <w:rPr>
          <w:b/>
          <w:bCs/>
          <w:sz w:val="24"/>
          <w:szCs w:val="24"/>
        </w:rPr>
      </w:pPr>
    </w:p>
    <w:p w:rsidR="0050293A" w:rsidRDefault="0050293A"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A96998" w:rsidP="0050293A">
      <w:pPr>
        <w:tabs>
          <w:tab w:val="right" w:pos="8364"/>
        </w:tabs>
        <w:ind w:firstLine="567"/>
        <w:jc w:val="both"/>
        <w:rPr>
          <w:rFonts w:ascii="NewBaskerville" w:hAnsi="NewBaskerville"/>
          <w:bCs/>
        </w:rPr>
      </w:pPr>
      <w:r>
        <w:rPr>
          <w:rFonts w:ascii="NewBaskerville" w:hAnsi="NewBaskerville"/>
          <w:bCs/>
        </w:rPr>
        <w:t>Activos contingentes:</w:t>
      </w:r>
    </w:p>
    <w:p w:rsidR="0050293A" w:rsidRDefault="0050293A" w:rsidP="0050293A">
      <w:pPr>
        <w:tabs>
          <w:tab w:val="right" w:pos="8364"/>
        </w:tabs>
        <w:ind w:firstLine="567"/>
        <w:jc w:val="both"/>
        <w:rPr>
          <w:rFonts w:ascii="NewBaskerville" w:hAnsi="NewBaskerville"/>
          <w:bCs/>
        </w:rPr>
      </w:pPr>
    </w:p>
    <w:p w:rsidR="0050293A" w:rsidRDefault="0050293A" w:rsidP="0050293A">
      <w:pPr>
        <w:tabs>
          <w:tab w:val="right" w:pos="8364"/>
        </w:tabs>
        <w:ind w:firstLine="567"/>
        <w:jc w:val="both"/>
        <w:rPr>
          <w:rFonts w:ascii="NewBaskerville" w:hAnsi="NewBaskerville"/>
          <w:bCs/>
        </w:rPr>
      </w:pPr>
      <w:r>
        <w:rPr>
          <w:rFonts w:ascii="NewBaskerville" w:hAnsi="NewBaskerville"/>
          <w:bCs/>
        </w:rPr>
        <w:t>A fecha de 31/12/202</w:t>
      </w:r>
      <w:r w:rsidR="00135BD4">
        <w:rPr>
          <w:rFonts w:ascii="NewBaskerville" w:hAnsi="NewBaskerville"/>
          <w:bCs/>
        </w:rPr>
        <w:t>2</w:t>
      </w:r>
      <w:r>
        <w:rPr>
          <w:rFonts w:ascii="NewBaskerville" w:hAnsi="NewBaskerville"/>
          <w:bCs/>
        </w:rPr>
        <w:t xml:space="preserve"> </w:t>
      </w:r>
      <w:r w:rsidR="00873730">
        <w:rPr>
          <w:rFonts w:ascii="NewBaskerville" w:hAnsi="NewBaskerville"/>
          <w:bCs/>
        </w:rPr>
        <w:t>la Entidad consideró que el título</w:t>
      </w:r>
      <w:r w:rsidR="00902F34">
        <w:rPr>
          <w:rFonts w:ascii="NewBaskerville" w:hAnsi="NewBaskerville"/>
          <w:bCs/>
        </w:rPr>
        <w:t xml:space="preserve"> concesional</w:t>
      </w:r>
      <w:r w:rsidR="00873730">
        <w:rPr>
          <w:rFonts w:ascii="NewBaskerville" w:hAnsi="NewBaskerville"/>
          <w:bCs/>
        </w:rPr>
        <w:t xml:space="preserve"> del Real Club Náutico de Palma se había extinguido por el vencimiento del plazo de otorgamiento. Este procedimiento ha sido, y es, </w:t>
      </w:r>
      <w:r w:rsidR="00350D1C">
        <w:rPr>
          <w:rFonts w:ascii="NewBaskerville" w:hAnsi="NewBaskerville"/>
          <w:bCs/>
        </w:rPr>
        <w:t xml:space="preserve">objeto de una alta </w:t>
      </w:r>
      <w:proofErr w:type="spellStart"/>
      <w:r w:rsidR="00350D1C">
        <w:rPr>
          <w:rFonts w:ascii="NewBaskerville" w:hAnsi="NewBaskerville"/>
          <w:bCs/>
        </w:rPr>
        <w:t>litigiosidad</w:t>
      </w:r>
      <w:proofErr w:type="spellEnd"/>
      <w:r w:rsidR="00350D1C">
        <w:rPr>
          <w:rFonts w:ascii="NewBaskerville" w:hAnsi="NewBaskerville"/>
          <w:bCs/>
        </w:rPr>
        <w:t>.</w:t>
      </w:r>
      <w:r w:rsidR="00873730">
        <w:rPr>
          <w:rFonts w:ascii="NewBaskerville" w:hAnsi="NewBaskerville"/>
          <w:bCs/>
        </w:rPr>
        <w:t xml:space="preserve"> </w:t>
      </w:r>
      <w:r w:rsidR="00350D1C">
        <w:rPr>
          <w:rFonts w:ascii="NewBaskerville" w:hAnsi="NewBaskerville"/>
          <w:bCs/>
        </w:rPr>
        <w:t>J</w:t>
      </w:r>
      <w:r w:rsidR="00873730">
        <w:rPr>
          <w:rFonts w:ascii="NewBaskerville" w:hAnsi="NewBaskerville"/>
          <w:bCs/>
        </w:rPr>
        <w:t>udicializado a fecha de l</w:t>
      </w:r>
      <w:r w:rsidR="00350D1C">
        <w:rPr>
          <w:rFonts w:ascii="NewBaskerville" w:hAnsi="NewBaskerville"/>
          <w:bCs/>
        </w:rPr>
        <w:t>a formulación de estas cuentas,</w:t>
      </w:r>
      <w:r w:rsidR="00135BD4">
        <w:rPr>
          <w:rFonts w:ascii="NewBaskerville" w:hAnsi="NewBaskerville"/>
          <w:bCs/>
        </w:rPr>
        <w:t xml:space="preserve"> su futura confirmación tendrá lugar por resolución judicial.</w:t>
      </w:r>
    </w:p>
    <w:p w:rsidR="00135BD4" w:rsidRDefault="00135BD4" w:rsidP="0050293A">
      <w:pPr>
        <w:tabs>
          <w:tab w:val="right" w:pos="8364"/>
        </w:tabs>
        <w:ind w:firstLine="567"/>
        <w:jc w:val="both"/>
        <w:rPr>
          <w:rFonts w:ascii="NewBaskerville" w:hAnsi="NewBaskerville"/>
          <w:bCs/>
        </w:rPr>
      </w:pPr>
    </w:p>
    <w:p w:rsidR="00902F34" w:rsidRDefault="00135BD4" w:rsidP="0050293A">
      <w:pPr>
        <w:tabs>
          <w:tab w:val="right" w:pos="8364"/>
        </w:tabs>
        <w:ind w:firstLine="567"/>
        <w:jc w:val="both"/>
        <w:rPr>
          <w:rFonts w:ascii="NewBaskerville" w:hAnsi="NewBaskerville"/>
          <w:bCs/>
        </w:rPr>
      </w:pPr>
      <w:r>
        <w:rPr>
          <w:rFonts w:ascii="NewBaskerville" w:hAnsi="NewBaskerville"/>
          <w:bCs/>
        </w:rPr>
        <w:t>La reversión gratuita y libre de cargas</w:t>
      </w:r>
      <w:r w:rsidR="00350D1C">
        <w:rPr>
          <w:rFonts w:ascii="NewBaskerville" w:hAnsi="NewBaskerville"/>
          <w:bCs/>
        </w:rPr>
        <w:t xml:space="preserve"> de obras e instalaciones no desmontables</w:t>
      </w:r>
      <w:r>
        <w:rPr>
          <w:rFonts w:ascii="NewBaskerville" w:hAnsi="NewBaskerville"/>
          <w:bCs/>
        </w:rPr>
        <w:t xml:space="preserve"> q</w:t>
      </w:r>
      <w:r w:rsidR="00350D1C">
        <w:rPr>
          <w:rFonts w:ascii="NewBaskerville" w:hAnsi="NewBaskerville"/>
          <w:bCs/>
        </w:rPr>
        <w:t>ue se produciría día 01/01/2023</w:t>
      </w:r>
      <w:r>
        <w:rPr>
          <w:rFonts w:ascii="NewBaskerville" w:hAnsi="NewBaskerville"/>
          <w:bCs/>
        </w:rPr>
        <w:t xml:space="preserve"> de confirmarse este suceso incierto que no está enteramente bajo el control de la Entidad, </w:t>
      </w:r>
      <w:r w:rsidR="00902F34">
        <w:rPr>
          <w:rFonts w:ascii="NewBaskerville" w:hAnsi="NewBaskerville"/>
          <w:bCs/>
        </w:rPr>
        <w:t>no ha sido objeto de reconocimiento en Balance. Procediéndose a una evaluación de forma continuada de los mismos, a fin de reflejarse apropiadamente en estos estados contables.</w:t>
      </w:r>
    </w:p>
    <w:p w:rsidR="00902F34" w:rsidRDefault="00902F34" w:rsidP="0050293A">
      <w:pPr>
        <w:tabs>
          <w:tab w:val="right" w:pos="8364"/>
        </w:tabs>
        <w:ind w:firstLine="567"/>
        <w:jc w:val="both"/>
        <w:rPr>
          <w:rFonts w:ascii="NewBaskerville" w:hAnsi="NewBaskerville"/>
          <w:bCs/>
        </w:rPr>
      </w:pPr>
    </w:p>
    <w:p w:rsidR="00902F34" w:rsidRDefault="00F17898" w:rsidP="0050293A">
      <w:pPr>
        <w:tabs>
          <w:tab w:val="right" w:pos="8364"/>
        </w:tabs>
        <w:ind w:firstLine="567"/>
        <w:jc w:val="both"/>
        <w:rPr>
          <w:rFonts w:ascii="NewBaskerville" w:hAnsi="NewBaskerville"/>
          <w:bCs/>
        </w:rPr>
      </w:pPr>
      <w:r>
        <w:rPr>
          <w:rFonts w:ascii="NewBaskerville" w:hAnsi="NewBaskerville"/>
          <w:bCs/>
        </w:rPr>
        <w:t>Seguidamente se relacionan estos activos contingentes por:</w:t>
      </w:r>
    </w:p>
    <w:p w:rsidR="00F17898" w:rsidRDefault="00F17898" w:rsidP="00F17898">
      <w:pPr>
        <w:pStyle w:val="Prrafodelista"/>
        <w:numPr>
          <w:ilvl w:val="0"/>
          <w:numId w:val="6"/>
        </w:numPr>
        <w:tabs>
          <w:tab w:val="right" w:pos="8364"/>
        </w:tabs>
        <w:jc w:val="both"/>
        <w:rPr>
          <w:rFonts w:ascii="NewBaskerville" w:hAnsi="NewBaskerville"/>
          <w:bCs/>
        </w:rPr>
      </w:pPr>
      <w:r>
        <w:rPr>
          <w:rFonts w:ascii="NewBaskerville" w:hAnsi="NewBaskerville"/>
          <w:bCs/>
        </w:rPr>
        <w:t>Epígrafe o clasificación funcional.</w:t>
      </w:r>
    </w:p>
    <w:p w:rsidR="00F17898" w:rsidRDefault="00F17898" w:rsidP="00F17898">
      <w:pPr>
        <w:pStyle w:val="Prrafodelista"/>
        <w:numPr>
          <w:ilvl w:val="0"/>
          <w:numId w:val="6"/>
        </w:numPr>
        <w:tabs>
          <w:tab w:val="right" w:pos="8364"/>
        </w:tabs>
        <w:jc w:val="both"/>
        <w:rPr>
          <w:rFonts w:ascii="NewBaskerville" w:hAnsi="NewBaskerville"/>
          <w:bCs/>
        </w:rPr>
      </w:pPr>
      <w:r>
        <w:rPr>
          <w:rFonts w:ascii="NewBaskerville" w:hAnsi="NewBaskerville"/>
          <w:bCs/>
        </w:rPr>
        <w:t>Valor razonable a 01/01/2023.</w:t>
      </w:r>
    </w:p>
    <w:p w:rsidR="00F17898" w:rsidRDefault="00F17898" w:rsidP="00F17898">
      <w:pPr>
        <w:pStyle w:val="Prrafodelista"/>
        <w:numPr>
          <w:ilvl w:val="0"/>
          <w:numId w:val="6"/>
        </w:numPr>
        <w:tabs>
          <w:tab w:val="right" w:pos="8364"/>
        </w:tabs>
        <w:jc w:val="both"/>
        <w:rPr>
          <w:rFonts w:ascii="NewBaskerville" w:hAnsi="NewBaskerville"/>
          <w:bCs/>
        </w:rPr>
      </w:pPr>
      <w:r>
        <w:rPr>
          <w:rFonts w:ascii="NewBaskerville" w:hAnsi="NewBaskerville"/>
          <w:bCs/>
        </w:rPr>
        <w:t>Amortización acumulada a 31/12/2023 que procedería si se confirmase el suceso.</w:t>
      </w:r>
    </w:p>
    <w:p w:rsidR="00F17898" w:rsidRDefault="00F17898" w:rsidP="00F17898">
      <w:pPr>
        <w:tabs>
          <w:tab w:val="right" w:pos="8364"/>
        </w:tabs>
        <w:jc w:val="both"/>
        <w:rPr>
          <w:rFonts w:ascii="NewBaskerville" w:hAnsi="NewBaskerville"/>
          <w:bCs/>
        </w:rPr>
      </w:pPr>
    </w:p>
    <w:p w:rsidR="00F17898" w:rsidRPr="00F17898" w:rsidRDefault="00F17898" w:rsidP="00F17898">
      <w:pPr>
        <w:tabs>
          <w:tab w:val="right" w:pos="8364"/>
        </w:tabs>
        <w:jc w:val="both"/>
        <w:rPr>
          <w:rFonts w:ascii="NewBaskerville" w:hAnsi="NewBaskerville"/>
          <w:bCs/>
        </w:rPr>
      </w:pPr>
    </w:p>
    <w:tbl>
      <w:tblPr>
        <w:tblW w:w="7400" w:type="dxa"/>
        <w:tblInd w:w="60" w:type="dxa"/>
        <w:tblCellMar>
          <w:left w:w="70" w:type="dxa"/>
          <w:right w:w="70" w:type="dxa"/>
        </w:tblCellMar>
        <w:tblLook w:val="04A0" w:firstRow="1" w:lastRow="0" w:firstColumn="1" w:lastColumn="0" w:noHBand="0" w:noVBand="1"/>
      </w:tblPr>
      <w:tblGrid>
        <w:gridCol w:w="3940"/>
        <w:gridCol w:w="1700"/>
        <w:gridCol w:w="1760"/>
      </w:tblGrid>
      <w:tr w:rsidR="00F17898" w:rsidRPr="00F17898" w:rsidTr="00F17898">
        <w:trPr>
          <w:trHeight w:val="495"/>
        </w:trPr>
        <w:tc>
          <w:tcPr>
            <w:tcW w:w="394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F17898" w:rsidRPr="00F17898" w:rsidRDefault="00F17898" w:rsidP="00F17898">
            <w:pPr>
              <w:jc w:val="center"/>
              <w:rPr>
                <w:rFonts w:ascii="Lucida Bright" w:hAnsi="Lucida Bright" w:cs="Calibri"/>
                <w:b/>
                <w:bCs/>
                <w:color w:val="000000"/>
                <w:sz w:val="18"/>
                <w:szCs w:val="18"/>
                <w:lang w:val="es-ES"/>
              </w:rPr>
            </w:pPr>
            <w:r w:rsidRPr="00F17898">
              <w:rPr>
                <w:rFonts w:ascii="Lucida Bright" w:hAnsi="Lucida Bright" w:cs="Calibri"/>
                <w:b/>
                <w:bCs/>
                <w:color w:val="000000"/>
                <w:sz w:val="18"/>
                <w:szCs w:val="18"/>
                <w:lang w:val="es-ES"/>
              </w:rPr>
              <w:t>Epígrafe</w:t>
            </w:r>
          </w:p>
        </w:tc>
        <w:tc>
          <w:tcPr>
            <w:tcW w:w="1700" w:type="dxa"/>
            <w:tcBorders>
              <w:top w:val="single" w:sz="8" w:space="0" w:color="000000"/>
              <w:left w:val="nil"/>
              <w:bottom w:val="single" w:sz="8" w:space="0" w:color="000000"/>
              <w:right w:val="single" w:sz="8" w:space="0" w:color="000000"/>
            </w:tcBorders>
            <w:shd w:val="clear" w:color="000000" w:fill="CCFFCC"/>
            <w:vAlign w:val="center"/>
            <w:hideMark/>
          </w:tcPr>
          <w:p w:rsidR="00F17898" w:rsidRPr="00F17898" w:rsidRDefault="00F17898" w:rsidP="00F17898">
            <w:pPr>
              <w:jc w:val="center"/>
              <w:rPr>
                <w:rFonts w:ascii="Lucida Bright" w:hAnsi="Lucida Bright" w:cs="Calibri"/>
                <w:b/>
                <w:bCs/>
                <w:color w:val="000000"/>
                <w:sz w:val="18"/>
                <w:szCs w:val="18"/>
                <w:lang w:val="es-ES"/>
              </w:rPr>
            </w:pPr>
            <w:r w:rsidRPr="00F17898">
              <w:rPr>
                <w:rFonts w:ascii="Lucida Bright" w:hAnsi="Lucida Bright" w:cs="Calibri"/>
                <w:b/>
                <w:bCs/>
                <w:color w:val="000000"/>
                <w:sz w:val="18"/>
                <w:szCs w:val="18"/>
                <w:lang w:val="es-ES"/>
              </w:rPr>
              <w:t>VALOR RAZONABLE</w:t>
            </w:r>
          </w:p>
        </w:tc>
        <w:tc>
          <w:tcPr>
            <w:tcW w:w="1760" w:type="dxa"/>
            <w:tcBorders>
              <w:top w:val="single" w:sz="8" w:space="0" w:color="000000"/>
              <w:left w:val="nil"/>
              <w:bottom w:val="single" w:sz="8" w:space="0" w:color="000000"/>
              <w:right w:val="single" w:sz="8" w:space="0" w:color="000000"/>
            </w:tcBorders>
            <w:shd w:val="clear" w:color="000000" w:fill="CCFFCC"/>
            <w:vAlign w:val="center"/>
            <w:hideMark/>
          </w:tcPr>
          <w:p w:rsidR="00F17898" w:rsidRPr="00F17898" w:rsidRDefault="00F17898" w:rsidP="00F17898">
            <w:pPr>
              <w:jc w:val="center"/>
              <w:rPr>
                <w:rFonts w:ascii="Lucida Bright" w:hAnsi="Lucida Bright" w:cs="Calibri"/>
                <w:b/>
                <w:bCs/>
                <w:color w:val="000000"/>
                <w:sz w:val="18"/>
                <w:szCs w:val="18"/>
                <w:lang w:val="es-ES"/>
              </w:rPr>
            </w:pPr>
            <w:r w:rsidRPr="00F17898">
              <w:rPr>
                <w:rFonts w:ascii="Lucida Bright" w:hAnsi="Lucida Bright" w:cs="Calibri"/>
                <w:b/>
                <w:bCs/>
                <w:color w:val="000000"/>
                <w:sz w:val="18"/>
                <w:szCs w:val="18"/>
                <w:lang w:val="es-ES"/>
              </w:rPr>
              <w:t>AMORTIZACIÓN ACDA</w:t>
            </w:r>
          </w:p>
        </w:tc>
      </w:tr>
      <w:tr w:rsidR="00F17898" w:rsidRPr="00F17898" w:rsidTr="00F17898">
        <w:trPr>
          <w:trHeight w:val="315"/>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F17898" w:rsidRPr="00F17898" w:rsidRDefault="00F17898" w:rsidP="00F17898">
            <w:pPr>
              <w:rPr>
                <w:rFonts w:ascii="Lucida Bright" w:hAnsi="Lucida Bright" w:cs="Calibri"/>
                <w:color w:val="000000"/>
                <w:sz w:val="18"/>
                <w:szCs w:val="18"/>
                <w:lang w:val="es-ES"/>
              </w:rPr>
            </w:pPr>
            <w:r w:rsidRPr="00F17898">
              <w:rPr>
                <w:rFonts w:ascii="Lucida Bright" w:hAnsi="Lucida Bright" w:cs="Calibri"/>
                <w:color w:val="000000"/>
                <w:sz w:val="18"/>
                <w:szCs w:val="18"/>
                <w:lang w:val="es-ES"/>
              </w:rPr>
              <w:t>Obras de atraque</w:t>
            </w:r>
          </w:p>
        </w:tc>
        <w:tc>
          <w:tcPr>
            <w:tcW w:w="1700" w:type="dxa"/>
            <w:tcBorders>
              <w:top w:val="nil"/>
              <w:left w:val="nil"/>
              <w:bottom w:val="single" w:sz="8" w:space="0" w:color="000000"/>
              <w:right w:val="single" w:sz="8" w:space="0" w:color="000000"/>
            </w:tcBorders>
            <w:shd w:val="clear" w:color="auto" w:fill="auto"/>
            <w:noWrap/>
            <w:vAlign w:val="bottom"/>
            <w:hideMark/>
          </w:tcPr>
          <w:p w:rsidR="00F17898" w:rsidRPr="00F17898" w:rsidRDefault="00F17898" w:rsidP="00F17898">
            <w:pPr>
              <w:jc w:val="right"/>
              <w:rPr>
                <w:rFonts w:ascii="Lucida Bright" w:hAnsi="Lucida Bright" w:cs="Calibri"/>
                <w:sz w:val="18"/>
                <w:szCs w:val="18"/>
                <w:lang w:val="es-ES"/>
              </w:rPr>
            </w:pPr>
            <w:r w:rsidRPr="00F17898">
              <w:rPr>
                <w:rFonts w:ascii="Lucida Bright" w:hAnsi="Lucida Bright" w:cs="Calibri"/>
                <w:sz w:val="18"/>
                <w:szCs w:val="18"/>
                <w:lang w:val="es-ES"/>
              </w:rPr>
              <w:t>4.619.856,28</w:t>
            </w:r>
          </w:p>
        </w:tc>
        <w:tc>
          <w:tcPr>
            <w:tcW w:w="1760" w:type="dxa"/>
            <w:tcBorders>
              <w:top w:val="nil"/>
              <w:left w:val="nil"/>
              <w:bottom w:val="single" w:sz="8" w:space="0" w:color="000000"/>
              <w:right w:val="single" w:sz="8" w:space="0" w:color="000000"/>
            </w:tcBorders>
            <w:shd w:val="clear" w:color="000000" w:fill="FFFFFF"/>
            <w:noWrap/>
            <w:vAlign w:val="center"/>
            <w:hideMark/>
          </w:tcPr>
          <w:p w:rsidR="00F17898" w:rsidRPr="00F17898" w:rsidRDefault="00F17898" w:rsidP="00F17898">
            <w:pPr>
              <w:jc w:val="right"/>
              <w:rPr>
                <w:rFonts w:ascii="Lucida Bright" w:hAnsi="Lucida Bright" w:cs="Calibri"/>
                <w:color w:val="000000"/>
                <w:sz w:val="18"/>
                <w:szCs w:val="18"/>
                <w:lang w:val="es-ES"/>
              </w:rPr>
            </w:pPr>
            <w:r w:rsidRPr="00F17898">
              <w:rPr>
                <w:rFonts w:ascii="Lucida Bright" w:hAnsi="Lucida Bright" w:cs="Calibri"/>
                <w:color w:val="000000"/>
                <w:sz w:val="18"/>
                <w:szCs w:val="18"/>
                <w:lang w:val="es-ES"/>
              </w:rPr>
              <w:t xml:space="preserve">(153.995,21) </w:t>
            </w:r>
          </w:p>
        </w:tc>
      </w:tr>
      <w:tr w:rsidR="00F17898" w:rsidRPr="00F17898" w:rsidTr="00F17898">
        <w:trPr>
          <w:trHeight w:val="315"/>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F17898" w:rsidRPr="00F17898" w:rsidRDefault="00F17898" w:rsidP="00F17898">
            <w:pPr>
              <w:rPr>
                <w:rFonts w:ascii="Lucida Bright" w:hAnsi="Lucida Bright" w:cs="Calibri"/>
                <w:color w:val="000000"/>
                <w:sz w:val="18"/>
                <w:szCs w:val="18"/>
                <w:lang w:val="es-ES"/>
              </w:rPr>
            </w:pPr>
            <w:r w:rsidRPr="00F17898">
              <w:rPr>
                <w:rFonts w:ascii="Lucida Bright" w:hAnsi="Lucida Bright" w:cs="Calibri"/>
                <w:color w:val="000000"/>
                <w:sz w:val="18"/>
                <w:szCs w:val="18"/>
                <w:lang w:val="es-ES"/>
              </w:rPr>
              <w:t>Edificaciones</w:t>
            </w:r>
          </w:p>
        </w:tc>
        <w:tc>
          <w:tcPr>
            <w:tcW w:w="1700" w:type="dxa"/>
            <w:tcBorders>
              <w:top w:val="nil"/>
              <w:left w:val="nil"/>
              <w:bottom w:val="single" w:sz="8" w:space="0" w:color="000000"/>
              <w:right w:val="single" w:sz="8" w:space="0" w:color="000000"/>
            </w:tcBorders>
            <w:shd w:val="clear" w:color="auto" w:fill="auto"/>
            <w:noWrap/>
            <w:vAlign w:val="bottom"/>
            <w:hideMark/>
          </w:tcPr>
          <w:p w:rsidR="00F17898" w:rsidRPr="00F17898" w:rsidRDefault="00F17898" w:rsidP="00F17898">
            <w:pPr>
              <w:jc w:val="right"/>
              <w:rPr>
                <w:rFonts w:ascii="Lucida Bright" w:hAnsi="Lucida Bright" w:cs="Calibri"/>
                <w:sz w:val="18"/>
                <w:szCs w:val="18"/>
                <w:lang w:val="es-ES"/>
              </w:rPr>
            </w:pPr>
            <w:r w:rsidRPr="00F17898">
              <w:rPr>
                <w:rFonts w:ascii="Lucida Bright" w:hAnsi="Lucida Bright" w:cs="Calibri"/>
                <w:sz w:val="18"/>
                <w:szCs w:val="18"/>
                <w:lang w:val="es-ES"/>
              </w:rPr>
              <w:t>5.788.320,65</w:t>
            </w:r>
          </w:p>
        </w:tc>
        <w:tc>
          <w:tcPr>
            <w:tcW w:w="1760" w:type="dxa"/>
            <w:tcBorders>
              <w:top w:val="nil"/>
              <w:left w:val="nil"/>
              <w:bottom w:val="single" w:sz="8" w:space="0" w:color="000000"/>
              <w:right w:val="single" w:sz="8" w:space="0" w:color="000000"/>
            </w:tcBorders>
            <w:shd w:val="clear" w:color="000000" w:fill="FFFFFF"/>
            <w:noWrap/>
            <w:vAlign w:val="center"/>
            <w:hideMark/>
          </w:tcPr>
          <w:p w:rsidR="00F17898" w:rsidRPr="00F17898" w:rsidRDefault="00F17898" w:rsidP="00F17898">
            <w:pPr>
              <w:jc w:val="right"/>
              <w:rPr>
                <w:rFonts w:ascii="Lucida Bright" w:hAnsi="Lucida Bright" w:cs="Calibri"/>
                <w:color w:val="000000"/>
                <w:sz w:val="18"/>
                <w:szCs w:val="18"/>
                <w:lang w:val="es-ES"/>
              </w:rPr>
            </w:pPr>
            <w:r w:rsidRPr="00F17898">
              <w:rPr>
                <w:rFonts w:ascii="Lucida Bright" w:hAnsi="Lucida Bright" w:cs="Calibri"/>
                <w:color w:val="000000"/>
                <w:sz w:val="18"/>
                <w:szCs w:val="18"/>
                <w:lang w:val="es-ES"/>
              </w:rPr>
              <w:t xml:space="preserve">(115.766,41) </w:t>
            </w:r>
          </w:p>
        </w:tc>
      </w:tr>
      <w:tr w:rsidR="00F17898" w:rsidRPr="00F17898" w:rsidTr="00F17898">
        <w:trPr>
          <w:trHeight w:val="315"/>
        </w:trPr>
        <w:tc>
          <w:tcPr>
            <w:tcW w:w="3940" w:type="dxa"/>
            <w:tcBorders>
              <w:top w:val="nil"/>
              <w:left w:val="single" w:sz="8" w:space="0" w:color="000000"/>
              <w:bottom w:val="single" w:sz="8" w:space="0" w:color="000000"/>
              <w:right w:val="single" w:sz="8" w:space="0" w:color="000000"/>
            </w:tcBorders>
            <w:shd w:val="clear" w:color="auto" w:fill="auto"/>
            <w:vAlign w:val="center"/>
            <w:hideMark/>
          </w:tcPr>
          <w:p w:rsidR="00F17898" w:rsidRPr="00F17898" w:rsidRDefault="00F17898" w:rsidP="00F17898">
            <w:pPr>
              <w:ind w:firstLineChars="200" w:firstLine="361"/>
              <w:jc w:val="right"/>
              <w:rPr>
                <w:rFonts w:ascii="Lucida Bright" w:hAnsi="Lucida Bright" w:cs="Calibri"/>
                <w:b/>
                <w:bCs/>
                <w:color w:val="000000"/>
                <w:sz w:val="18"/>
                <w:szCs w:val="18"/>
                <w:lang w:val="es-ES"/>
              </w:rPr>
            </w:pPr>
            <w:r w:rsidRPr="00F17898">
              <w:rPr>
                <w:rFonts w:ascii="Lucida Bright" w:hAnsi="Lucida Bright" w:cs="Calibri"/>
                <w:b/>
                <w:bCs/>
                <w:color w:val="000000"/>
                <w:sz w:val="18"/>
                <w:szCs w:val="18"/>
                <w:lang w:val="es-ES"/>
              </w:rPr>
              <w:t>TOTAL</w:t>
            </w:r>
          </w:p>
        </w:tc>
        <w:tc>
          <w:tcPr>
            <w:tcW w:w="1700" w:type="dxa"/>
            <w:tcBorders>
              <w:top w:val="nil"/>
              <w:left w:val="nil"/>
              <w:bottom w:val="single" w:sz="8" w:space="0" w:color="000000"/>
              <w:right w:val="single" w:sz="8" w:space="0" w:color="000000"/>
            </w:tcBorders>
            <w:shd w:val="clear" w:color="auto" w:fill="auto"/>
            <w:noWrap/>
            <w:vAlign w:val="center"/>
            <w:hideMark/>
          </w:tcPr>
          <w:p w:rsidR="00F17898" w:rsidRPr="00F17898" w:rsidRDefault="00F17898" w:rsidP="00F17898">
            <w:pPr>
              <w:jc w:val="right"/>
              <w:rPr>
                <w:rFonts w:ascii="Lucida Bright" w:hAnsi="Lucida Bright" w:cs="Calibri"/>
                <w:b/>
                <w:bCs/>
                <w:color w:val="000000"/>
                <w:sz w:val="18"/>
                <w:szCs w:val="18"/>
                <w:lang w:val="es-ES"/>
              </w:rPr>
            </w:pPr>
            <w:r w:rsidRPr="00F17898">
              <w:rPr>
                <w:rFonts w:ascii="Lucida Bright" w:hAnsi="Lucida Bright" w:cs="Calibri"/>
                <w:b/>
                <w:bCs/>
                <w:color w:val="000000"/>
                <w:sz w:val="18"/>
                <w:szCs w:val="18"/>
                <w:lang w:val="es-ES"/>
              </w:rPr>
              <w:t>10.408.176,93</w:t>
            </w:r>
          </w:p>
        </w:tc>
        <w:tc>
          <w:tcPr>
            <w:tcW w:w="1760" w:type="dxa"/>
            <w:tcBorders>
              <w:top w:val="nil"/>
              <w:left w:val="nil"/>
              <w:bottom w:val="single" w:sz="8" w:space="0" w:color="000000"/>
              <w:right w:val="single" w:sz="8" w:space="0" w:color="000000"/>
            </w:tcBorders>
            <w:shd w:val="clear" w:color="auto" w:fill="auto"/>
            <w:noWrap/>
            <w:vAlign w:val="center"/>
            <w:hideMark/>
          </w:tcPr>
          <w:p w:rsidR="00F17898" w:rsidRPr="00F17898" w:rsidRDefault="00F17898" w:rsidP="00F17898">
            <w:pPr>
              <w:jc w:val="right"/>
              <w:rPr>
                <w:rFonts w:ascii="Lucida Bright" w:hAnsi="Lucida Bright" w:cs="Calibri"/>
                <w:b/>
                <w:bCs/>
                <w:color w:val="000000"/>
                <w:sz w:val="18"/>
                <w:szCs w:val="18"/>
                <w:lang w:val="es-ES"/>
              </w:rPr>
            </w:pPr>
            <w:r w:rsidRPr="00F17898">
              <w:rPr>
                <w:rFonts w:ascii="Lucida Bright" w:hAnsi="Lucida Bright" w:cs="Calibri"/>
                <w:b/>
                <w:bCs/>
                <w:color w:val="000000"/>
                <w:sz w:val="18"/>
                <w:szCs w:val="18"/>
                <w:lang w:val="es-ES"/>
              </w:rPr>
              <w:t xml:space="preserve">(269.761,62) </w:t>
            </w:r>
          </w:p>
        </w:tc>
      </w:tr>
    </w:tbl>
    <w:p w:rsidR="00902F34" w:rsidRDefault="00902F34" w:rsidP="0050293A">
      <w:pPr>
        <w:tabs>
          <w:tab w:val="right" w:pos="8364"/>
        </w:tabs>
        <w:ind w:firstLine="567"/>
        <w:jc w:val="both"/>
        <w:rPr>
          <w:rFonts w:ascii="NewBaskerville" w:hAnsi="NewBaskerville"/>
          <w:bCs/>
        </w:rPr>
      </w:pPr>
    </w:p>
    <w:p w:rsidR="00135BD4" w:rsidRDefault="00135BD4" w:rsidP="0050293A">
      <w:pPr>
        <w:tabs>
          <w:tab w:val="right" w:pos="8364"/>
        </w:tabs>
        <w:ind w:firstLine="567"/>
        <w:jc w:val="both"/>
        <w:rPr>
          <w:rFonts w:ascii="NewBaskerville" w:hAnsi="NewBaskerville"/>
          <w:bCs/>
        </w:rPr>
      </w:pPr>
    </w:p>
    <w:p w:rsidR="00A96998" w:rsidRPr="00A96998" w:rsidRDefault="00A96998" w:rsidP="00A96998">
      <w:pPr>
        <w:tabs>
          <w:tab w:val="right" w:pos="8364"/>
        </w:tabs>
        <w:ind w:left="567" w:hanging="567"/>
        <w:jc w:val="both"/>
        <w:rPr>
          <w:rFonts w:ascii="NewBaskerville" w:hAnsi="NewBaskerville"/>
          <w:bCs/>
        </w:rPr>
      </w:pPr>
    </w:p>
    <w:p w:rsidR="00E7494D" w:rsidRDefault="00E7494D" w:rsidP="00A96998">
      <w:pPr>
        <w:tabs>
          <w:tab w:val="right" w:pos="8364"/>
        </w:tabs>
        <w:ind w:left="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E7494D" w:rsidRDefault="00E7494D" w:rsidP="00F348FE">
      <w:pPr>
        <w:tabs>
          <w:tab w:val="right" w:pos="8364"/>
        </w:tabs>
        <w:ind w:left="567" w:hanging="567"/>
        <w:jc w:val="both"/>
        <w:rPr>
          <w:b/>
          <w:bCs/>
          <w:sz w:val="24"/>
          <w:szCs w:val="24"/>
        </w:rPr>
      </w:pPr>
    </w:p>
    <w:p w:rsidR="0051409B" w:rsidRDefault="0051409B" w:rsidP="00F348FE">
      <w:pPr>
        <w:tabs>
          <w:tab w:val="right" w:pos="8364"/>
        </w:tabs>
        <w:ind w:left="567" w:hanging="567"/>
        <w:jc w:val="both"/>
        <w:rPr>
          <w:b/>
          <w:bCs/>
          <w:sz w:val="24"/>
          <w:szCs w:val="24"/>
        </w:rPr>
        <w:sectPr w:rsidR="0051409B" w:rsidSect="00790C4F">
          <w:pgSz w:w="11907" w:h="16840" w:code="9"/>
          <w:pgMar w:top="1701" w:right="1418" w:bottom="1701" w:left="1985" w:header="567" w:footer="720" w:gutter="0"/>
          <w:cols w:space="720"/>
          <w:docGrid w:linePitch="272"/>
        </w:sectPr>
      </w:pPr>
    </w:p>
    <w:p w:rsidR="004321BA" w:rsidRPr="00E73E9C" w:rsidRDefault="00F706A9" w:rsidP="00F348FE">
      <w:pPr>
        <w:tabs>
          <w:tab w:val="right" w:pos="8364"/>
        </w:tabs>
        <w:ind w:left="567" w:hanging="567"/>
        <w:jc w:val="both"/>
        <w:rPr>
          <w:rFonts w:ascii="NewBaskerville" w:hAnsi="NewBaskerville"/>
          <w:b/>
          <w:bCs/>
          <w:sz w:val="24"/>
          <w:szCs w:val="24"/>
        </w:rPr>
      </w:pPr>
      <w:r w:rsidRPr="00E73E9C">
        <w:rPr>
          <w:rFonts w:ascii="NewBaskerville" w:hAnsi="NewBaskerville"/>
          <w:b/>
          <w:bCs/>
          <w:sz w:val="24"/>
          <w:szCs w:val="24"/>
        </w:rPr>
        <w:lastRenderedPageBreak/>
        <w:t>8</w:t>
      </w:r>
      <w:r w:rsidR="001D3DA0" w:rsidRPr="00E73E9C">
        <w:rPr>
          <w:rFonts w:ascii="NewBaskerville" w:hAnsi="NewBaskerville"/>
          <w:b/>
          <w:bCs/>
          <w:sz w:val="24"/>
          <w:szCs w:val="24"/>
        </w:rPr>
        <w:t>.</w:t>
      </w:r>
      <w:r w:rsidR="00764B1E" w:rsidRPr="00E73E9C">
        <w:rPr>
          <w:rFonts w:ascii="NewBaskerville" w:hAnsi="NewBaskerville"/>
          <w:b/>
          <w:bCs/>
          <w:sz w:val="24"/>
          <w:szCs w:val="24"/>
        </w:rPr>
        <w:t xml:space="preserve"> </w:t>
      </w:r>
      <w:r w:rsidR="00997D65" w:rsidRPr="00E73E9C">
        <w:rPr>
          <w:rFonts w:ascii="NewBaskerville" w:hAnsi="NewBaskerville"/>
          <w:b/>
          <w:bCs/>
          <w:sz w:val="24"/>
          <w:szCs w:val="24"/>
        </w:rPr>
        <w:t>Arrendamientos operativos - Concesiones y Autorizaciones</w:t>
      </w:r>
    </w:p>
    <w:p w:rsidR="004C5C4B" w:rsidRDefault="004C5C4B" w:rsidP="00257560">
      <w:pPr>
        <w:tabs>
          <w:tab w:val="right" w:pos="8364"/>
        </w:tabs>
        <w:ind w:firstLine="540"/>
        <w:jc w:val="both"/>
        <w:rPr>
          <w:bCs/>
        </w:rPr>
      </w:pPr>
    </w:p>
    <w:p w:rsidR="0051409B" w:rsidRDefault="00410413" w:rsidP="00257560">
      <w:pPr>
        <w:tabs>
          <w:tab w:val="right" w:pos="8364"/>
        </w:tabs>
        <w:ind w:firstLine="540"/>
        <w:jc w:val="both"/>
        <w:rPr>
          <w:rFonts w:ascii="NewBaskerville" w:hAnsi="NewBaskerville"/>
          <w:bCs/>
        </w:rPr>
      </w:pPr>
      <w:r>
        <w:rPr>
          <w:rFonts w:ascii="NewBaskerville" w:hAnsi="NewBaskerville"/>
          <w:bCs/>
        </w:rPr>
        <w:t>Información del importe total de los cobros futuros mínimos correspondientes a los arrendamientos operativos no cancelables, en miles de euros:</w:t>
      </w:r>
    </w:p>
    <w:p w:rsidR="00EA2B1B" w:rsidRDefault="00EA2B1B" w:rsidP="00257560">
      <w:pPr>
        <w:tabs>
          <w:tab w:val="right" w:pos="8364"/>
        </w:tabs>
        <w:ind w:firstLine="540"/>
        <w:jc w:val="both"/>
        <w:rPr>
          <w:rFonts w:ascii="NewBaskerville" w:hAnsi="NewBaskerville"/>
          <w:bCs/>
        </w:rPr>
      </w:pPr>
    </w:p>
    <w:p w:rsidR="00410413" w:rsidRDefault="00410413" w:rsidP="00410413">
      <w:pPr>
        <w:pStyle w:val="Prrafodelista"/>
        <w:numPr>
          <w:ilvl w:val="0"/>
          <w:numId w:val="6"/>
        </w:numPr>
        <w:tabs>
          <w:tab w:val="right" w:pos="8364"/>
        </w:tabs>
        <w:jc w:val="both"/>
        <w:rPr>
          <w:rFonts w:ascii="NewBaskerville" w:hAnsi="NewBaskerville"/>
          <w:bCs/>
        </w:rPr>
      </w:pPr>
      <w:r>
        <w:rPr>
          <w:rFonts w:ascii="NewBaskerville" w:hAnsi="NewBaskerville"/>
          <w:bCs/>
        </w:rPr>
        <w:t xml:space="preserve">Hasta un año:  51.918,76                   </w:t>
      </w:r>
    </w:p>
    <w:p w:rsidR="00410413" w:rsidRDefault="00410413" w:rsidP="00410413">
      <w:pPr>
        <w:pStyle w:val="Prrafodelista"/>
        <w:numPr>
          <w:ilvl w:val="0"/>
          <w:numId w:val="6"/>
        </w:numPr>
        <w:tabs>
          <w:tab w:val="right" w:pos="8364"/>
        </w:tabs>
        <w:jc w:val="both"/>
        <w:rPr>
          <w:rFonts w:ascii="NewBaskerville" w:hAnsi="NewBaskerville"/>
          <w:bCs/>
        </w:rPr>
      </w:pPr>
      <w:r>
        <w:rPr>
          <w:rFonts w:ascii="NewBaskerville" w:hAnsi="NewBaskerville"/>
          <w:bCs/>
        </w:rPr>
        <w:t>Entre uno y cinco años:</w:t>
      </w:r>
      <w:r w:rsidR="000B4473">
        <w:rPr>
          <w:rFonts w:ascii="NewBaskerville" w:hAnsi="NewBaskerville"/>
          <w:bCs/>
        </w:rPr>
        <w:t xml:space="preserve">  138.464,93</w:t>
      </w:r>
    </w:p>
    <w:p w:rsidR="00410413" w:rsidRDefault="00410413" w:rsidP="00410413">
      <w:pPr>
        <w:pStyle w:val="Prrafodelista"/>
        <w:numPr>
          <w:ilvl w:val="0"/>
          <w:numId w:val="6"/>
        </w:numPr>
        <w:tabs>
          <w:tab w:val="right" w:pos="8364"/>
        </w:tabs>
        <w:jc w:val="both"/>
        <w:rPr>
          <w:rFonts w:ascii="NewBaskerville" w:hAnsi="NewBaskerville"/>
          <w:bCs/>
        </w:rPr>
      </w:pPr>
      <w:r>
        <w:rPr>
          <w:rFonts w:ascii="NewBaskerville" w:hAnsi="NewBaskerville"/>
          <w:bCs/>
        </w:rPr>
        <w:t>Más de cinco años:</w:t>
      </w:r>
      <w:r w:rsidR="000B4473">
        <w:rPr>
          <w:rFonts w:ascii="NewBaskerville" w:hAnsi="NewBaskerville"/>
          <w:bCs/>
        </w:rPr>
        <w:t xml:space="preserve">  156.973,33</w:t>
      </w:r>
    </w:p>
    <w:p w:rsidR="00EA2B1B" w:rsidRPr="00410413" w:rsidRDefault="00EA2B1B" w:rsidP="00EA2B1B">
      <w:pPr>
        <w:pStyle w:val="Prrafodelista"/>
        <w:tabs>
          <w:tab w:val="right" w:pos="8364"/>
        </w:tabs>
        <w:ind w:left="1287"/>
        <w:jc w:val="both"/>
        <w:rPr>
          <w:rFonts w:ascii="NewBaskerville" w:hAnsi="NewBaskerville"/>
          <w:bCs/>
        </w:rPr>
      </w:pPr>
    </w:p>
    <w:p w:rsidR="0051409B" w:rsidRDefault="0051409B" w:rsidP="00257560">
      <w:pPr>
        <w:tabs>
          <w:tab w:val="right" w:pos="8364"/>
        </w:tabs>
        <w:ind w:firstLine="540"/>
        <w:jc w:val="both"/>
        <w:rPr>
          <w:rFonts w:ascii="NewBaskerville" w:hAnsi="NewBaskerville"/>
          <w:bCs/>
        </w:rPr>
      </w:pPr>
    </w:p>
    <w:p w:rsidR="00C95D96" w:rsidRDefault="000B4473" w:rsidP="00257560">
      <w:pPr>
        <w:tabs>
          <w:tab w:val="right" w:pos="8364"/>
        </w:tabs>
        <w:ind w:firstLine="540"/>
        <w:jc w:val="both"/>
        <w:rPr>
          <w:rFonts w:ascii="NewBaskerville" w:hAnsi="NewBaskerville"/>
          <w:bCs/>
        </w:rPr>
      </w:pPr>
      <w:r>
        <w:rPr>
          <w:rFonts w:ascii="NewBaskerville" w:hAnsi="NewBaskerville"/>
          <w:bCs/>
        </w:rPr>
        <w:t>Detalle de</w:t>
      </w:r>
      <w:r w:rsidR="002C4355" w:rsidRPr="00E73E9C">
        <w:rPr>
          <w:rFonts w:ascii="NewBaskerville" w:hAnsi="NewBaskerville"/>
          <w:bCs/>
        </w:rPr>
        <w:t xml:space="preserve"> </w:t>
      </w:r>
      <w:r w:rsidR="004321BA" w:rsidRPr="00E73E9C">
        <w:rPr>
          <w:rFonts w:ascii="NewBaskerville" w:hAnsi="NewBaskerville"/>
          <w:bCs/>
        </w:rPr>
        <w:t>los ingresos</w:t>
      </w:r>
      <w:r w:rsidR="002C4355" w:rsidRPr="00E73E9C">
        <w:rPr>
          <w:rFonts w:ascii="NewBaskerville" w:hAnsi="NewBaskerville"/>
          <w:bCs/>
        </w:rPr>
        <w:t xml:space="preserve"> sobre las tasas de aprovechamiento especial de dominio </w:t>
      </w:r>
      <w:r w:rsidR="008155BC" w:rsidRPr="00E73E9C">
        <w:rPr>
          <w:rFonts w:ascii="NewBaskerville" w:hAnsi="NewBaskerville"/>
          <w:bCs/>
        </w:rPr>
        <w:t>público</w:t>
      </w:r>
      <w:r w:rsidR="002C4355" w:rsidRPr="00E73E9C">
        <w:rPr>
          <w:rFonts w:ascii="NewBaskerville" w:hAnsi="NewBaskerville"/>
          <w:bCs/>
        </w:rPr>
        <w:t>/ actividad de las concesiones y autorizaciones más significativas</w:t>
      </w:r>
      <w:r w:rsidR="00982A77">
        <w:rPr>
          <w:rFonts w:ascii="NewBaskerville" w:hAnsi="NewBaskerville"/>
          <w:bCs/>
        </w:rPr>
        <w:t>, importes en euros</w:t>
      </w:r>
      <w:r w:rsidR="002C4355" w:rsidRPr="00E73E9C">
        <w:rPr>
          <w:rFonts w:ascii="NewBaskerville" w:hAnsi="NewBaskerville"/>
          <w:bCs/>
        </w:rPr>
        <w:t>:</w:t>
      </w:r>
    </w:p>
    <w:p w:rsidR="007F67C2" w:rsidRDefault="007F67C2" w:rsidP="00257560">
      <w:pPr>
        <w:tabs>
          <w:tab w:val="right" w:pos="8364"/>
        </w:tabs>
        <w:ind w:firstLine="540"/>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734"/>
        <w:gridCol w:w="1105"/>
        <w:gridCol w:w="1593"/>
        <w:gridCol w:w="3004"/>
        <w:gridCol w:w="1104"/>
        <w:gridCol w:w="1104"/>
      </w:tblGrid>
      <w:tr w:rsidR="00BF6E86" w:rsidRPr="00BF6E86" w:rsidTr="00C66CB2">
        <w:trPr>
          <w:trHeight w:val="1350"/>
        </w:trPr>
        <w:tc>
          <w:tcPr>
            <w:tcW w:w="502" w:type="pct"/>
            <w:tcBorders>
              <w:top w:val="single" w:sz="4" w:space="0" w:color="auto"/>
              <w:left w:val="single" w:sz="4" w:space="0" w:color="auto"/>
              <w:bottom w:val="single" w:sz="4" w:space="0" w:color="auto"/>
              <w:right w:val="single" w:sz="4" w:space="0" w:color="auto"/>
            </w:tcBorders>
            <w:shd w:val="clear" w:color="000000" w:fill="CCFFCC"/>
            <w:vAlign w:val="center"/>
            <w:hideMark/>
          </w:tcPr>
          <w:p w:rsidR="00BF6E86" w:rsidRPr="00BF6E86" w:rsidRDefault="00BF6E86" w:rsidP="00BF6E86">
            <w:pPr>
              <w:jc w:val="center"/>
              <w:rPr>
                <w:rFonts w:ascii="Lucida Bright" w:hAnsi="Lucida Bright" w:cs="Calibri"/>
                <w:b/>
                <w:bCs/>
                <w:color w:val="000000"/>
                <w:sz w:val="18"/>
                <w:szCs w:val="18"/>
                <w:lang w:val="es-ES"/>
              </w:rPr>
            </w:pPr>
            <w:r w:rsidRPr="00BF6E86">
              <w:rPr>
                <w:rFonts w:ascii="Lucida Bright" w:hAnsi="Lucida Bright" w:cs="Calibri"/>
                <w:b/>
                <w:bCs/>
                <w:color w:val="000000"/>
                <w:sz w:val="18"/>
                <w:szCs w:val="18"/>
                <w:lang w:val="es-ES"/>
              </w:rPr>
              <w:t xml:space="preserve">Puerto </w:t>
            </w:r>
          </w:p>
        </w:tc>
        <w:tc>
          <w:tcPr>
            <w:tcW w:w="621" w:type="pct"/>
            <w:tcBorders>
              <w:top w:val="single" w:sz="4" w:space="0" w:color="auto"/>
              <w:left w:val="nil"/>
              <w:bottom w:val="single" w:sz="4" w:space="0" w:color="auto"/>
              <w:right w:val="single" w:sz="4" w:space="0" w:color="auto"/>
            </w:tcBorders>
            <w:shd w:val="clear" w:color="000000" w:fill="CCFFCC"/>
            <w:vAlign w:val="center"/>
            <w:hideMark/>
          </w:tcPr>
          <w:p w:rsidR="00BF6E86" w:rsidRPr="00BF6E86" w:rsidRDefault="00BF6E86" w:rsidP="00BF6E86">
            <w:pPr>
              <w:jc w:val="center"/>
              <w:rPr>
                <w:rFonts w:ascii="Lucida Bright" w:hAnsi="Lucida Bright" w:cs="Calibri"/>
                <w:b/>
                <w:bCs/>
                <w:color w:val="000000"/>
                <w:sz w:val="18"/>
                <w:szCs w:val="18"/>
                <w:lang w:val="es-ES"/>
              </w:rPr>
            </w:pPr>
            <w:r w:rsidRPr="00BF6E86">
              <w:rPr>
                <w:rFonts w:ascii="Lucida Bright" w:hAnsi="Lucida Bright" w:cs="Calibri"/>
                <w:b/>
                <w:bCs/>
                <w:color w:val="000000"/>
                <w:sz w:val="18"/>
                <w:szCs w:val="18"/>
                <w:lang w:val="es-ES"/>
              </w:rPr>
              <w:t xml:space="preserve">Referencia título dominio público </w:t>
            </w:r>
          </w:p>
        </w:tc>
        <w:tc>
          <w:tcPr>
            <w:tcW w:w="832" w:type="pct"/>
            <w:tcBorders>
              <w:top w:val="single" w:sz="4" w:space="0" w:color="auto"/>
              <w:left w:val="nil"/>
              <w:bottom w:val="single" w:sz="4" w:space="0" w:color="auto"/>
              <w:right w:val="single" w:sz="4" w:space="0" w:color="auto"/>
            </w:tcBorders>
            <w:shd w:val="clear" w:color="000000" w:fill="CCFFCC"/>
            <w:vAlign w:val="center"/>
            <w:hideMark/>
          </w:tcPr>
          <w:p w:rsidR="00BF6E86" w:rsidRPr="00BF6E86" w:rsidRDefault="00BF6E86" w:rsidP="00BF6E86">
            <w:pPr>
              <w:jc w:val="center"/>
              <w:rPr>
                <w:rFonts w:ascii="Lucida Bright" w:hAnsi="Lucida Bright" w:cs="Calibri"/>
                <w:b/>
                <w:bCs/>
                <w:color w:val="000000"/>
                <w:sz w:val="18"/>
                <w:szCs w:val="18"/>
                <w:lang w:val="es-ES"/>
              </w:rPr>
            </w:pPr>
            <w:r w:rsidRPr="00BF6E86">
              <w:rPr>
                <w:rFonts w:ascii="Lucida Bright" w:hAnsi="Lucida Bright" w:cs="Calibri"/>
                <w:b/>
                <w:bCs/>
                <w:color w:val="000000"/>
                <w:sz w:val="18"/>
                <w:szCs w:val="18"/>
                <w:lang w:val="es-ES"/>
              </w:rPr>
              <w:t xml:space="preserve">Sujeto Pasivo </w:t>
            </w:r>
          </w:p>
        </w:tc>
        <w:tc>
          <w:tcPr>
            <w:tcW w:w="1891" w:type="pct"/>
            <w:tcBorders>
              <w:top w:val="single" w:sz="4" w:space="0" w:color="auto"/>
              <w:left w:val="nil"/>
              <w:bottom w:val="single" w:sz="4" w:space="0" w:color="auto"/>
              <w:right w:val="single" w:sz="4" w:space="0" w:color="auto"/>
            </w:tcBorders>
            <w:shd w:val="clear" w:color="000000" w:fill="CCFFCC"/>
            <w:vAlign w:val="center"/>
            <w:hideMark/>
          </w:tcPr>
          <w:p w:rsidR="00BF6E86" w:rsidRPr="00BF6E86" w:rsidRDefault="00BF6E86" w:rsidP="00BF6E86">
            <w:pPr>
              <w:jc w:val="center"/>
              <w:rPr>
                <w:rFonts w:ascii="Lucida Bright" w:hAnsi="Lucida Bright" w:cs="Calibri"/>
                <w:b/>
                <w:bCs/>
                <w:color w:val="000000"/>
                <w:sz w:val="18"/>
                <w:szCs w:val="18"/>
                <w:lang w:val="es-ES"/>
              </w:rPr>
            </w:pPr>
            <w:r w:rsidRPr="00BF6E86">
              <w:rPr>
                <w:rFonts w:ascii="Lucida Bright" w:hAnsi="Lucida Bright" w:cs="Calibri"/>
                <w:b/>
                <w:bCs/>
                <w:color w:val="000000"/>
                <w:sz w:val="18"/>
                <w:szCs w:val="18"/>
                <w:lang w:val="es-ES"/>
              </w:rPr>
              <w:t xml:space="preserve">Objeto título dominio público </w:t>
            </w:r>
          </w:p>
        </w:tc>
        <w:tc>
          <w:tcPr>
            <w:tcW w:w="577" w:type="pct"/>
            <w:tcBorders>
              <w:top w:val="single" w:sz="4" w:space="0" w:color="auto"/>
              <w:left w:val="nil"/>
              <w:bottom w:val="single" w:sz="4" w:space="0" w:color="auto"/>
              <w:right w:val="single" w:sz="4" w:space="0" w:color="auto"/>
            </w:tcBorders>
            <w:shd w:val="clear" w:color="000000" w:fill="CCFFCC"/>
            <w:vAlign w:val="center"/>
            <w:hideMark/>
          </w:tcPr>
          <w:p w:rsidR="00BF6E86" w:rsidRPr="00BF6E86" w:rsidRDefault="00BF6E86" w:rsidP="00BF6E86">
            <w:pPr>
              <w:jc w:val="center"/>
              <w:rPr>
                <w:rFonts w:ascii="Lucida Bright" w:hAnsi="Lucida Bright" w:cs="Calibri"/>
                <w:b/>
                <w:bCs/>
                <w:color w:val="000000"/>
                <w:sz w:val="18"/>
                <w:szCs w:val="18"/>
                <w:lang w:val="es-ES"/>
              </w:rPr>
            </w:pPr>
            <w:r w:rsidRPr="00BF6E86">
              <w:rPr>
                <w:rFonts w:ascii="Lucida Bright" w:hAnsi="Lucida Bright" w:cs="Calibri"/>
                <w:b/>
                <w:bCs/>
                <w:color w:val="000000"/>
                <w:sz w:val="18"/>
                <w:szCs w:val="18"/>
                <w:lang w:val="es-ES"/>
              </w:rPr>
              <w:t>Importe 2023</w:t>
            </w:r>
          </w:p>
        </w:tc>
        <w:tc>
          <w:tcPr>
            <w:tcW w:w="577" w:type="pct"/>
            <w:tcBorders>
              <w:top w:val="single" w:sz="4" w:space="0" w:color="auto"/>
              <w:left w:val="nil"/>
              <w:bottom w:val="single" w:sz="4" w:space="0" w:color="auto"/>
              <w:right w:val="single" w:sz="4" w:space="0" w:color="auto"/>
            </w:tcBorders>
            <w:shd w:val="clear" w:color="000000" w:fill="CCFFCC"/>
            <w:vAlign w:val="center"/>
            <w:hideMark/>
          </w:tcPr>
          <w:p w:rsidR="00BF6E86" w:rsidRPr="00BF6E86" w:rsidRDefault="00BF6E86" w:rsidP="00BF6E86">
            <w:pPr>
              <w:jc w:val="center"/>
              <w:rPr>
                <w:rFonts w:ascii="Lucida Bright" w:hAnsi="Lucida Bright" w:cs="Calibri"/>
                <w:b/>
                <w:bCs/>
                <w:color w:val="000000"/>
                <w:sz w:val="18"/>
                <w:szCs w:val="18"/>
                <w:lang w:val="es-ES"/>
              </w:rPr>
            </w:pPr>
            <w:r w:rsidRPr="00BF6E86">
              <w:rPr>
                <w:rFonts w:ascii="Lucida Bright" w:hAnsi="Lucida Bright" w:cs="Calibri"/>
                <w:b/>
                <w:bCs/>
                <w:color w:val="000000"/>
                <w:sz w:val="18"/>
                <w:szCs w:val="18"/>
                <w:lang w:val="es-ES"/>
              </w:rPr>
              <w:t>Importe 2022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Alcúdia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0871 CP/G</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ALCUDIAMAR S 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ZONA DEPORTIVA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2.631.185,41</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2.631.185,41</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Alcúdia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1122-CPG</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REPSOL BUTANO S.A.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UTULIZACIÓN DE INSTALACIONES PARA LA DESCARGA DE BUQUES BUTANEROS</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164.926,81</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64.615,17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Alcúdia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0540-CP/G</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CEPSA COMERCIAL PETROLEO S.A.U.</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FACTORIA PARA ALMACENAJE Y DISTRIBUCION DE PRODUCTOS ASFÁLTICOS EN EL PUERTO DE ALCUDIA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66.162,27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Alcúdia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1109-CP/G</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TRANSPULVE 2009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CONCESIÓN ADMINISTRATIVA PARA LA GESTIÓN DE UN CENTRO DE ALMACENAMIENTO Y DISTRIBUCIÓN DE CEMENTO EN EL MUELLE DE RIBERA DEL PUERTO DE ALCÚDIA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131.064,56</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109.438,16</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Alcúdia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GSP-177</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COLABORADORA HOTELERA UNO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UN ESTABLECIMIENTO PARA SERVICIOS TURÍSTIOS EN EL FARO DE FORMENTOR (MALLORCA)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62.966,34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33.122,03</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GSP-171</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CLUB NAUTICO DE IBIZA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UNA INSTALACIÓN NÁUTICA PARA PEQUEÑAS Y MEDIANAS ESLORAS EN EL PUERTO DE EIVISSA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371.899,37</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371.899,37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lastRenderedPageBreak/>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AU-D-I-01-0818-23</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IGY GESTORAS MARINAS SPAIN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PUESTOS AMARRE DE GRAN ESLORA Y OFICINA ADMINISTRATIVA MUELLE Y DÁRSENA LEVANTE DE EIVISSA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258.022,31</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L-I-11-0007-20</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FRANCISCO MIGUEL AMOROS PORRAS</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BAR-CAFETERIA, QUIOSCO Y LETRERO INFORMATIVO</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23.961,04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57.919,05</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1088-CP/G</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GAS Y ELECT GENERACION S 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CONDUCCION DE DESCARGA DE FUEL-OIL</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77.858,21</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148.011,69</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GSP-184</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OCIBAR S. 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Y LOCALES COMERCIALES EN BOTAFOC DEL PUERTO DE EIVISSA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2.711.419,02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GSP-166</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OCIBAR S. 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Y LOCALES COMERCIALES EN BOTAFOC DEL PUERTO DE EIVISSA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1.587.115,66</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I-01-0795-22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OCIBAR S. 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Y LOCALES COMERCIALES</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1.262.619,05</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GSP-118</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SERVEIS MARITIMS PORT EIVISSA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PUESTOS DE AMARRE EN LA RIBERA NORTE DEL PUERTO DE IBIZA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1.965.118,12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1.965.118,12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GSP-168</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TANIT IBIZA PORT SA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EN LA DÁRSENA DE PONIENTE DEL PUERTO DE EIVISSA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776.680,42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776.680,42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Eivissa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GSP-109</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TANIT IBIZA PORT SA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UN VARADERO JUNTO AL MUELLE PESQUERO DEL PUERTO DE IBIZA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122.785,21</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130.878,80</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lastRenderedPageBreak/>
              <w:t xml:space="preserve">La </w:t>
            </w:r>
            <w:proofErr w:type="spellStart"/>
            <w:r w:rsidRPr="00BF6E86">
              <w:rPr>
                <w:rFonts w:ascii="Lucida Bright" w:hAnsi="Lucida Bright" w:cs="Calibri"/>
                <w:color w:val="000000"/>
                <w:sz w:val="14"/>
                <w:szCs w:val="14"/>
                <w:lang w:val="es-ES"/>
              </w:rPr>
              <w:t>Savina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GSP-181</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PORT MED FORMENTERA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EN LA DÁRSENA INTERIOR DE PONIENTE EN EL PUERTO DE LA SAVINA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612.894,84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147.766,41</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xml:space="preserve">La </w:t>
            </w:r>
            <w:proofErr w:type="spellStart"/>
            <w:r w:rsidRPr="00BF6E86">
              <w:rPr>
                <w:rFonts w:ascii="Lucida Bright" w:hAnsi="Lucida Bright" w:cs="Calibri"/>
                <w:color w:val="000000"/>
                <w:sz w:val="14"/>
                <w:szCs w:val="14"/>
                <w:lang w:val="es-ES"/>
              </w:rPr>
              <w:t>Savina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GSP-173</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PUERTOS Y LITORALES SOSTENIBLES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LA DÁRSENA PARA EMBARCACIONES MENORES EN EL PUERTO DE LA SAVINA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217.257,37</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213.686,03</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xml:space="preserve">La </w:t>
            </w:r>
            <w:proofErr w:type="spellStart"/>
            <w:r w:rsidRPr="00BF6E86">
              <w:rPr>
                <w:rFonts w:ascii="Lucida Bright" w:hAnsi="Lucida Bright" w:cs="Calibri"/>
                <w:color w:val="000000"/>
                <w:sz w:val="14"/>
                <w:szCs w:val="14"/>
                <w:lang w:val="es-ES"/>
              </w:rPr>
              <w:t>Savina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F-01-0416-22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PUERTOS Y LITORALES SOSTENIBLES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INSTALACIÓN DE SUMUNISTRO DE COMBUSTIBLES EN EL MUELLE COMERCIAL DEL PUERTO DE LA SAVINA, FORMENTERA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62.354,99</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xml:space="preserve">La </w:t>
            </w:r>
            <w:proofErr w:type="spellStart"/>
            <w:r w:rsidRPr="00BF6E86">
              <w:rPr>
                <w:rFonts w:ascii="Lucida Bright" w:hAnsi="Lucida Bright" w:cs="Calibri"/>
                <w:color w:val="000000"/>
                <w:sz w:val="14"/>
                <w:szCs w:val="14"/>
                <w:lang w:val="es-ES"/>
              </w:rPr>
              <w:t>Savina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GSP-160</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SERCOMISA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LOCALES COMERCIALES Y OFICINAS EN LA ESTACIÓN MARÍTIMA Y DE DOS EDIFICIOS EN EL PASEO DE LA MARINA DEL PUERTO DE LA SAVINA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155.815,42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155.185,42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xml:space="preserve">La </w:t>
            </w:r>
            <w:proofErr w:type="spellStart"/>
            <w:r w:rsidRPr="00BF6E86">
              <w:rPr>
                <w:rFonts w:ascii="Lucida Bright" w:hAnsi="Lucida Bright" w:cs="Calibri"/>
                <w:color w:val="000000"/>
                <w:sz w:val="14"/>
                <w:szCs w:val="14"/>
                <w:lang w:val="es-ES"/>
              </w:rPr>
              <w:t>Savina</w:t>
            </w:r>
            <w:proofErr w:type="spellEnd"/>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GSP-145</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SOVALGARAY MARITIMA SLU</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UN EDIFICIO PARA APARCAMIENTO, LOCALES Y DESPACHOS, SITUADO EN LA CALZADA DE PONIENTE DEL PUERTO DE LA SAVINA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50.462,46</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50.462,47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GSP-179</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CLUB MARÍTIMO DE MAHÓN</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UNA INSTALACIÓN NÁUTICO-DEPORTIVA EN EL MUELLO DE LEVANTE DEL PUERTO DE MAÓ, ENTRE LA PUNTA DEL RELLOTGE Y ES GATASSUS</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206.503,14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29.419,62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GSP-180</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TANIT IBIZA PORT SA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EN LA PUNTA DE CALA FIGUERA, EN EL MUELLO DE LEVANTE DEL PUERTO DE MAÓ</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258.132,52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36.775,04</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GSP-172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AMARRES PONIENTE,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Y DE TALLER EN EL MUELLE DE PONIENTE DEL PUERTO DE MAÓ</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114.605,76</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114.605,76</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1099-CP/G</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CEMEX ESPAÑA OPERACIONES SLU</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TERMINAL Y CANALIZACIONES EXISTENTES PARA LA RECEPCIÓN, ALMACENAMIENTO, ENSACADO, PALETIZADO Y DISTRIBUCIÓN DE CEMENTO Y PRODUCTOS DERIVADOS</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146.306,11</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146.306,11</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lastRenderedPageBreak/>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GSP-162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DESARROLLOS CONCESIONALES INSULARES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xml:space="preserve">GESTIÓN DE PUESTOS DE AMARRE PARA EMBARCACIONES DE ALQUILER EN LOS MUELLES DE LEVANTE DE LA RIBERA SUR DEL PUERTO DE </w:t>
            </w:r>
            <w:proofErr w:type="gramStart"/>
            <w:r w:rsidRPr="00BF6E86">
              <w:rPr>
                <w:rFonts w:ascii="Lucida Bright" w:hAnsi="Lucida Bright" w:cs="Calibri"/>
                <w:color w:val="000000"/>
                <w:sz w:val="14"/>
                <w:szCs w:val="14"/>
                <w:lang w:val="es-ES"/>
              </w:rPr>
              <w:t>MAÓ .</w:t>
            </w:r>
            <w:proofErr w:type="gramEnd"/>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65.821,21</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65.821,21</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M-01-0832-22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DESARROLLOS CONCESIONALES INSULARES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EXPLANADA PARALA REPARACIÓN, VARADA Y BOTADURA DE EMBARCACIONES</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123.311,23</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46.283,93</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1093-CP/G</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EXOLUM CORPORATION, SA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NUEVAS INSTALACIONES DE DESCARGA Y ALMACENAMIENTO</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52.487,28</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25.983,72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M-01-0809-21</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GRIMALDI LOGISTICA ESPAÑA,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DEPÓSITO MERCANCIAS</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72.245,32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72.245,32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GSP-149</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MARINA DEPORTIVA DE MENORCA.SL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EN LA RIBERA NORTE DEL PUERTO DE MAÓ</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152.803,05</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204.297,08</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AU-D-M-01-0869-23</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MARINA DEPORTIVA DE MENORCA.SL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EN LA RIBERA NORTE DEL PUERTO DE MAÓ</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58.634,25</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M-03-0727-21</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MARINA DEPORTIVA DE MENORCA.SL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EN LA COLÁRSEGA DEL PUERTO DE MAÓ</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74.370,59</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proofErr w:type="spellStart"/>
            <w:r w:rsidRPr="00BF6E86">
              <w:rPr>
                <w:rFonts w:ascii="Lucida Bright" w:hAnsi="Lucida Bright" w:cs="Calibri"/>
                <w:color w:val="000000"/>
                <w:sz w:val="14"/>
                <w:szCs w:val="14"/>
                <w:lang w:val="es-ES"/>
              </w:rPr>
              <w:t>Maó</w:t>
            </w:r>
            <w:proofErr w:type="spellEnd"/>
            <w:r w:rsidRPr="00BF6E86">
              <w:rPr>
                <w:rFonts w:ascii="Lucida Bright" w:hAnsi="Lucida Bright" w:cs="Calibri"/>
                <w:color w:val="000000"/>
                <w:sz w:val="14"/>
                <w:szCs w:val="14"/>
                <w:lang w:val="es-ES"/>
              </w:rPr>
              <w:t>-Mahón</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GSP-176</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POON HILL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EN LA ZONA DEL VARADERO REYNÉS DEL MUELLE DE LEVANTE DEL PUERTO DE MAÓ</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129.884,19</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76.507,13</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GSP-141</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AMARRES DEPORTIVOS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GESTION DE PUESTOS DE AMARRE PARA EMBARCACIONES DE RECREO EN EL PANTALÁN DEL MEDITERRÁNEO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326.549,47</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326.549,47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lastRenderedPageBreak/>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GSP-137</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AMARRES DEPORTIVOS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LOCALES, DESPACHOS Y PUESTOS DE AMARRE EN EL MUELLE VIEJO DEL PUERTO DE PALMA DE MALLORCA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188.687,18</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188.687,18</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auto" w:fill="auto"/>
            <w:noWrap/>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P-01-0I31-22</w:t>
            </w:r>
          </w:p>
        </w:tc>
        <w:tc>
          <w:tcPr>
            <w:tcW w:w="832"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SERVICIOS TECNICOS PORTUARIOS SL</w:t>
            </w:r>
          </w:p>
        </w:tc>
        <w:tc>
          <w:tcPr>
            <w:tcW w:w="1891"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DEPÓSITO DE EMBARCACIONES</w:t>
            </w:r>
          </w:p>
        </w:tc>
        <w:tc>
          <w:tcPr>
            <w:tcW w:w="577"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184.404,06</w:t>
            </w:r>
          </w:p>
        </w:tc>
        <w:tc>
          <w:tcPr>
            <w:tcW w:w="577"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48.902,73</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1845F2">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AU-D-P-03-0</w:t>
            </w:r>
            <w:r w:rsidR="001845F2">
              <w:rPr>
                <w:rFonts w:ascii="Lucida Bright" w:hAnsi="Lucida Bright" w:cs="Calibri"/>
                <w:color w:val="000000"/>
                <w:sz w:val="14"/>
                <w:szCs w:val="14"/>
                <w:lang w:val="es-ES"/>
              </w:rPr>
              <w:t>I</w:t>
            </w:r>
            <w:r w:rsidRPr="00BF6E86">
              <w:rPr>
                <w:rFonts w:ascii="Lucida Bright" w:hAnsi="Lucida Bright" w:cs="Calibri"/>
                <w:color w:val="000000"/>
                <w:sz w:val="14"/>
                <w:szCs w:val="14"/>
                <w:lang w:val="es-ES"/>
              </w:rPr>
              <w:t>31-23</w:t>
            </w:r>
          </w:p>
        </w:tc>
        <w:tc>
          <w:tcPr>
            <w:tcW w:w="832"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SERVICIOS TECNICOS PORTUARIOS SL</w:t>
            </w:r>
          </w:p>
        </w:tc>
        <w:tc>
          <w:tcPr>
            <w:tcW w:w="1891"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DEPÓSITO DE EMBARCACIONES</w:t>
            </w:r>
          </w:p>
        </w:tc>
        <w:tc>
          <w:tcPr>
            <w:tcW w:w="577"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98.156,23</w:t>
            </w:r>
          </w:p>
        </w:tc>
        <w:tc>
          <w:tcPr>
            <w:tcW w:w="577"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auto" w:fill="auto"/>
            <w:noWrap/>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GSP-178</w:t>
            </w:r>
          </w:p>
        </w:tc>
        <w:tc>
          <w:tcPr>
            <w:tcW w:w="832"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SERVICIOS TECNICOS PORTUARIOS SL</w:t>
            </w:r>
          </w:p>
        </w:tc>
        <w:tc>
          <w:tcPr>
            <w:tcW w:w="1891"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UN EDIFICIO SITUADO EN EL ESPIGÓN DE LA CONSIGNA DEL PUERTO DE PALMA</w:t>
            </w:r>
          </w:p>
        </w:tc>
        <w:tc>
          <w:tcPr>
            <w:tcW w:w="577"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143.439,55</w:t>
            </w:r>
          </w:p>
        </w:tc>
        <w:tc>
          <w:tcPr>
            <w:tcW w:w="577"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26.722,98</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0013-COP</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ASTILLEROS DE MALLORCA S 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MODERNIZACION DE ASTILLEROS</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230.323,42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230.323,42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0210-COP</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CEMEX ESPAÑA OPERACIONES SLU</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CONCESIÓN ADMINISTRATIVA PARA LA GESTIÓN DE CENTRO DE CARGA, DESCARGA, ALMACENAJE Y DISTRIBUCIÓN DE CEMENTO, EN LA SEGUNDA ALINEACIÓN DEL DIQUE DEL OESTE,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477.130,06</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602.017,46</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0212-COP</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CLUB DE MAR MALLORCA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CONSTRUCCION Y LA EXPLOTACIÓN DE UNA DÁRSENA DEPORTIVA, CON USOS COMPLEMENTARIOS (VARADERO, ESTACIÓN DE SERVICIOS DE COMBUSTIBLE, LOCALES COMERCIALES, BARES, CAFETERIAS, RESTAURANTE, SALAS DE REUNIONES Y PARA ACONTECIMIENTOS, LOCALES DE DIVERSIÓN Y ENTRETENIMIENTO, EDIFICIO SOCIAL, ETC)</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2.738.058,70</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2.738.058,70</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P-02-0I04-22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EVOLUTION YACHTS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BASE OPERATIVA Y DE ENTRENAMIENTO DEL EQUIPO INEOS BRITTANIA (CARPAS, DEPÓSITO EMBARCACIONES Y GRÚA PARA IZADA Y BOTADURA)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80.889,39</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70.205,89</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0106-COP</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EXOLUM CORPORATION SA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TUBERÍAS DE DESCARGA DE COMBUSTIBLE</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126.913,22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121.907,84</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lastRenderedPageBreak/>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GSP-130</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GLOBAL YACHT FINISHING S 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UN EDIFICIO SITUADO EN EL ESPIGÓN EXTERIOR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143.100,34</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L-P-01-0549-22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GLOBAL YACHT FINISHING S 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UN EDIFICIO, MÁQUINA DE TABACO Y LETREROS EN EL ESPIGÓN EXTERIOR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162.916,01</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138.687,47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DF07F1" w:rsidP="00BF6E86">
            <w:pPr>
              <w:rPr>
                <w:rFonts w:ascii="Lucida Bright" w:hAnsi="Lucida Bright" w:cs="Calibri"/>
                <w:color w:val="000000"/>
                <w:sz w:val="14"/>
                <w:szCs w:val="14"/>
                <w:lang w:val="es-ES"/>
              </w:rPr>
            </w:pPr>
            <w:r>
              <w:rPr>
                <w:rFonts w:ascii="Lucida Bright" w:hAnsi="Lucida Bright" w:cs="Calibri"/>
                <w:color w:val="000000"/>
                <w:sz w:val="14"/>
                <w:szCs w:val="14"/>
                <w:lang w:val="es-ES"/>
              </w:rPr>
              <w:t>AU-D-P-L</w:t>
            </w:r>
            <w:r w:rsidR="00BF6E86" w:rsidRPr="00BF6E86">
              <w:rPr>
                <w:rFonts w:ascii="Lucida Bright" w:hAnsi="Lucida Bright" w:cs="Calibri"/>
                <w:color w:val="000000"/>
                <w:sz w:val="14"/>
                <w:szCs w:val="14"/>
                <w:lang w:val="es-ES"/>
              </w:rPr>
              <w:t>-02-0549-23</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GLOBAL YACHT FINISHING S 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UN EDIFICIO, MÁQUINA DE TABACO Y LETREROS EN EL ESPIGÓN EXTERIOR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126.990,94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P-01-0H85-21</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GRIMALDI LOGISTICA ESPAÑA,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DEP. MERCANCÍAS, 2 CASETAS CONTROL, OFICINAS, ANTENA Y COND. SUBT.</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212.090,27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L-P-01-0537-21</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GRIMALDI LOGISTICA ESPAÑA,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OFICINAS, DISP.MEDICIÓN SATISFACCIÓN, MÁQ. EXPEN. TARJ., AP A/A, 3 LETREEROS Y 2 ANTENAS SI-FI</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52.931,84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P-02-0H85-22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GRIMALDI LOGISTICA ESPAÑA,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DEP. MERCANCÍAS, 2 CASETAS CONTROL, OFICINAS, ANTENA Y COND. SUBT.</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694.360,88</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336.717,47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auto" w:fill="auto"/>
            <w:noWrap/>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auto" w:fill="auto"/>
            <w:noWrap/>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GSP-51.16</w:t>
            </w:r>
          </w:p>
        </w:tc>
        <w:tc>
          <w:tcPr>
            <w:tcW w:w="832"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GRIMALDI LOGISTICA ESPAÑA, SL</w:t>
            </w:r>
          </w:p>
        </w:tc>
        <w:tc>
          <w:tcPr>
            <w:tcW w:w="1891"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SERVICIO DE MANIPULACIÓN DE MERCANCIAS</w:t>
            </w:r>
          </w:p>
        </w:tc>
        <w:tc>
          <w:tcPr>
            <w:tcW w:w="577" w:type="pct"/>
            <w:tcBorders>
              <w:top w:val="nil"/>
              <w:left w:val="nil"/>
              <w:bottom w:val="single" w:sz="4" w:space="0" w:color="auto"/>
              <w:right w:val="single" w:sz="4" w:space="0" w:color="auto"/>
            </w:tcBorders>
            <w:shd w:val="clear" w:color="auto" w:fill="auto"/>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61.592,83</w:t>
            </w:r>
          </w:p>
        </w:tc>
        <w:tc>
          <w:tcPr>
            <w:tcW w:w="577" w:type="pct"/>
            <w:tcBorders>
              <w:top w:val="nil"/>
              <w:left w:val="nil"/>
              <w:bottom w:val="single" w:sz="4" w:space="0" w:color="auto"/>
              <w:right w:val="single" w:sz="4" w:space="0" w:color="auto"/>
            </w:tcBorders>
            <w:shd w:val="clear" w:color="auto" w:fill="auto"/>
            <w:noWrap/>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31.293,07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GSP-093</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INIC PORT MIRALL DE MAR DE MCA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SERVICIOS PORTUARIOS A EMBARCACIONES DE RECREO EN EL PASEO MARÍTIMO EN EL PUERTO DE PALMA DE MALLORCA (ENTRE LA TERMINAL DE TRAFICO LOCAL Y EL PANTALAN DEL MEDITERRANEO).</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363.880,03</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500.485,51</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P-10-0D83-22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INSTITUT INNOVACIO EMPRESARIAL ILLES BALEARS (IDI)</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 INTERNATIONAL BOAT SHOW 2022"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63.437,99</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lastRenderedPageBreak/>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P-11-0D83-23</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INSTITUT INNOVACIO EMPRESARIAL ILLES BALEARS (IDI)</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 INTERNATIONAL BOAT SHOW 2023"</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65.206,03</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GSP-124</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LA LONJA MARINA CHARTER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PARA EMBARCACIONES DE ALQUILER EN EL MUELLE DE LA LONJA DEL PTO.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165.137,04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221.599,32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AU-D-P-01-1024-23</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LA LONJA MARINA CHARTER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xml:space="preserve">GESTIÓN DE PUESTOS DE AMARRE PARA EMBARCACIONES DE ALQUILER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83.914,63</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GSP-159</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MARPORTSUNBEACH MALLORCA S 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EXPLOTACION DE UN ESTABLECIMIENTO PARA SERVICIOS A USUARIOS PORTUARIOS EN LA ZONA DE TRONERAS DEL PORTITXOL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170.275,34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170.275,34</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0015-COP</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NAVIERA BALEAR S 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Y SERVICIO DE SUMINISTRO PARA EMBARCACIONES CHARTER</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281.943,67</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281.943,67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P-01-0I35-22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REAL CLUB NAUTICO DE PALMA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AUTORIZACIÓN PARA LA GESTIÓN DE UNA INSTALACIÓN NÁUTICA EN EL CONTRAMUELLE MOLLET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1.259.650,83</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GSP-017</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REAL CLUB NAUTICO DE PALMA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SERVICIOS PÚBLICOS DE LOS EDIFICIOS E INSTALACIONES PARA EMBARCACIONES MENORES DE LA DÁRSENA DE SAN PEDRO Y CONTRAMUELLE MOLLET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905.439,68</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GSP-175</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RESTAURANTE CASA EDUARDO S 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UN RESTAURANTE EN EL CONTRAMUELLE MOLLET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102.236,94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76.187,54</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GSP-150</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SEASIDE LLULL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EXPLOTACIÓN DE UN BAR-CAFETERÍA-RESTAURANTE, LOCAL COMERCIAL Y APARCAMIENTO EN LA TERMINAL DE TRÁFICO LOCAL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109.562,72</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lastRenderedPageBreak/>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GSP-115</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SERVICIOS TECNICOS PORTUARIOS SL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EXPLOTACION DE LAS INSTALACIONES CON DESTINO A SERVICIOS DE VARADA Y BOTADURA DE EMBARCACIONES EN LOS MUELLES COMERCIALES DEL PTO.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3.077.868,54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1.866.690,15</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GSP-131</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TANIT IBIZA PORT SA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GESTIÓN DE PUESTOS DE AMARRE PARA EMBARCACIONES DE RECREO EN EL PANTALÁN DE LA CUARENTENA DEL PUERTO DEL PUERTO DE PALMA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259.757,27</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259.757,27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L-P-01-0550-22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HEMISPHERE COATING SERVICES S.L.U.</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r w:rsidR="0085320A">
              <w:rPr>
                <w:rFonts w:ascii="Lucida Bright" w:hAnsi="Lucida Bright" w:cs="Calibri"/>
                <w:color w:val="000000"/>
                <w:sz w:val="14"/>
                <w:szCs w:val="14"/>
                <w:lang w:val="es-ES"/>
              </w:rPr>
              <w:t>TIENDA, OFICINAS, 4 LETREROS Y 2 PLAZAS APARCAMIENTO.</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101.501,04</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40.474,67</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xml:space="preserve">0148-COP </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CLUB NÁUTICO PORTITXOL</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OBRAS DE REFORMA</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100.311,23</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62.614,66</w:t>
            </w:r>
          </w:p>
        </w:tc>
      </w:tr>
      <w:tr w:rsidR="00BF6E86" w:rsidRPr="00BF6E86" w:rsidTr="00C66CB2">
        <w:trPr>
          <w:trHeight w:val="1350"/>
        </w:trPr>
        <w:tc>
          <w:tcPr>
            <w:tcW w:w="502" w:type="pct"/>
            <w:tcBorders>
              <w:top w:val="nil"/>
              <w:left w:val="single" w:sz="4" w:space="0" w:color="auto"/>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Palma</w:t>
            </w:r>
          </w:p>
        </w:tc>
        <w:tc>
          <w:tcPr>
            <w:tcW w:w="62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P-04-0H51-22</w:t>
            </w:r>
          </w:p>
        </w:tc>
        <w:tc>
          <w:tcPr>
            <w:tcW w:w="832"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UTE CLUB DE MAR MALLORCA</w:t>
            </w:r>
          </w:p>
        </w:tc>
        <w:tc>
          <w:tcPr>
            <w:tcW w:w="1891"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ACOPIO DE MATERIALES PARA LA OBRA DEL CONCESIONARIO CLUB DE MAR, CON MOTIVO DE LAS OBRAS DE MODIFICACIÓN DE LA CONCESIÓN COP-212</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 </w:t>
            </w:r>
          </w:p>
        </w:tc>
        <w:tc>
          <w:tcPr>
            <w:tcW w:w="577" w:type="pct"/>
            <w:tcBorders>
              <w:top w:val="nil"/>
              <w:left w:val="nil"/>
              <w:bottom w:val="single" w:sz="4" w:space="0" w:color="auto"/>
              <w:right w:val="single" w:sz="4" w:space="0" w:color="auto"/>
            </w:tcBorders>
            <w:shd w:val="clear" w:color="000000" w:fill="FFFFFF"/>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103.198,05</w:t>
            </w:r>
          </w:p>
        </w:tc>
      </w:tr>
      <w:tr w:rsidR="00BF6E86" w:rsidRPr="00BF6E86" w:rsidTr="00C66CB2">
        <w:trPr>
          <w:trHeight w:val="300"/>
        </w:trPr>
        <w:tc>
          <w:tcPr>
            <w:tcW w:w="502"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c>
          <w:tcPr>
            <w:tcW w:w="621"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c>
          <w:tcPr>
            <w:tcW w:w="832"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c>
          <w:tcPr>
            <w:tcW w:w="1891"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c>
          <w:tcPr>
            <w:tcW w:w="577"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c>
          <w:tcPr>
            <w:tcW w:w="577"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r>
      <w:tr w:rsidR="00BF6E86" w:rsidRPr="00BF6E86" w:rsidTr="00C66CB2">
        <w:trPr>
          <w:trHeight w:val="300"/>
        </w:trPr>
        <w:tc>
          <w:tcPr>
            <w:tcW w:w="502"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c>
          <w:tcPr>
            <w:tcW w:w="621"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c>
          <w:tcPr>
            <w:tcW w:w="832"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c>
          <w:tcPr>
            <w:tcW w:w="1891" w:type="pct"/>
            <w:tcBorders>
              <w:top w:val="nil"/>
              <w:left w:val="nil"/>
              <w:bottom w:val="nil"/>
              <w:right w:val="nil"/>
            </w:tcBorders>
            <w:shd w:val="clear" w:color="auto" w:fill="auto"/>
            <w:noWrap/>
            <w:vAlign w:val="bottom"/>
            <w:hideMark/>
          </w:tcPr>
          <w:p w:rsidR="00BF6E86" w:rsidRPr="00BF6E86" w:rsidRDefault="00BF6E86" w:rsidP="00BF6E86">
            <w:pPr>
              <w:rPr>
                <w:rFonts w:ascii="Calibri" w:hAnsi="Calibri" w:cs="Calibri"/>
                <w:color w:val="000000"/>
                <w:sz w:val="22"/>
                <w:szCs w:val="22"/>
                <w:lang w:val="es-ES"/>
              </w:rPr>
            </w:pP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23.502.432,33</w:t>
            </w:r>
          </w:p>
        </w:tc>
        <w:tc>
          <w:tcPr>
            <w:tcW w:w="577" w:type="pct"/>
            <w:tcBorders>
              <w:top w:val="single" w:sz="4" w:space="0" w:color="auto"/>
              <w:left w:val="nil"/>
              <w:bottom w:val="single" w:sz="4" w:space="0" w:color="auto"/>
              <w:right w:val="single" w:sz="4" w:space="0" w:color="auto"/>
            </w:tcBorders>
            <w:shd w:val="clear" w:color="auto" w:fill="auto"/>
            <w:noWrap/>
            <w:vAlign w:val="bottom"/>
            <w:hideMark/>
          </w:tcPr>
          <w:p w:rsidR="00BF6E86" w:rsidRPr="00BF6E86" w:rsidRDefault="00BF6E86" w:rsidP="00BF6E86">
            <w:pPr>
              <w:jc w:val="right"/>
              <w:rPr>
                <w:rFonts w:ascii="Lucida Bright" w:hAnsi="Lucida Bright" w:cs="Calibri"/>
                <w:color w:val="000000"/>
                <w:sz w:val="14"/>
                <w:szCs w:val="14"/>
                <w:lang w:val="es-ES"/>
              </w:rPr>
            </w:pPr>
            <w:r w:rsidRPr="00BF6E86">
              <w:rPr>
                <w:rFonts w:ascii="Lucida Bright" w:hAnsi="Lucida Bright" w:cs="Calibri"/>
                <w:color w:val="000000"/>
                <w:sz w:val="14"/>
                <w:szCs w:val="14"/>
                <w:lang w:val="es-ES"/>
              </w:rPr>
              <w:t>20.541.411,90</w:t>
            </w:r>
          </w:p>
        </w:tc>
      </w:tr>
    </w:tbl>
    <w:p w:rsidR="00BF6E86" w:rsidRPr="00E73E9C" w:rsidRDefault="00BF6E86" w:rsidP="00257560">
      <w:pPr>
        <w:tabs>
          <w:tab w:val="right" w:pos="8364"/>
        </w:tabs>
        <w:ind w:firstLine="540"/>
        <w:jc w:val="both"/>
        <w:rPr>
          <w:rFonts w:ascii="NewBaskerville" w:hAnsi="NewBaskerville"/>
          <w:bCs/>
        </w:rPr>
      </w:pPr>
    </w:p>
    <w:p w:rsidR="005A1210" w:rsidRDefault="005A1210" w:rsidP="00257560">
      <w:pPr>
        <w:tabs>
          <w:tab w:val="right" w:pos="8364"/>
        </w:tabs>
        <w:ind w:firstLine="540"/>
        <w:jc w:val="both"/>
        <w:rPr>
          <w:bCs/>
        </w:rPr>
      </w:pPr>
    </w:p>
    <w:p w:rsidR="00D96A20" w:rsidRDefault="00D96A20" w:rsidP="00257560">
      <w:pPr>
        <w:tabs>
          <w:tab w:val="right" w:pos="8364"/>
        </w:tabs>
        <w:ind w:firstLine="540"/>
        <w:jc w:val="both"/>
        <w:rPr>
          <w:bCs/>
        </w:rPr>
      </w:pPr>
    </w:p>
    <w:p w:rsidR="004B000D" w:rsidRDefault="004B000D" w:rsidP="00FC791B">
      <w:pPr>
        <w:tabs>
          <w:tab w:val="right" w:pos="8364"/>
        </w:tabs>
        <w:jc w:val="both"/>
        <w:rPr>
          <w:bCs/>
        </w:rPr>
      </w:pPr>
    </w:p>
    <w:p w:rsidR="004B000D" w:rsidRDefault="004B000D" w:rsidP="00257560">
      <w:pPr>
        <w:tabs>
          <w:tab w:val="right" w:pos="8364"/>
        </w:tabs>
        <w:ind w:firstLine="540"/>
        <w:jc w:val="both"/>
        <w:rPr>
          <w:bCs/>
        </w:rPr>
      </w:pPr>
    </w:p>
    <w:p w:rsidR="004B000D" w:rsidRDefault="00FC791B" w:rsidP="00FC791B">
      <w:pPr>
        <w:tabs>
          <w:tab w:val="left" w:pos="997"/>
        </w:tabs>
        <w:ind w:firstLine="540"/>
        <w:jc w:val="both"/>
        <w:rPr>
          <w:bCs/>
        </w:rPr>
      </w:pPr>
      <w:r>
        <w:rPr>
          <w:bCs/>
        </w:rPr>
        <w:tab/>
      </w:r>
    </w:p>
    <w:p w:rsidR="00FC791B" w:rsidRDefault="00FC791B" w:rsidP="00FC791B">
      <w:pPr>
        <w:tabs>
          <w:tab w:val="left" w:pos="997"/>
        </w:tabs>
        <w:ind w:firstLine="540"/>
        <w:jc w:val="both"/>
        <w:rPr>
          <w:bCs/>
        </w:rPr>
      </w:pPr>
    </w:p>
    <w:p w:rsidR="00FC791B" w:rsidRDefault="00FC791B" w:rsidP="00FC791B">
      <w:pPr>
        <w:tabs>
          <w:tab w:val="left" w:pos="997"/>
        </w:tabs>
        <w:ind w:firstLine="540"/>
        <w:jc w:val="both"/>
        <w:rPr>
          <w:bCs/>
        </w:rPr>
      </w:pPr>
    </w:p>
    <w:p w:rsidR="004B000D" w:rsidRDefault="004B000D" w:rsidP="00257560">
      <w:pPr>
        <w:tabs>
          <w:tab w:val="right" w:pos="8364"/>
        </w:tabs>
        <w:ind w:firstLine="540"/>
        <w:jc w:val="both"/>
        <w:rPr>
          <w:bCs/>
        </w:rPr>
      </w:pPr>
    </w:p>
    <w:p w:rsidR="00187A36" w:rsidRDefault="00187A36" w:rsidP="00FC791B">
      <w:pPr>
        <w:tabs>
          <w:tab w:val="right" w:pos="567"/>
          <w:tab w:val="right" w:pos="8364"/>
        </w:tabs>
        <w:jc w:val="both"/>
        <w:rPr>
          <w:bCs/>
          <w:noProof/>
          <w:lang w:val="es-ES"/>
        </w:rPr>
      </w:pPr>
    </w:p>
    <w:p w:rsidR="004B000D" w:rsidRDefault="004B000D" w:rsidP="00FC791B">
      <w:pPr>
        <w:tabs>
          <w:tab w:val="right" w:pos="567"/>
          <w:tab w:val="right" w:pos="8364"/>
        </w:tabs>
        <w:jc w:val="both"/>
        <w:rPr>
          <w:bCs/>
        </w:rPr>
      </w:pPr>
    </w:p>
    <w:p w:rsidR="004B000D" w:rsidRDefault="004B000D" w:rsidP="00257560">
      <w:pPr>
        <w:tabs>
          <w:tab w:val="right" w:pos="8364"/>
        </w:tabs>
        <w:ind w:firstLine="540"/>
        <w:jc w:val="both"/>
        <w:rPr>
          <w:bCs/>
        </w:rPr>
      </w:pPr>
    </w:p>
    <w:p w:rsidR="004B000D" w:rsidRDefault="004B000D" w:rsidP="00257560">
      <w:pPr>
        <w:tabs>
          <w:tab w:val="right" w:pos="8364"/>
        </w:tabs>
        <w:ind w:firstLine="540"/>
        <w:jc w:val="both"/>
        <w:rPr>
          <w:bCs/>
        </w:rPr>
      </w:pPr>
    </w:p>
    <w:p w:rsidR="00B65CD5" w:rsidRDefault="00B65CD5" w:rsidP="00257560">
      <w:pPr>
        <w:tabs>
          <w:tab w:val="right" w:pos="8364"/>
        </w:tabs>
        <w:ind w:firstLine="540"/>
        <w:jc w:val="both"/>
        <w:rPr>
          <w:bCs/>
        </w:rPr>
      </w:pPr>
    </w:p>
    <w:p w:rsidR="00B65CD5" w:rsidRDefault="00B65CD5" w:rsidP="00FC791B">
      <w:pPr>
        <w:tabs>
          <w:tab w:val="right" w:pos="8364"/>
        </w:tabs>
        <w:jc w:val="both"/>
        <w:rPr>
          <w:bCs/>
        </w:rPr>
      </w:pPr>
    </w:p>
    <w:p w:rsidR="00B65CD5" w:rsidRDefault="00B65CD5" w:rsidP="00FC791B">
      <w:pPr>
        <w:tabs>
          <w:tab w:val="right" w:pos="8364"/>
        </w:tabs>
        <w:jc w:val="both"/>
        <w:rPr>
          <w:bCs/>
        </w:rPr>
      </w:pPr>
    </w:p>
    <w:p w:rsidR="00B65CD5" w:rsidRDefault="00B65CD5" w:rsidP="00257560">
      <w:pPr>
        <w:tabs>
          <w:tab w:val="right" w:pos="8364"/>
        </w:tabs>
        <w:ind w:firstLine="540"/>
        <w:jc w:val="both"/>
        <w:rPr>
          <w:bCs/>
        </w:rPr>
      </w:pPr>
    </w:p>
    <w:p w:rsidR="004B000D" w:rsidRDefault="004B000D" w:rsidP="00257560">
      <w:pPr>
        <w:tabs>
          <w:tab w:val="right" w:pos="8364"/>
        </w:tabs>
        <w:ind w:firstLine="540"/>
        <w:jc w:val="both"/>
        <w:rPr>
          <w:bCs/>
        </w:rPr>
      </w:pPr>
    </w:p>
    <w:p w:rsidR="003252D8" w:rsidRDefault="003252D8" w:rsidP="00257560">
      <w:pPr>
        <w:tabs>
          <w:tab w:val="right" w:pos="8364"/>
        </w:tabs>
        <w:ind w:firstLine="540"/>
        <w:jc w:val="both"/>
        <w:rPr>
          <w:bCs/>
        </w:rPr>
      </w:pPr>
    </w:p>
    <w:p w:rsidR="00BF6E86" w:rsidRDefault="00BF6E86" w:rsidP="00257560">
      <w:pPr>
        <w:tabs>
          <w:tab w:val="right" w:pos="8364"/>
        </w:tabs>
        <w:ind w:firstLine="540"/>
        <w:jc w:val="both"/>
        <w:rPr>
          <w:bCs/>
        </w:rPr>
        <w:sectPr w:rsidR="00BF6E86" w:rsidSect="00790C4F">
          <w:pgSz w:w="11907" w:h="16840" w:code="9"/>
          <w:pgMar w:top="1701" w:right="1418" w:bottom="1701" w:left="1985" w:header="567" w:footer="720" w:gutter="0"/>
          <w:cols w:space="720"/>
          <w:docGrid w:linePitch="272"/>
        </w:sectPr>
      </w:pPr>
    </w:p>
    <w:p w:rsidR="003252D8" w:rsidRDefault="003252D8" w:rsidP="00257560">
      <w:pPr>
        <w:tabs>
          <w:tab w:val="right" w:pos="8364"/>
        </w:tabs>
        <w:ind w:firstLine="540"/>
        <w:jc w:val="both"/>
        <w:rPr>
          <w:bCs/>
        </w:rPr>
      </w:pPr>
    </w:p>
    <w:p w:rsidR="00187A36" w:rsidRPr="007F67C2" w:rsidRDefault="00F706A9" w:rsidP="00187A36">
      <w:pPr>
        <w:tabs>
          <w:tab w:val="right" w:pos="8364"/>
        </w:tabs>
        <w:jc w:val="both"/>
        <w:rPr>
          <w:rFonts w:ascii="NewBaskerville" w:hAnsi="NewBaskerville"/>
          <w:bCs/>
          <w:color w:val="FF0000"/>
          <w:sz w:val="24"/>
        </w:rPr>
      </w:pPr>
      <w:r w:rsidRPr="007F67C2">
        <w:rPr>
          <w:rFonts w:ascii="NewBaskerville" w:hAnsi="NewBaskerville"/>
          <w:b/>
          <w:bCs/>
          <w:sz w:val="24"/>
          <w:szCs w:val="24"/>
        </w:rPr>
        <w:t>9</w:t>
      </w:r>
      <w:r w:rsidR="00187A36" w:rsidRPr="007F67C2">
        <w:rPr>
          <w:rFonts w:ascii="NewBaskerville" w:hAnsi="NewBaskerville"/>
          <w:b/>
          <w:bCs/>
          <w:sz w:val="24"/>
          <w:szCs w:val="24"/>
        </w:rPr>
        <w:t>. Instrumentos financieros</w:t>
      </w:r>
    </w:p>
    <w:p w:rsidR="00187A36" w:rsidRDefault="00187A36" w:rsidP="00187A36"/>
    <w:p w:rsidR="00920A02" w:rsidRDefault="003F24D6" w:rsidP="00920A02">
      <w:pPr>
        <w:ind w:firstLine="567"/>
        <w:rPr>
          <w:rFonts w:ascii="NewBaskerville" w:hAnsi="NewBaskerville"/>
        </w:rPr>
      </w:pPr>
      <w:r>
        <w:rPr>
          <w:rFonts w:ascii="NewBaskerville" w:hAnsi="NewBaskerville"/>
        </w:rPr>
        <w:t>Seguidamente</w:t>
      </w:r>
      <w:r w:rsidR="00920A02">
        <w:rPr>
          <w:rFonts w:ascii="NewBaskerville" w:hAnsi="NewBaskerville"/>
        </w:rPr>
        <w:t xml:space="preserve"> se muestran el valor en libros de cada una de las categorías de activos financieros y pasivos financieros.</w:t>
      </w:r>
    </w:p>
    <w:p w:rsidR="00920A02" w:rsidRDefault="00920A02" w:rsidP="00920A02">
      <w:pPr>
        <w:ind w:firstLine="567"/>
        <w:rPr>
          <w:rFonts w:ascii="NewBaskerville" w:hAnsi="NewBaskerville"/>
        </w:rPr>
      </w:pPr>
    </w:p>
    <w:p w:rsidR="00920A02" w:rsidRDefault="00920A02" w:rsidP="00920A02">
      <w:pPr>
        <w:ind w:firstLine="567"/>
        <w:rPr>
          <w:rFonts w:ascii="NewBaskerville" w:hAnsi="NewBaskerville"/>
        </w:rPr>
      </w:pPr>
    </w:p>
    <w:p w:rsidR="00920A02" w:rsidRDefault="00920A02" w:rsidP="00920A02">
      <w:pPr>
        <w:ind w:firstLine="567"/>
        <w:rPr>
          <w:rFonts w:ascii="NewBaskerville" w:hAnsi="NewBaskerville"/>
        </w:rPr>
      </w:pPr>
    </w:p>
    <w:p w:rsidR="00920A02" w:rsidRPr="00920A02" w:rsidRDefault="00920A02" w:rsidP="00920A02">
      <w:pPr>
        <w:ind w:firstLine="567"/>
        <w:rPr>
          <w:rFonts w:ascii="NewBaskerville" w:hAnsi="NewBaskerville"/>
        </w:rPr>
      </w:pPr>
    </w:p>
    <w:tbl>
      <w:tblPr>
        <w:tblW w:w="5000" w:type="pct"/>
        <w:tblCellMar>
          <w:left w:w="70" w:type="dxa"/>
          <w:right w:w="70" w:type="dxa"/>
        </w:tblCellMar>
        <w:tblLook w:val="04A0" w:firstRow="1" w:lastRow="0" w:firstColumn="1" w:lastColumn="0" w:noHBand="0" w:noVBand="1"/>
      </w:tblPr>
      <w:tblGrid>
        <w:gridCol w:w="2160"/>
        <w:gridCol w:w="543"/>
        <w:gridCol w:w="542"/>
        <w:gridCol w:w="622"/>
        <w:gridCol w:w="624"/>
        <w:gridCol w:w="1039"/>
        <w:gridCol w:w="1018"/>
        <w:gridCol w:w="557"/>
        <w:gridCol w:w="556"/>
        <w:gridCol w:w="618"/>
        <w:gridCol w:w="628"/>
        <w:gridCol w:w="1189"/>
        <w:gridCol w:w="1104"/>
        <w:gridCol w:w="1189"/>
        <w:gridCol w:w="1189"/>
      </w:tblGrid>
      <w:tr w:rsidR="009841A9" w:rsidRPr="009841A9" w:rsidTr="009841A9">
        <w:trPr>
          <w:trHeight w:val="300"/>
        </w:trPr>
        <w:tc>
          <w:tcPr>
            <w:tcW w:w="2051" w:type="pct"/>
            <w:gridSpan w:val="6"/>
            <w:tcBorders>
              <w:top w:val="nil"/>
              <w:left w:val="nil"/>
              <w:bottom w:val="single" w:sz="4" w:space="0" w:color="auto"/>
              <w:right w:val="nil"/>
            </w:tcBorders>
            <w:shd w:val="clear" w:color="000000" w:fill="FFFFFF"/>
            <w:noWrap/>
            <w:vAlign w:val="bottom"/>
            <w:hideMark/>
          </w:tcPr>
          <w:p w:rsidR="009841A9" w:rsidRPr="009841A9" w:rsidRDefault="009841A9" w:rsidP="009841A9">
            <w:pPr>
              <w:rPr>
                <w:rFonts w:ascii="Lucida Bright" w:hAnsi="Lucida Bright" w:cs="Calibri"/>
                <w:b/>
                <w:bCs/>
                <w:sz w:val="18"/>
                <w:szCs w:val="18"/>
                <w:lang w:val="es-ES"/>
              </w:rPr>
            </w:pPr>
            <w:r w:rsidRPr="009841A9">
              <w:rPr>
                <w:rFonts w:ascii="Lucida Bright" w:hAnsi="Lucida Bright" w:cs="Calibri"/>
                <w:b/>
                <w:bCs/>
                <w:sz w:val="18"/>
                <w:szCs w:val="18"/>
                <w:lang w:val="es-ES"/>
              </w:rPr>
              <w:t>CUADRO: CATEGORÍAS DE ACTIVOS FINANCIEROS 2023</w:t>
            </w:r>
          </w:p>
        </w:tc>
        <w:tc>
          <w:tcPr>
            <w:tcW w:w="360" w:type="pct"/>
            <w:tcBorders>
              <w:top w:val="nil"/>
              <w:left w:val="nil"/>
              <w:bottom w:val="nil"/>
              <w:right w:val="nil"/>
            </w:tcBorders>
            <w:shd w:val="clear" w:color="000000" w:fill="FFFFFF"/>
            <w:noWrap/>
            <w:vAlign w:val="bottom"/>
            <w:hideMark/>
          </w:tcPr>
          <w:p w:rsidR="009841A9" w:rsidRPr="009841A9" w:rsidRDefault="009841A9" w:rsidP="009841A9">
            <w:pPr>
              <w:rPr>
                <w:rFonts w:ascii="Lucida Bright" w:hAnsi="Lucida Bright" w:cs="Calibri"/>
                <w:sz w:val="14"/>
                <w:szCs w:val="14"/>
                <w:lang w:val="es-ES"/>
              </w:rPr>
            </w:pPr>
            <w:r w:rsidRPr="009841A9">
              <w:rPr>
                <w:rFonts w:ascii="Lucida Bright" w:hAnsi="Lucida Bright" w:cs="Calibri"/>
                <w:sz w:val="14"/>
                <w:szCs w:val="14"/>
                <w:lang w:val="es-ES"/>
              </w:rPr>
              <w:t> </w:t>
            </w:r>
          </w:p>
        </w:tc>
        <w:tc>
          <w:tcPr>
            <w:tcW w:w="233"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467" w:type="pct"/>
            <w:gridSpan w:val="2"/>
            <w:tcBorders>
              <w:top w:val="nil"/>
              <w:left w:val="nil"/>
              <w:bottom w:val="single" w:sz="4" w:space="0" w:color="auto"/>
              <w:right w:val="nil"/>
            </w:tcBorders>
            <w:shd w:val="clear" w:color="000000" w:fill="FFFFFF"/>
            <w:noWrap/>
            <w:vAlign w:val="bottom"/>
            <w:hideMark/>
          </w:tcPr>
          <w:p w:rsidR="009841A9" w:rsidRPr="009841A9" w:rsidRDefault="009841A9" w:rsidP="009841A9">
            <w:pPr>
              <w:jc w:val="center"/>
              <w:rPr>
                <w:rFonts w:ascii="Lucida Bright" w:hAnsi="Lucida Bright" w:cs="Calibri"/>
                <w:sz w:val="14"/>
                <w:szCs w:val="14"/>
                <w:lang w:val="es-ES"/>
              </w:rPr>
            </w:pPr>
            <w:r w:rsidRPr="009841A9">
              <w:rPr>
                <w:rFonts w:ascii="Lucida Bright" w:hAnsi="Lucida Bright" w:cs="Calibri"/>
                <w:sz w:val="14"/>
                <w:szCs w:val="14"/>
                <w:lang w:val="es-ES"/>
              </w:rPr>
              <w:t>(en euros)</w:t>
            </w:r>
          </w:p>
        </w:tc>
        <w:tc>
          <w:tcPr>
            <w:tcW w:w="240"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420"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390"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420"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420"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r>
      <w:tr w:rsidR="009841A9" w:rsidRPr="009841A9" w:rsidTr="009841A9">
        <w:trPr>
          <w:trHeight w:val="240"/>
        </w:trPr>
        <w:tc>
          <w:tcPr>
            <w:tcW w:w="822" w:type="pct"/>
            <w:tcBorders>
              <w:top w:val="nil"/>
              <w:left w:val="single" w:sz="4" w:space="0" w:color="auto"/>
              <w:bottom w:val="nil"/>
              <w:right w:val="single" w:sz="4" w:space="0" w:color="auto"/>
            </w:tcBorders>
            <w:shd w:val="clear" w:color="000000" w:fill="CCFFCC"/>
            <w:noWrap/>
            <w:vAlign w:val="center"/>
            <w:hideMark/>
          </w:tcPr>
          <w:p w:rsidR="009841A9" w:rsidRPr="009841A9" w:rsidRDefault="009841A9" w:rsidP="009841A9">
            <w:pP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 xml:space="preserve">                          Clases                                                                        </w:t>
            </w:r>
          </w:p>
        </w:tc>
        <w:tc>
          <w:tcPr>
            <w:tcW w:w="1588" w:type="pct"/>
            <w:gridSpan w:val="6"/>
            <w:tcBorders>
              <w:top w:val="single" w:sz="4" w:space="0" w:color="auto"/>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Instrumentos financieros a largo plazo</w:t>
            </w:r>
          </w:p>
        </w:tc>
        <w:tc>
          <w:tcPr>
            <w:tcW w:w="1750" w:type="pct"/>
            <w:gridSpan w:val="6"/>
            <w:tcBorders>
              <w:top w:val="single" w:sz="4" w:space="0" w:color="auto"/>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Instrumentos financieros a corto plazo</w:t>
            </w:r>
          </w:p>
        </w:tc>
        <w:tc>
          <w:tcPr>
            <w:tcW w:w="840" w:type="pct"/>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Total</w:t>
            </w:r>
          </w:p>
        </w:tc>
      </w:tr>
      <w:tr w:rsidR="009841A9" w:rsidRPr="009841A9" w:rsidTr="009841A9">
        <w:trPr>
          <w:trHeight w:val="570"/>
        </w:trPr>
        <w:tc>
          <w:tcPr>
            <w:tcW w:w="822" w:type="pct"/>
            <w:tcBorders>
              <w:top w:val="nil"/>
              <w:left w:val="single" w:sz="4" w:space="0" w:color="auto"/>
              <w:bottom w:val="nil"/>
              <w:right w:val="single" w:sz="4" w:space="0" w:color="auto"/>
              <w:tl2br w:val="single" w:sz="4" w:space="0" w:color="auto"/>
            </w:tcBorders>
            <w:shd w:val="clear" w:color="000000" w:fill="CCFFCC"/>
            <w:noWrap/>
            <w:hideMark/>
          </w:tcPr>
          <w:p w:rsidR="009841A9" w:rsidRPr="009841A9" w:rsidRDefault="009841A9" w:rsidP="009841A9">
            <w:pP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 </w:t>
            </w:r>
          </w:p>
        </w:tc>
        <w:tc>
          <w:tcPr>
            <w:tcW w:w="386" w:type="pct"/>
            <w:gridSpan w:val="2"/>
            <w:tcBorders>
              <w:top w:val="single" w:sz="4" w:space="0" w:color="auto"/>
              <w:left w:val="nil"/>
              <w:bottom w:val="single" w:sz="4" w:space="0" w:color="auto"/>
              <w:right w:val="single" w:sz="4" w:space="0" w:color="000000"/>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Instrumentos de patrimonio</w:t>
            </w:r>
          </w:p>
        </w:tc>
        <w:tc>
          <w:tcPr>
            <w:tcW w:w="443" w:type="pct"/>
            <w:gridSpan w:val="2"/>
            <w:tcBorders>
              <w:top w:val="single" w:sz="4" w:space="0" w:color="auto"/>
              <w:left w:val="nil"/>
              <w:bottom w:val="single" w:sz="4" w:space="0" w:color="auto"/>
              <w:right w:val="single" w:sz="4" w:space="0" w:color="auto"/>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Valores representativos de deuda</w:t>
            </w:r>
          </w:p>
        </w:tc>
        <w:tc>
          <w:tcPr>
            <w:tcW w:w="759" w:type="pct"/>
            <w:gridSpan w:val="2"/>
            <w:tcBorders>
              <w:top w:val="single" w:sz="4" w:space="0" w:color="auto"/>
              <w:left w:val="nil"/>
              <w:bottom w:val="single" w:sz="4" w:space="0" w:color="auto"/>
              <w:right w:val="single" w:sz="4" w:space="0" w:color="auto"/>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Créditos Derivados y otros</w:t>
            </w:r>
          </w:p>
        </w:tc>
        <w:tc>
          <w:tcPr>
            <w:tcW w:w="464" w:type="pct"/>
            <w:gridSpan w:val="2"/>
            <w:tcBorders>
              <w:top w:val="single" w:sz="4" w:space="0" w:color="auto"/>
              <w:left w:val="nil"/>
              <w:bottom w:val="single" w:sz="4" w:space="0" w:color="auto"/>
              <w:right w:val="single" w:sz="4" w:space="0" w:color="000000"/>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Instrumentos de patrimonio</w:t>
            </w:r>
          </w:p>
        </w:tc>
        <w:tc>
          <w:tcPr>
            <w:tcW w:w="476" w:type="pct"/>
            <w:gridSpan w:val="2"/>
            <w:tcBorders>
              <w:top w:val="single" w:sz="4" w:space="0" w:color="auto"/>
              <w:left w:val="nil"/>
              <w:bottom w:val="single" w:sz="4" w:space="0" w:color="auto"/>
              <w:right w:val="single" w:sz="4" w:space="0" w:color="auto"/>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Valores representativos de deuda</w:t>
            </w:r>
          </w:p>
        </w:tc>
        <w:tc>
          <w:tcPr>
            <w:tcW w:w="810" w:type="pct"/>
            <w:gridSpan w:val="2"/>
            <w:tcBorders>
              <w:top w:val="single" w:sz="4" w:space="0" w:color="auto"/>
              <w:left w:val="nil"/>
              <w:bottom w:val="single" w:sz="4" w:space="0" w:color="auto"/>
              <w:right w:val="single" w:sz="4" w:space="0" w:color="auto"/>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Créditos Derivados y otros</w:t>
            </w:r>
          </w:p>
        </w:tc>
        <w:tc>
          <w:tcPr>
            <w:tcW w:w="840" w:type="pct"/>
            <w:gridSpan w:val="2"/>
            <w:vMerge/>
            <w:tcBorders>
              <w:top w:val="single" w:sz="4" w:space="0" w:color="auto"/>
              <w:left w:val="single" w:sz="4" w:space="0" w:color="auto"/>
              <w:bottom w:val="single" w:sz="4" w:space="0" w:color="000000"/>
              <w:right w:val="single" w:sz="4" w:space="0" w:color="000000"/>
            </w:tcBorders>
            <w:vAlign w:val="center"/>
            <w:hideMark/>
          </w:tcPr>
          <w:p w:rsidR="009841A9" w:rsidRPr="009841A9" w:rsidRDefault="009841A9" w:rsidP="009841A9">
            <w:pPr>
              <w:rPr>
                <w:rFonts w:ascii="Lucida Bright" w:hAnsi="Lucida Bright" w:cs="Calibri"/>
                <w:b/>
                <w:bCs/>
                <w:color w:val="000000"/>
                <w:sz w:val="14"/>
                <w:szCs w:val="14"/>
                <w:lang w:val="es-ES"/>
              </w:rPr>
            </w:pPr>
          </w:p>
        </w:tc>
      </w:tr>
      <w:tr w:rsidR="009841A9" w:rsidRPr="009841A9" w:rsidTr="009841A9">
        <w:trPr>
          <w:trHeight w:val="240"/>
        </w:trPr>
        <w:tc>
          <w:tcPr>
            <w:tcW w:w="822" w:type="pct"/>
            <w:tcBorders>
              <w:top w:val="nil"/>
              <w:left w:val="single" w:sz="4" w:space="0" w:color="auto"/>
              <w:bottom w:val="single" w:sz="4" w:space="0" w:color="auto"/>
              <w:right w:val="single" w:sz="4" w:space="0" w:color="auto"/>
            </w:tcBorders>
            <w:shd w:val="clear" w:color="000000" w:fill="CCFFCC"/>
            <w:noWrap/>
            <w:hideMark/>
          </w:tcPr>
          <w:p w:rsidR="009841A9" w:rsidRPr="009841A9" w:rsidRDefault="009841A9" w:rsidP="009841A9">
            <w:pP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Categorías</w:t>
            </w:r>
          </w:p>
        </w:tc>
        <w:tc>
          <w:tcPr>
            <w:tcW w:w="193"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193"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221"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221"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399"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36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233"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231"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236"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24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42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39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42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42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r>
      <w:tr w:rsidR="009841A9" w:rsidRPr="009841A9" w:rsidTr="009841A9">
        <w:trPr>
          <w:trHeight w:val="615"/>
        </w:trPr>
        <w:tc>
          <w:tcPr>
            <w:tcW w:w="822" w:type="pct"/>
            <w:tcBorders>
              <w:top w:val="nil"/>
              <w:left w:val="single" w:sz="4" w:space="0" w:color="auto"/>
              <w:bottom w:val="single" w:sz="4" w:space="0" w:color="auto"/>
              <w:right w:val="single" w:sz="4" w:space="0" w:color="auto"/>
            </w:tcBorders>
            <w:shd w:val="clear" w:color="auto" w:fill="auto"/>
            <w:vAlign w:val="center"/>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Activos a valor razonable con cambios en pérdidas y ganancias</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9"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6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r>
      <w:tr w:rsidR="009841A9" w:rsidRPr="009841A9" w:rsidTr="009841A9">
        <w:trPr>
          <w:trHeight w:val="615"/>
        </w:trPr>
        <w:tc>
          <w:tcPr>
            <w:tcW w:w="822" w:type="pct"/>
            <w:tcBorders>
              <w:top w:val="nil"/>
              <w:left w:val="single" w:sz="4" w:space="0" w:color="auto"/>
              <w:bottom w:val="single" w:sz="4" w:space="0" w:color="auto"/>
              <w:right w:val="single" w:sz="4" w:space="0" w:color="auto"/>
            </w:tcBorders>
            <w:shd w:val="clear" w:color="auto" w:fill="auto"/>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Activos financieros a coste amortizado</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9"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7.255.378,61</w:t>
            </w:r>
          </w:p>
        </w:tc>
        <w:tc>
          <w:tcPr>
            <w:tcW w:w="36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7.252.130,88</w:t>
            </w:r>
          </w:p>
        </w:tc>
        <w:tc>
          <w:tcPr>
            <w:tcW w:w="23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147.841.995,73</w:t>
            </w:r>
          </w:p>
        </w:tc>
        <w:tc>
          <w:tcPr>
            <w:tcW w:w="39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94.588.306,53</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155.097.374,34</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101.840.437,41</w:t>
            </w:r>
          </w:p>
        </w:tc>
      </w:tr>
      <w:tr w:rsidR="009841A9" w:rsidRPr="009841A9" w:rsidTr="009841A9">
        <w:trPr>
          <w:trHeight w:val="615"/>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Activos financieros a coste</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9"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6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r>
      <w:tr w:rsidR="009841A9" w:rsidRPr="009841A9" w:rsidTr="009841A9">
        <w:trPr>
          <w:trHeight w:val="615"/>
        </w:trPr>
        <w:tc>
          <w:tcPr>
            <w:tcW w:w="822" w:type="pct"/>
            <w:tcBorders>
              <w:top w:val="nil"/>
              <w:left w:val="single" w:sz="4" w:space="0" w:color="auto"/>
              <w:bottom w:val="single" w:sz="4" w:space="0" w:color="auto"/>
              <w:right w:val="single" w:sz="4" w:space="0" w:color="auto"/>
            </w:tcBorders>
            <w:shd w:val="clear" w:color="auto" w:fill="auto"/>
            <w:vAlign w:val="center"/>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Activos a valor razonable con cambios en el patrimonio neto</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9"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6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r>
      <w:tr w:rsidR="009841A9" w:rsidRPr="009841A9" w:rsidTr="009841A9">
        <w:trPr>
          <w:trHeight w:val="615"/>
        </w:trPr>
        <w:tc>
          <w:tcPr>
            <w:tcW w:w="822" w:type="pct"/>
            <w:tcBorders>
              <w:top w:val="nil"/>
              <w:left w:val="single" w:sz="4" w:space="0" w:color="auto"/>
              <w:bottom w:val="single" w:sz="4" w:space="0" w:color="auto"/>
              <w:right w:val="single" w:sz="4" w:space="0" w:color="auto"/>
            </w:tcBorders>
            <w:shd w:val="clear" w:color="auto" w:fill="auto"/>
            <w:vAlign w:val="center"/>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Derivados de cobertura</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9"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6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r>
      <w:tr w:rsidR="009841A9" w:rsidRPr="009841A9" w:rsidTr="009841A9">
        <w:trPr>
          <w:trHeight w:val="255"/>
        </w:trPr>
        <w:tc>
          <w:tcPr>
            <w:tcW w:w="822" w:type="pct"/>
            <w:tcBorders>
              <w:top w:val="nil"/>
              <w:left w:val="single" w:sz="4" w:space="0" w:color="auto"/>
              <w:bottom w:val="single" w:sz="4" w:space="0" w:color="auto"/>
              <w:right w:val="nil"/>
            </w:tcBorders>
            <w:shd w:val="clear" w:color="auto" w:fill="auto"/>
            <w:vAlign w:val="bottom"/>
            <w:hideMark/>
          </w:tcPr>
          <w:p w:rsidR="009841A9" w:rsidRPr="009841A9" w:rsidRDefault="009841A9" w:rsidP="009841A9">
            <w:pP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TOTAL</w:t>
            </w:r>
          </w:p>
        </w:tc>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2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99"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7.255.378,61</w:t>
            </w:r>
          </w:p>
        </w:tc>
        <w:tc>
          <w:tcPr>
            <w:tcW w:w="36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7.252.130,88</w:t>
            </w:r>
          </w:p>
        </w:tc>
        <w:tc>
          <w:tcPr>
            <w:tcW w:w="233"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1"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3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147.841.995,73</w:t>
            </w:r>
          </w:p>
        </w:tc>
        <w:tc>
          <w:tcPr>
            <w:tcW w:w="39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94.588.306,53</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155.097.374,34</w:t>
            </w:r>
          </w:p>
        </w:tc>
        <w:tc>
          <w:tcPr>
            <w:tcW w:w="42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101.840.437,41</w:t>
            </w:r>
          </w:p>
        </w:tc>
      </w:tr>
    </w:tbl>
    <w:p w:rsidR="00920A02" w:rsidRDefault="00920A02" w:rsidP="00187A36"/>
    <w:p w:rsidR="00273586" w:rsidRDefault="00273586"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p w:rsidR="00920A02" w:rsidRDefault="00920A02" w:rsidP="00187A36">
      <w:pPr>
        <w:rPr>
          <w:lang w:val="es-ES"/>
        </w:rPr>
      </w:pPr>
    </w:p>
    <w:tbl>
      <w:tblPr>
        <w:tblW w:w="5000" w:type="pct"/>
        <w:tblCellMar>
          <w:left w:w="70" w:type="dxa"/>
          <w:right w:w="70" w:type="dxa"/>
        </w:tblCellMar>
        <w:tblLook w:val="04A0" w:firstRow="1" w:lastRow="0" w:firstColumn="1" w:lastColumn="0" w:noHBand="0" w:noVBand="1"/>
      </w:tblPr>
      <w:tblGrid>
        <w:gridCol w:w="2114"/>
        <w:gridCol w:w="481"/>
        <w:gridCol w:w="481"/>
        <w:gridCol w:w="524"/>
        <w:gridCol w:w="524"/>
        <w:gridCol w:w="1182"/>
        <w:gridCol w:w="1196"/>
        <w:gridCol w:w="814"/>
        <w:gridCol w:w="654"/>
        <w:gridCol w:w="674"/>
        <w:gridCol w:w="677"/>
        <w:gridCol w:w="1022"/>
        <w:gridCol w:w="1022"/>
        <w:gridCol w:w="1109"/>
        <w:gridCol w:w="1104"/>
      </w:tblGrid>
      <w:tr w:rsidR="009841A9" w:rsidRPr="009841A9" w:rsidTr="009841A9">
        <w:trPr>
          <w:trHeight w:val="300"/>
        </w:trPr>
        <w:tc>
          <w:tcPr>
            <w:tcW w:w="2422" w:type="pct"/>
            <w:gridSpan w:val="7"/>
            <w:tcBorders>
              <w:top w:val="nil"/>
              <w:left w:val="nil"/>
              <w:bottom w:val="single" w:sz="4" w:space="0" w:color="auto"/>
              <w:right w:val="nil"/>
            </w:tcBorders>
            <w:shd w:val="clear" w:color="000000" w:fill="FFFFFF"/>
            <w:noWrap/>
            <w:vAlign w:val="bottom"/>
            <w:hideMark/>
          </w:tcPr>
          <w:p w:rsidR="009841A9" w:rsidRPr="009841A9" w:rsidRDefault="009841A9" w:rsidP="009841A9">
            <w:pPr>
              <w:rPr>
                <w:rFonts w:ascii="Lucida Bright" w:hAnsi="Lucida Bright" w:cs="Calibri"/>
                <w:b/>
                <w:bCs/>
                <w:sz w:val="18"/>
                <w:szCs w:val="18"/>
                <w:lang w:val="es-ES"/>
              </w:rPr>
            </w:pPr>
            <w:r w:rsidRPr="009841A9">
              <w:rPr>
                <w:rFonts w:ascii="Lucida Bright" w:hAnsi="Lucida Bright" w:cs="Calibri"/>
                <w:b/>
                <w:bCs/>
                <w:sz w:val="18"/>
                <w:szCs w:val="18"/>
                <w:lang w:val="es-ES"/>
              </w:rPr>
              <w:t>CUADRO: CATEGORÍAS DE PASIVOS FINANCIEROS 2023</w:t>
            </w:r>
          </w:p>
        </w:tc>
        <w:tc>
          <w:tcPr>
            <w:tcW w:w="245" w:type="pct"/>
            <w:tcBorders>
              <w:top w:val="nil"/>
              <w:left w:val="nil"/>
              <w:bottom w:val="nil"/>
              <w:right w:val="nil"/>
            </w:tcBorders>
            <w:shd w:val="clear" w:color="000000" w:fill="FFFFFF"/>
            <w:noWrap/>
            <w:vAlign w:val="bottom"/>
            <w:hideMark/>
          </w:tcPr>
          <w:p w:rsidR="009841A9" w:rsidRPr="009841A9" w:rsidRDefault="009841A9" w:rsidP="009841A9">
            <w:pPr>
              <w:rPr>
                <w:rFonts w:ascii="Lucida Bright" w:hAnsi="Lucida Bright" w:cs="Calibri"/>
                <w:sz w:val="14"/>
                <w:szCs w:val="14"/>
                <w:lang w:val="es-ES"/>
              </w:rPr>
            </w:pPr>
            <w:r w:rsidRPr="009841A9">
              <w:rPr>
                <w:rFonts w:ascii="Lucida Bright" w:hAnsi="Lucida Bright" w:cs="Calibri"/>
                <w:sz w:val="14"/>
                <w:szCs w:val="14"/>
                <w:lang w:val="es-ES"/>
              </w:rPr>
              <w:t>(en euros)</w:t>
            </w:r>
          </w:p>
        </w:tc>
        <w:tc>
          <w:tcPr>
            <w:tcW w:w="245"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252"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252"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380"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380"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412"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c>
          <w:tcPr>
            <w:tcW w:w="412" w:type="pct"/>
            <w:tcBorders>
              <w:top w:val="nil"/>
              <w:left w:val="nil"/>
              <w:bottom w:val="nil"/>
              <w:right w:val="nil"/>
            </w:tcBorders>
            <w:shd w:val="clear" w:color="auto" w:fill="auto"/>
            <w:noWrap/>
            <w:vAlign w:val="bottom"/>
            <w:hideMark/>
          </w:tcPr>
          <w:p w:rsidR="009841A9" w:rsidRPr="009841A9" w:rsidRDefault="009841A9" w:rsidP="009841A9">
            <w:pPr>
              <w:rPr>
                <w:rFonts w:ascii="Calibri" w:hAnsi="Calibri" w:cs="Calibri"/>
                <w:color w:val="000000"/>
                <w:sz w:val="22"/>
                <w:szCs w:val="22"/>
                <w:lang w:val="es-ES"/>
              </w:rPr>
            </w:pPr>
          </w:p>
        </w:tc>
      </w:tr>
      <w:tr w:rsidR="009841A9" w:rsidRPr="009841A9" w:rsidTr="009841A9">
        <w:trPr>
          <w:trHeight w:val="255"/>
        </w:trPr>
        <w:tc>
          <w:tcPr>
            <w:tcW w:w="783" w:type="pct"/>
            <w:tcBorders>
              <w:top w:val="nil"/>
              <w:left w:val="single" w:sz="4" w:space="0" w:color="auto"/>
              <w:bottom w:val="nil"/>
              <w:right w:val="single" w:sz="4" w:space="0" w:color="auto"/>
            </w:tcBorders>
            <w:shd w:val="clear" w:color="000000" w:fill="CCFFCC"/>
            <w:noWrap/>
            <w:vAlign w:val="center"/>
            <w:hideMark/>
          </w:tcPr>
          <w:p w:rsidR="009841A9" w:rsidRPr="009841A9" w:rsidRDefault="009841A9" w:rsidP="009841A9">
            <w:pP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 xml:space="preserve">                          Clases                                                                        </w:t>
            </w:r>
          </w:p>
        </w:tc>
        <w:tc>
          <w:tcPr>
            <w:tcW w:w="1639" w:type="pct"/>
            <w:gridSpan w:val="6"/>
            <w:tcBorders>
              <w:top w:val="single" w:sz="4" w:space="0" w:color="auto"/>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Instrumentos financieros a largo plazo</w:t>
            </w:r>
          </w:p>
        </w:tc>
        <w:tc>
          <w:tcPr>
            <w:tcW w:w="1754" w:type="pct"/>
            <w:gridSpan w:val="6"/>
            <w:tcBorders>
              <w:top w:val="single" w:sz="4" w:space="0" w:color="auto"/>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Instrumentos financieros a corto plazo</w:t>
            </w:r>
          </w:p>
        </w:tc>
        <w:tc>
          <w:tcPr>
            <w:tcW w:w="824" w:type="pct"/>
            <w:gridSpan w:val="2"/>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Total</w:t>
            </w:r>
          </w:p>
        </w:tc>
      </w:tr>
      <w:tr w:rsidR="009841A9" w:rsidRPr="009841A9" w:rsidTr="009841A9">
        <w:trPr>
          <w:trHeight w:val="540"/>
        </w:trPr>
        <w:tc>
          <w:tcPr>
            <w:tcW w:w="783" w:type="pct"/>
            <w:tcBorders>
              <w:top w:val="nil"/>
              <w:left w:val="single" w:sz="4" w:space="0" w:color="auto"/>
              <w:bottom w:val="nil"/>
              <w:right w:val="single" w:sz="4" w:space="0" w:color="auto"/>
              <w:tl2br w:val="single" w:sz="4" w:space="0" w:color="auto"/>
            </w:tcBorders>
            <w:shd w:val="clear" w:color="000000" w:fill="CCFFCC"/>
            <w:noWrap/>
            <w:hideMark/>
          </w:tcPr>
          <w:p w:rsidR="009841A9" w:rsidRPr="009841A9" w:rsidRDefault="009841A9" w:rsidP="009841A9">
            <w:pP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 </w:t>
            </w:r>
          </w:p>
        </w:tc>
        <w:tc>
          <w:tcPr>
            <w:tcW w:w="359" w:type="pct"/>
            <w:gridSpan w:val="2"/>
            <w:tcBorders>
              <w:top w:val="single" w:sz="4" w:space="0" w:color="auto"/>
              <w:left w:val="nil"/>
              <w:bottom w:val="single" w:sz="4" w:space="0" w:color="auto"/>
              <w:right w:val="single" w:sz="4" w:space="0" w:color="000000"/>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Deudas con entidades de crédito</w:t>
            </w:r>
          </w:p>
        </w:tc>
        <w:tc>
          <w:tcPr>
            <w:tcW w:w="391" w:type="pct"/>
            <w:gridSpan w:val="2"/>
            <w:tcBorders>
              <w:top w:val="single" w:sz="4" w:space="0" w:color="auto"/>
              <w:left w:val="nil"/>
              <w:bottom w:val="single" w:sz="4" w:space="0" w:color="auto"/>
              <w:right w:val="single" w:sz="4" w:space="0" w:color="auto"/>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Obligaciones y otros valores negociables</w:t>
            </w:r>
          </w:p>
        </w:tc>
        <w:tc>
          <w:tcPr>
            <w:tcW w:w="889" w:type="pct"/>
            <w:gridSpan w:val="2"/>
            <w:tcBorders>
              <w:top w:val="single" w:sz="4" w:space="0" w:color="auto"/>
              <w:left w:val="nil"/>
              <w:bottom w:val="single" w:sz="4" w:space="0" w:color="auto"/>
              <w:right w:val="single" w:sz="4" w:space="0" w:color="auto"/>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Derivados, Otros</w:t>
            </w:r>
          </w:p>
        </w:tc>
        <w:tc>
          <w:tcPr>
            <w:tcW w:w="490" w:type="pct"/>
            <w:gridSpan w:val="2"/>
            <w:tcBorders>
              <w:top w:val="single" w:sz="4" w:space="0" w:color="auto"/>
              <w:left w:val="nil"/>
              <w:bottom w:val="single" w:sz="4" w:space="0" w:color="auto"/>
              <w:right w:val="single" w:sz="4" w:space="0" w:color="000000"/>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Deudas con entidades de crédito</w:t>
            </w:r>
          </w:p>
        </w:tc>
        <w:tc>
          <w:tcPr>
            <w:tcW w:w="505" w:type="pct"/>
            <w:gridSpan w:val="2"/>
            <w:tcBorders>
              <w:top w:val="single" w:sz="4" w:space="0" w:color="auto"/>
              <w:left w:val="nil"/>
              <w:bottom w:val="single" w:sz="4" w:space="0" w:color="auto"/>
              <w:right w:val="single" w:sz="4" w:space="0" w:color="auto"/>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Obligaciones y otros valores negociables</w:t>
            </w:r>
          </w:p>
        </w:tc>
        <w:tc>
          <w:tcPr>
            <w:tcW w:w="760" w:type="pct"/>
            <w:gridSpan w:val="2"/>
            <w:tcBorders>
              <w:top w:val="single" w:sz="4" w:space="0" w:color="auto"/>
              <w:left w:val="nil"/>
              <w:bottom w:val="single" w:sz="4" w:space="0" w:color="auto"/>
              <w:right w:val="single" w:sz="4" w:space="0" w:color="auto"/>
            </w:tcBorders>
            <w:shd w:val="clear" w:color="000000" w:fill="CCFFCC"/>
            <w:vAlign w:val="center"/>
            <w:hideMark/>
          </w:tcPr>
          <w:p w:rsidR="009841A9" w:rsidRPr="009841A9" w:rsidRDefault="009841A9" w:rsidP="009841A9">
            <w:pPr>
              <w:jc w:val="cente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Derivados Otros</w:t>
            </w:r>
          </w:p>
        </w:tc>
        <w:tc>
          <w:tcPr>
            <w:tcW w:w="824" w:type="pct"/>
            <w:gridSpan w:val="2"/>
            <w:vMerge/>
            <w:tcBorders>
              <w:top w:val="single" w:sz="4" w:space="0" w:color="auto"/>
              <w:left w:val="single" w:sz="4" w:space="0" w:color="auto"/>
              <w:bottom w:val="single" w:sz="4" w:space="0" w:color="000000"/>
              <w:right w:val="single" w:sz="4" w:space="0" w:color="000000"/>
            </w:tcBorders>
            <w:vAlign w:val="center"/>
            <w:hideMark/>
          </w:tcPr>
          <w:p w:rsidR="009841A9" w:rsidRPr="009841A9" w:rsidRDefault="009841A9" w:rsidP="009841A9">
            <w:pPr>
              <w:rPr>
                <w:rFonts w:ascii="Lucida Bright" w:hAnsi="Lucida Bright" w:cs="Calibri"/>
                <w:b/>
                <w:bCs/>
                <w:color w:val="000000"/>
                <w:sz w:val="14"/>
                <w:szCs w:val="14"/>
                <w:lang w:val="es-ES"/>
              </w:rPr>
            </w:pPr>
          </w:p>
        </w:tc>
      </w:tr>
      <w:tr w:rsidR="009841A9" w:rsidRPr="009841A9" w:rsidTr="009841A9">
        <w:trPr>
          <w:trHeight w:val="225"/>
        </w:trPr>
        <w:tc>
          <w:tcPr>
            <w:tcW w:w="783" w:type="pct"/>
            <w:tcBorders>
              <w:top w:val="nil"/>
              <w:left w:val="single" w:sz="4" w:space="0" w:color="auto"/>
              <w:bottom w:val="single" w:sz="4" w:space="0" w:color="auto"/>
              <w:right w:val="single" w:sz="4" w:space="0" w:color="auto"/>
            </w:tcBorders>
            <w:shd w:val="clear" w:color="000000" w:fill="CCFFCC"/>
            <w:noWrap/>
            <w:hideMark/>
          </w:tcPr>
          <w:p w:rsidR="009841A9" w:rsidRPr="009841A9" w:rsidRDefault="009841A9" w:rsidP="009841A9">
            <w:pP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Categorías</w:t>
            </w:r>
          </w:p>
        </w:tc>
        <w:tc>
          <w:tcPr>
            <w:tcW w:w="18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18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196"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196"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444"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444"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245"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245"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252"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252"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38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380"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c>
          <w:tcPr>
            <w:tcW w:w="412"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2023</w:t>
            </w:r>
          </w:p>
        </w:tc>
        <w:tc>
          <w:tcPr>
            <w:tcW w:w="412" w:type="pct"/>
            <w:tcBorders>
              <w:top w:val="nil"/>
              <w:left w:val="nil"/>
              <w:bottom w:val="single" w:sz="4" w:space="0" w:color="auto"/>
              <w:right w:val="single" w:sz="4" w:space="0" w:color="auto"/>
            </w:tcBorders>
            <w:shd w:val="clear" w:color="000000" w:fill="CCFFCC"/>
            <w:noWrap/>
            <w:vAlign w:val="bottom"/>
            <w:hideMark/>
          </w:tcPr>
          <w:p w:rsidR="009841A9" w:rsidRPr="009841A9" w:rsidRDefault="009841A9" w:rsidP="009841A9">
            <w:pPr>
              <w:jc w:val="cente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2022</w:t>
            </w:r>
          </w:p>
        </w:tc>
      </w:tr>
      <w:tr w:rsidR="009841A9" w:rsidRPr="009841A9" w:rsidTr="009841A9">
        <w:trPr>
          <w:trHeight w:val="435"/>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Pasivos financieros a coste amortizado</w:t>
            </w:r>
          </w:p>
        </w:tc>
        <w:tc>
          <w:tcPr>
            <w:tcW w:w="1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44"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15.674.119,15</w:t>
            </w:r>
          </w:p>
        </w:tc>
        <w:tc>
          <w:tcPr>
            <w:tcW w:w="444"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14.187.093,03</w:t>
            </w:r>
          </w:p>
        </w:tc>
        <w:tc>
          <w:tcPr>
            <w:tcW w:w="245"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5"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5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5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8.850.174,76</w:t>
            </w:r>
          </w:p>
        </w:tc>
        <w:tc>
          <w:tcPr>
            <w:tcW w:w="3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9.857.254,74</w:t>
            </w:r>
          </w:p>
        </w:tc>
        <w:tc>
          <w:tcPr>
            <w:tcW w:w="41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24.524.293,91</w:t>
            </w:r>
          </w:p>
        </w:tc>
        <w:tc>
          <w:tcPr>
            <w:tcW w:w="41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24.044.347,77</w:t>
            </w:r>
          </w:p>
        </w:tc>
      </w:tr>
      <w:tr w:rsidR="009841A9" w:rsidRPr="009841A9" w:rsidTr="009841A9">
        <w:trPr>
          <w:trHeight w:val="54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Pasivos a valor razonable con cambios en pérdidas y ganancias</w:t>
            </w:r>
          </w:p>
        </w:tc>
        <w:tc>
          <w:tcPr>
            <w:tcW w:w="1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44"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44"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5"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5"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5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5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1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1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r>
      <w:tr w:rsidR="009841A9" w:rsidRPr="009841A9" w:rsidTr="009841A9">
        <w:trPr>
          <w:trHeight w:val="435"/>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Derivados de cobertura</w:t>
            </w:r>
          </w:p>
        </w:tc>
        <w:tc>
          <w:tcPr>
            <w:tcW w:w="1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44"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44"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5"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5"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5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5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1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1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r>
      <w:tr w:rsidR="009841A9" w:rsidRPr="009841A9" w:rsidTr="009841A9">
        <w:trPr>
          <w:trHeight w:val="300"/>
        </w:trPr>
        <w:tc>
          <w:tcPr>
            <w:tcW w:w="783" w:type="pct"/>
            <w:tcBorders>
              <w:top w:val="nil"/>
              <w:left w:val="single" w:sz="4" w:space="0" w:color="auto"/>
              <w:bottom w:val="single" w:sz="4" w:space="0" w:color="auto"/>
              <w:right w:val="nil"/>
            </w:tcBorders>
            <w:shd w:val="clear" w:color="auto" w:fill="auto"/>
            <w:vAlign w:val="bottom"/>
            <w:hideMark/>
          </w:tcPr>
          <w:p w:rsidR="009841A9" w:rsidRPr="009841A9" w:rsidRDefault="009841A9" w:rsidP="009841A9">
            <w:pPr>
              <w:rPr>
                <w:rFonts w:ascii="Lucida Bright" w:hAnsi="Lucida Bright" w:cs="Calibri"/>
                <w:b/>
                <w:bCs/>
                <w:color w:val="000000"/>
                <w:sz w:val="14"/>
                <w:szCs w:val="14"/>
                <w:lang w:val="es-ES"/>
              </w:rPr>
            </w:pPr>
            <w:r w:rsidRPr="009841A9">
              <w:rPr>
                <w:rFonts w:ascii="Lucida Bright" w:hAnsi="Lucida Bright" w:cs="Calibri"/>
                <w:b/>
                <w:bCs/>
                <w:color w:val="000000"/>
                <w:sz w:val="14"/>
                <w:szCs w:val="14"/>
                <w:lang w:val="es-ES"/>
              </w:rPr>
              <w:t>TOTAL</w:t>
            </w:r>
          </w:p>
        </w:tc>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196"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444"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15.674.119,15</w:t>
            </w:r>
          </w:p>
        </w:tc>
        <w:tc>
          <w:tcPr>
            <w:tcW w:w="444"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14.187.093,03</w:t>
            </w:r>
          </w:p>
        </w:tc>
        <w:tc>
          <w:tcPr>
            <w:tcW w:w="245"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45"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5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25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 </w:t>
            </w:r>
          </w:p>
        </w:tc>
        <w:tc>
          <w:tcPr>
            <w:tcW w:w="3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8.850.174,76</w:t>
            </w:r>
          </w:p>
        </w:tc>
        <w:tc>
          <w:tcPr>
            <w:tcW w:w="380"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9.857.254,74</w:t>
            </w:r>
          </w:p>
        </w:tc>
        <w:tc>
          <w:tcPr>
            <w:tcW w:w="41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24.524.293,91</w:t>
            </w:r>
          </w:p>
        </w:tc>
        <w:tc>
          <w:tcPr>
            <w:tcW w:w="412" w:type="pct"/>
            <w:tcBorders>
              <w:top w:val="nil"/>
              <w:left w:val="nil"/>
              <w:bottom w:val="single" w:sz="4" w:space="0" w:color="auto"/>
              <w:right w:val="single" w:sz="4" w:space="0" w:color="auto"/>
            </w:tcBorders>
            <w:shd w:val="clear" w:color="auto" w:fill="auto"/>
            <w:noWrap/>
            <w:vAlign w:val="bottom"/>
            <w:hideMark/>
          </w:tcPr>
          <w:p w:rsidR="009841A9" w:rsidRPr="009841A9" w:rsidRDefault="009841A9" w:rsidP="009841A9">
            <w:pPr>
              <w:jc w:val="right"/>
              <w:rPr>
                <w:rFonts w:ascii="Lucida Bright" w:hAnsi="Lucida Bright" w:cs="Calibri"/>
                <w:color w:val="000000"/>
                <w:sz w:val="14"/>
                <w:szCs w:val="14"/>
                <w:lang w:val="es-ES"/>
              </w:rPr>
            </w:pPr>
            <w:r w:rsidRPr="009841A9">
              <w:rPr>
                <w:rFonts w:ascii="Lucida Bright" w:hAnsi="Lucida Bright" w:cs="Calibri"/>
                <w:color w:val="000000"/>
                <w:sz w:val="14"/>
                <w:szCs w:val="14"/>
                <w:lang w:val="es-ES"/>
              </w:rPr>
              <w:t>24.044.347,77</w:t>
            </w:r>
          </w:p>
        </w:tc>
      </w:tr>
    </w:tbl>
    <w:p w:rsidR="00920A02" w:rsidRPr="00177858" w:rsidRDefault="00920A02" w:rsidP="00187A36">
      <w:pPr>
        <w:rPr>
          <w:lang w:val="es-ES"/>
        </w:rPr>
      </w:pPr>
    </w:p>
    <w:p w:rsidR="00187A36" w:rsidRDefault="00187A3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273586" w:rsidRDefault="00273586" w:rsidP="00187A36">
      <w:pPr>
        <w:rPr>
          <w:rFonts w:ascii="NewBaskerville" w:hAnsi="NewBaskerville"/>
        </w:rPr>
      </w:pPr>
    </w:p>
    <w:p w:rsidR="00920A02" w:rsidRDefault="00920A02" w:rsidP="00187A36">
      <w:pPr>
        <w:rPr>
          <w:rFonts w:ascii="NewBaskerville" w:hAnsi="NewBaskerville"/>
        </w:rPr>
      </w:pPr>
    </w:p>
    <w:p w:rsidR="00920A02" w:rsidRDefault="00920A02" w:rsidP="00187A36">
      <w:pPr>
        <w:rPr>
          <w:rFonts w:ascii="NewBaskerville" w:hAnsi="NewBaskerville"/>
        </w:rPr>
        <w:sectPr w:rsidR="00920A02" w:rsidSect="00DA63BB">
          <w:pgSz w:w="16840" w:h="11907" w:orient="landscape" w:code="9"/>
          <w:pgMar w:top="1985" w:right="1701" w:bottom="1418" w:left="1701" w:header="567" w:footer="720" w:gutter="0"/>
          <w:cols w:space="720"/>
          <w:docGrid w:linePitch="272"/>
        </w:sectPr>
      </w:pPr>
    </w:p>
    <w:p w:rsidR="00187A36" w:rsidRPr="007F67C2" w:rsidRDefault="00F706A9" w:rsidP="00187A36">
      <w:pPr>
        <w:rPr>
          <w:rFonts w:ascii="NewBaskerville" w:hAnsi="NewBaskerville"/>
        </w:rPr>
      </w:pPr>
      <w:r w:rsidRPr="007F67C2">
        <w:rPr>
          <w:rFonts w:ascii="NewBaskerville" w:hAnsi="NewBaskerville"/>
        </w:rPr>
        <w:lastRenderedPageBreak/>
        <w:t>9</w:t>
      </w:r>
      <w:r w:rsidR="00187A36" w:rsidRPr="007F67C2">
        <w:rPr>
          <w:rFonts w:ascii="NewBaskerville" w:hAnsi="NewBaskerville"/>
        </w:rPr>
        <w:t>.1 Activos financieros</w:t>
      </w:r>
    </w:p>
    <w:p w:rsidR="0031074B" w:rsidRDefault="0031074B">
      <w:pPr>
        <w:tabs>
          <w:tab w:val="right" w:pos="8364"/>
        </w:tabs>
        <w:ind w:left="142" w:firstLine="425"/>
        <w:jc w:val="both"/>
      </w:pPr>
    </w:p>
    <w:p w:rsidR="00EF2E30" w:rsidRDefault="00CA44C8">
      <w:pPr>
        <w:tabs>
          <w:tab w:val="right" w:pos="8364"/>
        </w:tabs>
        <w:ind w:left="142" w:firstLine="425"/>
        <w:jc w:val="both"/>
        <w:rPr>
          <w:rFonts w:ascii="NewBaskerville" w:hAnsi="NewBaskerville"/>
        </w:rPr>
      </w:pPr>
      <w:r>
        <w:rPr>
          <w:rFonts w:ascii="NewBaskerville" w:hAnsi="NewBaskerville"/>
        </w:rPr>
        <w:t xml:space="preserve">Las </w:t>
      </w:r>
      <w:r>
        <w:rPr>
          <w:rFonts w:ascii="NewBaskerville" w:hAnsi="NewBaskerville"/>
          <w:b/>
        </w:rPr>
        <w:t>“Inversiones financieras en empresas del grupo y asociadas a largo plazo”</w:t>
      </w:r>
      <w:r>
        <w:rPr>
          <w:rFonts w:ascii="NewBaskerville" w:hAnsi="NewBaskerville"/>
        </w:rPr>
        <w:t xml:space="preserve"> se corresponde al préstamo concedido al Fondo Financiero de Accesibilidad Terrestre Portuaria</w:t>
      </w:r>
      <w:r w:rsidR="006E5280">
        <w:rPr>
          <w:rFonts w:ascii="NewBaskerville" w:hAnsi="NewBaskerville"/>
        </w:rPr>
        <w:t xml:space="preserve"> </w:t>
      </w:r>
      <w:r w:rsidR="00EF2E30">
        <w:rPr>
          <w:rFonts w:ascii="NewBaskerville" w:hAnsi="NewBaskerville"/>
        </w:rPr>
        <w:t>(en adelante FFATP</w:t>
      </w:r>
      <w:r w:rsidR="003F24D6">
        <w:rPr>
          <w:rFonts w:ascii="NewBaskerville" w:hAnsi="NewBaskerville"/>
        </w:rPr>
        <w:t>) con</w:t>
      </w:r>
      <w:r w:rsidR="006E5280">
        <w:rPr>
          <w:rFonts w:ascii="NewBaskerville" w:hAnsi="NewBaskerville"/>
        </w:rPr>
        <w:t xml:space="preserve"> vencimiento superior al año. </w:t>
      </w:r>
    </w:p>
    <w:p w:rsidR="00290279" w:rsidRDefault="00290279">
      <w:pPr>
        <w:tabs>
          <w:tab w:val="right" w:pos="8364"/>
        </w:tabs>
        <w:ind w:left="142" w:firstLine="425"/>
        <w:jc w:val="both"/>
        <w:rPr>
          <w:rFonts w:ascii="NewBaskerville" w:hAnsi="NewBaskerville"/>
        </w:rPr>
      </w:pPr>
    </w:p>
    <w:p w:rsidR="00187A36" w:rsidRDefault="00EF2E30">
      <w:pPr>
        <w:tabs>
          <w:tab w:val="right" w:pos="8364"/>
        </w:tabs>
        <w:ind w:left="142" w:firstLine="425"/>
        <w:jc w:val="both"/>
        <w:rPr>
          <w:rFonts w:ascii="NewBaskerville" w:hAnsi="NewBaskerville"/>
        </w:rPr>
      </w:pPr>
      <w:r>
        <w:rPr>
          <w:rFonts w:ascii="NewBaskerville" w:hAnsi="NewBaskerville"/>
        </w:rPr>
        <w:t xml:space="preserve">Su saldo lo componen las aportaciones obligatorias exigidas por el Comité de Distribución del Fondo de Compensación </w:t>
      </w:r>
      <w:proofErr w:type="spellStart"/>
      <w:r>
        <w:rPr>
          <w:rFonts w:ascii="NewBaskerville" w:hAnsi="NewBaskerville"/>
        </w:rPr>
        <w:t>Interportuario</w:t>
      </w:r>
      <w:proofErr w:type="spellEnd"/>
      <w:r>
        <w:rPr>
          <w:rFonts w:ascii="NewBaskerville" w:hAnsi="NewBaskerville"/>
        </w:rPr>
        <w:t>, en funciones de administración del FFATP, que tendrán naturaleza de préstamo y, cada aportación, de acuerdo con las siguientes condiciones:</w:t>
      </w:r>
    </w:p>
    <w:p w:rsidR="00EF2E30" w:rsidRDefault="00EF2E30" w:rsidP="00EF2E30">
      <w:pPr>
        <w:pStyle w:val="Prrafodelista"/>
        <w:numPr>
          <w:ilvl w:val="0"/>
          <w:numId w:val="6"/>
        </w:numPr>
        <w:tabs>
          <w:tab w:val="right" w:pos="8364"/>
        </w:tabs>
        <w:jc w:val="both"/>
        <w:rPr>
          <w:rFonts w:ascii="NewBaskerville" w:hAnsi="NewBaskerville"/>
        </w:rPr>
      </w:pPr>
      <w:r>
        <w:rPr>
          <w:rFonts w:ascii="NewBaskerville" w:hAnsi="NewBaskerville"/>
        </w:rPr>
        <w:t>Duración del préstamo: 20 años desde desembolso</w:t>
      </w:r>
    </w:p>
    <w:p w:rsidR="00EF2E30" w:rsidRDefault="00EF2E30" w:rsidP="00EF2E30">
      <w:pPr>
        <w:pStyle w:val="Prrafodelista"/>
        <w:numPr>
          <w:ilvl w:val="0"/>
          <w:numId w:val="6"/>
        </w:numPr>
        <w:tabs>
          <w:tab w:val="right" w:pos="8364"/>
        </w:tabs>
        <w:jc w:val="both"/>
        <w:rPr>
          <w:rFonts w:ascii="NewBaskerville" w:hAnsi="NewBaskerville"/>
        </w:rPr>
      </w:pPr>
      <w:r>
        <w:rPr>
          <w:rFonts w:ascii="NewBaskerville" w:hAnsi="NewBaskerville"/>
        </w:rPr>
        <w:t>Plazo de carencia: 3 años desde desembolso</w:t>
      </w:r>
    </w:p>
    <w:p w:rsidR="00EF2E30" w:rsidRDefault="00EF2E30" w:rsidP="00EF2E30">
      <w:pPr>
        <w:pStyle w:val="Prrafodelista"/>
        <w:numPr>
          <w:ilvl w:val="0"/>
          <w:numId w:val="6"/>
        </w:numPr>
        <w:tabs>
          <w:tab w:val="right" w:pos="8364"/>
        </w:tabs>
        <w:jc w:val="both"/>
        <w:rPr>
          <w:rFonts w:ascii="NewBaskerville" w:hAnsi="NewBaskerville"/>
        </w:rPr>
      </w:pPr>
      <w:r>
        <w:rPr>
          <w:rFonts w:ascii="NewBaskerville" w:hAnsi="NewBaskerville"/>
        </w:rPr>
        <w:t>Plazo amortización: Lineal de 17 años desde la finalización del plazo de carencia</w:t>
      </w:r>
    </w:p>
    <w:p w:rsidR="00EF2E30" w:rsidRDefault="00CE0C43" w:rsidP="00EF2E30">
      <w:pPr>
        <w:pStyle w:val="Prrafodelista"/>
        <w:numPr>
          <w:ilvl w:val="0"/>
          <w:numId w:val="6"/>
        </w:numPr>
        <w:tabs>
          <w:tab w:val="right" w:pos="8364"/>
        </w:tabs>
        <w:jc w:val="both"/>
        <w:rPr>
          <w:rFonts w:ascii="NewBaskerville" w:hAnsi="NewBaskerville"/>
        </w:rPr>
      </w:pPr>
      <w:r>
        <w:rPr>
          <w:rFonts w:ascii="NewBaskerville" w:hAnsi="NewBaskerville"/>
        </w:rPr>
        <w:t>Tipo y pago de interés: El tipo establecido en las condiciones entre el FFATP y el Banco Europeo de Inversiones, cada 15 de junio y 15 de diciembre.</w:t>
      </w:r>
    </w:p>
    <w:p w:rsidR="00CE0C43" w:rsidRDefault="00CE0C43" w:rsidP="00EF2E30">
      <w:pPr>
        <w:pStyle w:val="Prrafodelista"/>
        <w:numPr>
          <w:ilvl w:val="0"/>
          <w:numId w:val="6"/>
        </w:numPr>
        <w:tabs>
          <w:tab w:val="right" w:pos="8364"/>
        </w:tabs>
        <w:jc w:val="both"/>
        <w:rPr>
          <w:rFonts w:ascii="NewBaskerville" w:hAnsi="NewBaskerville"/>
        </w:rPr>
      </w:pPr>
      <w:r>
        <w:rPr>
          <w:rFonts w:ascii="NewBaskerville" w:hAnsi="NewBaskerville"/>
        </w:rPr>
        <w:t>Tipo de interés 202</w:t>
      </w:r>
      <w:r w:rsidR="009841A9">
        <w:rPr>
          <w:rFonts w:ascii="NewBaskerville" w:hAnsi="NewBaskerville"/>
        </w:rPr>
        <w:t>3</w:t>
      </w:r>
      <w:r>
        <w:rPr>
          <w:rFonts w:ascii="NewBaskerville" w:hAnsi="NewBaskerville"/>
        </w:rPr>
        <w:t>:</w:t>
      </w:r>
      <w:r w:rsidR="00C76C72">
        <w:rPr>
          <w:rFonts w:ascii="NewBaskerville" w:hAnsi="NewBaskerville"/>
        </w:rPr>
        <w:t xml:space="preserve"> </w:t>
      </w:r>
      <w:r w:rsidR="009841A9">
        <w:rPr>
          <w:rFonts w:ascii="NewBaskerville" w:hAnsi="NewBaskerville"/>
        </w:rPr>
        <w:t>1,</w:t>
      </w:r>
      <w:r w:rsidR="00C76C72">
        <w:rPr>
          <w:rFonts w:ascii="NewBaskerville" w:hAnsi="NewBaskerville"/>
        </w:rPr>
        <w:t>0</w:t>
      </w:r>
      <w:r w:rsidR="009841A9">
        <w:rPr>
          <w:rFonts w:ascii="NewBaskerville" w:hAnsi="NewBaskerville"/>
        </w:rPr>
        <w:t>42</w:t>
      </w:r>
      <w:r w:rsidR="00C76C72">
        <w:rPr>
          <w:rFonts w:ascii="NewBaskerville" w:hAnsi="NewBaskerville"/>
        </w:rPr>
        <w:t>% del 16/12/202</w:t>
      </w:r>
      <w:r w:rsidR="009841A9">
        <w:rPr>
          <w:rFonts w:ascii="NewBaskerville" w:hAnsi="NewBaskerville"/>
        </w:rPr>
        <w:t>2</w:t>
      </w:r>
      <w:r w:rsidR="00C76C72">
        <w:rPr>
          <w:rFonts w:ascii="NewBaskerville" w:hAnsi="NewBaskerville"/>
        </w:rPr>
        <w:t xml:space="preserve"> a 15/06/202</w:t>
      </w:r>
      <w:r w:rsidR="009841A9">
        <w:rPr>
          <w:rFonts w:ascii="NewBaskerville" w:hAnsi="NewBaskerville"/>
        </w:rPr>
        <w:t>3</w:t>
      </w:r>
      <w:r w:rsidR="00C76C72">
        <w:rPr>
          <w:rFonts w:ascii="NewBaskerville" w:hAnsi="NewBaskerville"/>
        </w:rPr>
        <w:t>;</w:t>
      </w:r>
      <w:r>
        <w:rPr>
          <w:rFonts w:ascii="NewBaskerville" w:hAnsi="NewBaskerville"/>
        </w:rPr>
        <w:t xml:space="preserve"> </w:t>
      </w:r>
      <w:r w:rsidR="009841A9">
        <w:rPr>
          <w:rFonts w:ascii="NewBaskerville" w:hAnsi="NewBaskerville"/>
        </w:rPr>
        <w:t>2,959% del 16/06/2023 al 15/12/2023</w:t>
      </w:r>
      <w:r w:rsidR="00C76C72">
        <w:rPr>
          <w:rFonts w:ascii="NewBaskerville" w:hAnsi="NewBaskerville"/>
        </w:rPr>
        <w:t>;</w:t>
      </w:r>
      <w:r w:rsidR="009841A9">
        <w:rPr>
          <w:rFonts w:ascii="NewBaskerville" w:hAnsi="NewBaskerville"/>
        </w:rPr>
        <w:t xml:space="preserve"> 3</w:t>
      </w:r>
      <w:r>
        <w:rPr>
          <w:rFonts w:ascii="NewBaskerville" w:hAnsi="NewBaskerville"/>
        </w:rPr>
        <w:t>,</w:t>
      </w:r>
      <w:r w:rsidR="009841A9">
        <w:rPr>
          <w:rFonts w:ascii="NewBaskerville" w:hAnsi="NewBaskerville"/>
        </w:rPr>
        <w:t>672</w:t>
      </w:r>
      <w:r>
        <w:rPr>
          <w:rFonts w:ascii="NewBaskerville" w:hAnsi="NewBaskerville"/>
        </w:rPr>
        <w:t>% del 16/12/202</w:t>
      </w:r>
      <w:r w:rsidR="009841A9">
        <w:rPr>
          <w:rFonts w:ascii="NewBaskerville" w:hAnsi="NewBaskerville"/>
        </w:rPr>
        <w:t>3 al 15/06/2024</w:t>
      </w:r>
      <w:r>
        <w:rPr>
          <w:rFonts w:ascii="NewBaskerville" w:hAnsi="NewBaskerville"/>
        </w:rPr>
        <w:t>.</w:t>
      </w:r>
    </w:p>
    <w:p w:rsidR="00290279" w:rsidRDefault="00290279" w:rsidP="00290279">
      <w:pPr>
        <w:pStyle w:val="Prrafodelista"/>
        <w:tabs>
          <w:tab w:val="right" w:pos="8364"/>
        </w:tabs>
        <w:ind w:left="1287"/>
        <w:jc w:val="both"/>
        <w:rPr>
          <w:rFonts w:ascii="NewBaskerville" w:hAnsi="NewBaskerville"/>
        </w:rPr>
      </w:pPr>
    </w:p>
    <w:p w:rsidR="000A1693" w:rsidRDefault="00C76C72" w:rsidP="00C76C72">
      <w:pPr>
        <w:tabs>
          <w:tab w:val="right" w:pos="8364"/>
        </w:tabs>
        <w:ind w:firstLine="567"/>
        <w:jc w:val="both"/>
        <w:rPr>
          <w:rFonts w:ascii="NewBaskerville" w:hAnsi="NewBaskerville"/>
        </w:rPr>
      </w:pPr>
      <w:r>
        <w:rPr>
          <w:rFonts w:ascii="NewBaskerville" w:hAnsi="NewBaskerville"/>
        </w:rPr>
        <w:t>En el siguiente cuadro se detalla la composición del saldo:</w:t>
      </w:r>
    </w:p>
    <w:tbl>
      <w:tblPr>
        <w:tblW w:w="6460" w:type="dxa"/>
        <w:tblInd w:w="60" w:type="dxa"/>
        <w:tblCellMar>
          <w:left w:w="70" w:type="dxa"/>
          <w:right w:w="70" w:type="dxa"/>
        </w:tblCellMar>
        <w:tblLook w:val="04A0" w:firstRow="1" w:lastRow="0" w:firstColumn="1" w:lastColumn="0" w:noHBand="0" w:noVBand="1"/>
      </w:tblPr>
      <w:tblGrid>
        <w:gridCol w:w="1425"/>
        <w:gridCol w:w="1294"/>
        <w:gridCol w:w="1220"/>
        <w:gridCol w:w="1201"/>
        <w:gridCol w:w="1320"/>
      </w:tblGrid>
      <w:tr w:rsidR="000332EA" w:rsidRPr="000332EA" w:rsidTr="000332EA">
        <w:trPr>
          <w:trHeight w:val="585"/>
        </w:trPr>
        <w:tc>
          <w:tcPr>
            <w:tcW w:w="146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0332EA" w:rsidRPr="000332EA" w:rsidRDefault="000332EA" w:rsidP="000332EA">
            <w:pPr>
              <w:jc w:val="center"/>
              <w:rPr>
                <w:rFonts w:ascii="Lucida Bright" w:hAnsi="Lucida Bright" w:cs="Calibri"/>
                <w:b/>
                <w:bCs/>
                <w:color w:val="000000"/>
                <w:sz w:val="14"/>
                <w:szCs w:val="14"/>
                <w:lang w:val="es-ES"/>
              </w:rPr>
            </w:pPr>
            <w:r w:rsidRPr="000332EA">
              <w:rPr>
                <w:rFonts w:ascii="Lucida Bright" w:hAnsi="Lucida Bright" w:cs="Calibri"/>
                <w:b/>
                <w:bCs/>
                <w:color w:val="000000"/>
                <w:sz w:val="14"/>
                <w:szCs w:val="14"/>
                <w:lang w:val="es-ES"/>
              </w:rPr>
              <w:t>Ejercicio de desembolso aportación</w:t>
            </w:r>
          </w:p>
        </w:tc>
        <w:tc>
          <w:tcPr>
            <w:tcW w:w="1260" w:type="dxa"/>
            <w:tcBorders>
              <w:top w:val="single" w:sz="8" w:space="0" w:color="000000"/>
              <w:left w:val="nil"/>
              <w:bottom w:val="single" w:sz="8" w:space="0" w:color="000000"/>
              <w:right w:val="single" w:sz="8" w:space="0" w:color="000000"/>
            </w:tcBorders>
            <w:shd w:val="clear" w:color="000000" w:fill="CCFFCC"/>
            <w:vAlign w:val="center"/>
            <w:hideMark/>
          </w:tcPr>
          <w:p w:rsidR="000332EA" w:rsidRPr="000332EA" w:rsidRDefault="000332EA" w:rsidP="000332EA">
            <w:pPr>
              <w:jc w:val="center"/>
              <w:rPr>
                <w:rFonts w:ascii="Lucida Bright" w:hAnsi="Lucida Bright" w:cs="Calibri"/>
                <w:b/>
                <w:bCs/>
                <w:color w:val="000000"/>
                <w:sz w:val="14"/>
                <w:szCs w:val="14"/>
                <w:lang w:val="es-ES"/>
              </w:rPr>
            </w:pPr>
            <w:r w:rsidRPr="000332EA">
              <w:rPr>
                <w:rFonts w:ascii="Lucida Bright" w:hAnsi="Lucida Bright" w:cs="Calibri"/>
                <w:b/>
                <w:bCs/>
                <w:color w:val="000000"/>
                <w:sz w:val="14"/>
                <w:szCs w:val="14"/>
                <w:lang w:val="es-ES"/>
              </w:rPr>
              <w:t>Saldo a l/p a 31/12/2023</w:t>
            </w:r>
          </w:p>
        </w:tc>
        <w:tc>
          <w:tcPr>
            <w:tcW w:w="1220" w:type="dxa"/>
            <w:tcBorders>
              <w:top w:val="single" w:sz="8" w:space="0" w:color="000000"/>
              <w:left w:val="nil"/>
              <w:bottom w:val="single" w:sz="8" w:space="0" w:color="000000"/>
              <w:right w:val="single" w:sz="8" w:space="0" w:color="000000"/>
            </w:tcBorders>
            <w:shd w:val="clear" w:color="000000" w:fill="CCFFCC"/>
            <w:vAlign w:val="center"/>
            <w:hideMark/>
          </w:tcPr>
          <w:p w:rsidR="000332EA" w:rsidRPr="000332EA" w:rsidRDefault="000332EA" w:rsidP="000332EA">
            <w:pPr>
              <w:jc w:val="center"/>
              <w:rPr>
                <w:rFonts w:ascii="Lucida Bright" w:hAnsi="Lucida Bright" w:cs="Calibri"/>
                <w:b/>
                <w:bCs/>
                <w:color w:val="000000"/>
                <w:sz w:val="14"/>
                <w:szCs w:val="14"/>
                <w:lang w:val="es-ES"/>
              </w:rPr>
            </w:pPr>
            <w:r w:rsidRPr="000332EA">
              <w:rPr>
                <w:rFonts w:ascii="Lucida Bright" w:hAnsi="Lucida Bright" w:cs="Calibri"/>
                <w:b/>
                <w:bCs/>
                <w:color w:val="000000"/>
                <w:sz w:val="14"/>
                <w:szCs w:val="14"/>
                <w:lang w:val="es-ES"/>
              </w:rPr>
              <w:t>Saldo a c/p a 31/12/2023</w:t>
            </w:r>
          </w:p>
        </w:tc>
        <w:tc>
          <w:tcPr>
            <w:tcW w:w="1200" w:type="dxa"/>
            <w:tcBorders>
              <w:top w:val="single" w:sz="8" w:space="0" w:color="000000"/>
              <w:left w:val="nil"/>
              <w:bottom w:val="single" w:sz="8" w:space="0" w:color="000000"/>
              <w:right w:val="single" w:sz="8" w:space="0" w:color="000000"/>
            </w:tcBorders>
            <w:shd w:val="clear" w:color="000000" w:fill="CCFFCC"/>
            <w:noWrap/>
            <w:vAlign w:val="center"/>
            <w:hideMark/>
          </w:tcPr>
          <w:p w:rsidR="000332EA" w:rsidRPr="000332EA" w:rsidRDefault="000332EA" w:rsidP="000332EA">
            <w:pPr>
              <w:jc w:val="center"/>
              <w:rPr>
                <w:rFonts w:ascii="Lucida Bright" w:hAnsi="Lucida Bright" w:cs="Calibri"/>
                <w:b/>
                <w:bCs/>
                <w:color w:val="000000"/>
                <w:sz w:val="14"/>
                <w:szCs w:val="14"/>
                <w:lang w:val="es-ES"/>
              </w:rPr>
            </w:pPr>
            <w:r w:rsidRPr="000332EA">
              <w:rPr>
                <w:rFonts w:ascii="Lucida Bright" w:hAnsi="Lucida Bright" w:cs="Calibri"/>
                <w:b/>
                <w:bCs/>
                <w:color w:val="000000"/>
                <w:sz w:val="14"/>
                <w:szCs w:val="14"/>
                <w:lang w:val="es-ES"/>
              </w:rPr>
              <w:t>Vencimiento</w:t>
            </w:r>
          </w:p>
        </w:tc>
        <w:tc>
          <w:tcPr>
            <w:tcW w:w="1320" w:type="dxa"/>
            <w:tcBorders>
              <w:top w:val="single" w:sz="8" w:space="0" w:color="000000"/>
              <w:left w:val="nil"/>
              <w:bottom w:val="single" w:sz="8" w:space="0" w:color="000000"/>
              <w:right w:val="single" w:sz="8" w:space="0" w:color="000000"/>
            </w:tcBorders>
            <w:shd w:val="clear" w:color="000000" w:fill="CCFFCC"/>
            <w:vAlign w:val="center"/>
            <w:hideMark/>
          </w:tcPr>
          <w:p w:rsidR="000332EA" w:rsidRPr="000332EA" w:rsidRDefault="000332EA" w:rsidP="000332EA">
            <w:pPr>
              <w:jc w:val="center"/>
              <w:rPr>
                <w:rFonts w:ascii="Lucida Bright" w:hAnsi="Lucida Bright" w:cs="Calibri"/>
                <w:b/>
                <w:bCs/>
                <w:color w:val="000000"/>
                <w:sz w:val="14"/>
                <w:szCs w:val="14"/>
                <w:lang w:val="es-ES"/>
              </w:rPr>
            </w:pPr>
            <w:r w:rsidRPr="000332EA">
              <w:rPr>
                <w:rFonts w:ascii="Lucida Bright" w:hAnsi="Lucida Bright" w:cs="Calibri"/>
                <w:b/>
                <w:bCs/>
                <w:color w:val="000000"/>
                <w:sz w:val="14"/>
                <w:szCs w:val="14"/>
                <w:lang w:val="es-ES"/>
              </w:rPr>
              <w:t xml:space="preserve"> Inicio amortizaciones</w:t>
            </w:r>
          </w:p>
        </w:tc>
      </w:tr>
      <w:tr w:rsidR="000332EA" w:rsidRPr="000332EA" w:rsidTr="000332EA">
        <w:trPr>
          <w:trHeight w:val="300"/>
        </w:trPr>
        <w:tc>
          <w:tcPr>
            <w:tcW w:w="1460" w:type="dxa"/>
            <w:tcBorders>
              <w:top w:val="nil"/>
              <w:left w:val="single" w:sz="8" w:space="0" w:color="000000"/>
              <w:bottom w:val="single" w:sz="4" w:space="0" w:color="000000"/>
              <w:right w:val="single" w:sz="4" w:space="0" w:color="000000"/>
            </w:tcBorders>
            <w:shd w:val="clear" w:color="auto" w:fill="auto"/>
            <w:vAlign w:val="center"/>
            <w:hideMark/>
          </w:tcPr>
          <w:p w:rsidR="000332EA" w:rsidRPr="000332EA" w:rsidRDefault="000332EA" w:rsidP="000332EA">
            <w:pPr>
              <w:jc w:val="center"/>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2019</w:t>
            </w:r>
          </w:p>
        </w:tc>
        <w:tc>
          <w:tcPr>
            <w:tcW w:w="1260" w:type="dxa"/>
            <w:tcBorders>
              <w:top w:val="nil"/>
              <w:left w:val="nil"/>
              <w:bottom w:val="single" w:sz="4" w:space="0" w:color="000000"/>
              <w:right w:val="single" w:sz="4" w:space="0" w:color="000000"/>
            </w:tcBorders>
            <w:shd w:val="clear" w:color="auto" w:fill="auto"/>
            <w:noWrap/>
            <w:vAlign w:val="center"/>
            <w:hideMark/>
          </w:tcPr>
          <w:p w:rsidR="000332EA" w:rsidRPr="000332EA" w:rsidRDefault="000332EA" w:rsidP="000332EA">
            <w:pPr>
              <w:jc w:val="right"/>
              <w:rPr>
                <w:rFonts w:ascii="Lucida Bright" w:hAnsi="Lucida Bright" w:cs="Calibri"/>
                <w:sz w:val="18"/>
                <w:szCs w:val="18"/>
                <w:lang w:val="es-ES"/>
              </w:rPr>
            </w:pPr>
            <w:r w:rsidRPr="000332EA">
              <w:rPr>
                <w:rFonts w:ascii="Lucida Bright" w:hAnsi="Lucida Bright" w:cs="Calibri"/>
                <w:sz w:val="18"/>
                <w:szCs w:val="18"/>
                <w:lang w:val="es-ES"/>
              </w:rPr>
              <w:t>195.176,46</w:t>
            </w:r>
          </w:p>
        </w:tc>
        <w:tc>
          <w:tcPr>
            <w:tcW w:w="1220" w:type="dxa"/>
            <w:tcBorders>
              <w:top w:val="nil"/>
              <w:left w:val="nil"/>
              <w:bottom w:val="single" w:sz="4" w:space="0" w:color="000000"/>
              <w:right w:val="single" w:sz="4" w:space="0" w:color="000000"/>
            </w:tcBorders>
            <w:shd w:val="clear" w:color="auto" w:fill="auto"/>
            <w:noWrap/>
            <w:vAlign w:val="center"/>
            <w:hideMark/>
          </w:tcPr>
          <w:p w:rsidR="000332EA" w:rsidRPr="000332EA" w:rsidRDefault="000332EA" w:rsidP="000332EA">
            <w:pPr>
              <w:jc w:val="right"/>
              <w:rPr>
                <w:rFonts w:ascii="Lucida Bright" w:hAnsi="Lucida Bright" w:cs="Calibri"/>
                <w:sz w:val="18"/>
                <w:szCs w:val="18"/>
                <w:lang w:val="es-ES"/>
              </w:rPr>
            </w:pPr>
            <w:r w:rsidRPr="000332EA">
              <w:rPr>
                <w:rFonts w:ascii="Lucida Bright" w:hAnsi="Lucida Bright" w:cs="Calibri"/>
                <w:sz w:val="18"/>
                <w:szCs w:val="18"/>
                <w:lang w:val="es-ES"/>
              </w:rPr>
              <w:t>13.941,18</w:t>
            </w:r>
          </w:p>
        </w:tc>
        <w:tc>
          <w:tcPr>
            <w:tcW w:w="1200" w:type="dxa"/>
            <w:tcBorders>
              <w:top w:val="nil"/>
              <w:left w:val="nil"/>
              <w:bottom w:val="single" w:sz="4" w:space="0" w:color="000000"/>
              <w:right w:val="single" w:sz="8"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15/12/2038</w:t>
            </w:r>
          </w:p>
        </w:tc>
        <w:tc>
          <w:tcPr>
            <w:tcW w:w="1320" w:type="dxa"/>
            <w:tcBorders>
              <w:top w:val="nil"/>
              <w:left w:val="single" w:sz="4" w:space="0" w:color="000000"/>
              <w:bottom w:val="single" w:sz="4" w:space="0" w:color="000000"/>
              <w:right w:val="single" w:sz="8"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15/12/2022</w:t>
            </w:r>
          </w:p>
        </w:tc>
      </w:tr>
      <w:tr w:rsidR="000332EA" w:rsidRPr="000332EA" w:rsidTr="000332EA">
        <w:trPr>
          <w:trHeight w:val="300"/>
        </w:trPr>
        <w:tc>
          <w:tcPr>
            <w:tcW w:w="1460" w:type="dxa"/>
            <w:tcBorders>
              <w:top w:val="nil"/>
              <w:left w:val="single" w:sz="8" w:space="0" w:color="000000"/>
              <w:bottom w:val="single" w:sz="4" w:space="0" w:color="000000"/>
              <w:right w:val="single" w:sz="4" w:space="0" w:color="000000"/>
            </w:tcBorders>
            <w:shd w:val="clear" w:color="auto" w:fill="auto"/>
            <w:vAlign w:val="center"/>
            <w:hideMark/>
          </w:tcPr>
          <w:p w:rsidR="000332EA" w:rsidRPr="000332EA" w:rsidRDefault="000332EA" w:rsidP="000332EA">
            <w:pPr>
              <w:jc w:val="center"/>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2020</w:t>
            </w:r>
          </w:p>
        </w:tc>
        <w:tc>
          <w:tcPr>
            <w:tcW w:w="1260" w:type="dxa"/>
            <w:tcBorders>
              <w:top w:val="nil"/>
              <w:left w:val="nil"/>
              <w:bottom w:val="single" w:sz="4" w:space="0" w:color="000000"/>
              <w:right w:val="single" w:sz="4" w:space="0" w:color="000000"/>
            </w:tcBorders>
            <w:shd w:val="clear" w:color="auto" w:fill="auto"/>
            <w:noWrap/>
            <w:vAlign w:val="center"/>
            <w:hideMark/>
          </w:tcPr>
          <w:p w:rsidR="000332EA" w:rsidRPr="000332EA" w:rsidRDefault="000332EA" w:rsidP="000332EA">
            <w:pPr>
              <w:jc w:val="right"/>
              <w:rPr>
                <w:rFonts w:ascii="Lucida Bright" w:hAnsi="Lucida Bright" w:cs="Calibri"/>
                <w:sz w:val="18"/>
                <w:szCs w:val="18"/>
                <w:lang w:val="es-ES"/>
              </w:rPr>
            </w:pPr>
            <w:r w:rsidRPr="000332EA">
              <w:rPr>
                <w:rFonts w:ascii="Lucida Bright" w:hAnsi="Lucida Bright" w:cs="Calibri"/>
                <w:sz w:val="18"/>
                <w:szCs w:val="18"/>
                <w:lang w:val="es-ES"/>
              </w:rPr>
              <w:t>209.117,64</w:t>
            </w:r>
          </w:p>
        </w:tc>
        <w:tc>
          <w:tcPr>
            <w:tcW w:w="1220" w:type="dxa"/>
            <w:tcBorders>
              <w:top w:val="nil"/>
              <w:left w:val="nil"/>
              <w:bottom w:val="single" w:sz="4" w:space="0" w:color="000000"/>
              <w:right w:val="single" w:sz="4" w:space="0" w:color="000000"/>
            </w:tcBorders>
            <w:shd w:val="clear" w:color="auto" w:fill="auto"/>
            <w:noWrap/>
            <w:vAlign w:val="center"/>
            <w:hideMark/>
          </w:tcPr>
          <w:p w:rsidR="000332EA" w:rsidRPr="000332EA" w:rsidRDefault="000332EA" w:rsidP="000332EA">
            <w:pPr>
              <w:jc w:val="right"/>
              <w:rPr>
                <w:rFonts w:ascii="Lucida Bright" w:hAnsi="Lucida Bright" w:cs="Calibri"/>
                <w:sz w:val="18"/>
                <w:szCs w:val="18"/>
                <w:lang w:val="es-ES"/>
              </w:rPr>
            </w:pPr>
            <w:r w:rsidRPr="000332EA">
              <w:rPr>
                <w:rFonts w:ascii="Lucida Bright" w:hAnsi="Lucida Bright" w:cs="Calibri"/>
                <w:sz w:val="18"/>
                <w:szCs w:val="18"/>
                <w:lang w:val="es-ES"/>
              </w:rPr>
              <w:t>13.941,18</w:t>
            </w:r>
          </w:p>
        </w:tc>
        <w:tc>
          <w:tcPr>
            <w:tcW w:w="1200" w:type="dxa"/>
            <w:tcBorders>
              <w:top w:val="nil"/>
              <w:left w:val="nil"/>
              <w:bottom w:val="single" w:sz="4" w:space="0" w:color="000000"/>
              <w:right w:val="single" w:sz="8"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15/12/2039</w:t>
            </w:r>
          </w:p>
        </w:tc>
        <w:tc>
          <w:tcPr>
            <w:tcW w:w="1320" w:type="dxa"/>
            <w:tcBorders>
              <w:top w:val="nil"/>
              <w:left w:val="single" w:sz="4" w:space="0" w:color="000000"/>
              <w:bottom w:val="single" w:sz="4" w:space="0" w:color="000000"/>
              <w:right w:val="single" w:sz="8"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15/12/2023</w:t>
            </w:r>
          </w:p>
        </w:tc>
      </w:tr>
      <w:tr w:rsidR="000332EA" w:rsidRPr="000332EA" w:rsidTr="000332EA">
        <w:trPr>
          <w:trHeight w:val="300"/>
        </w:trPr>
        <w:tc>
          <w:tcPr>
            <w:tcW w:w="1460" w:type="dxa"/>
            <w:tcBorders>
              <w:top w:val="nil"/>
              <w:left w:val="single" w:sz="8" w:space="0" w:color="000000"/>
              <w:bottom w:val="single" w:sz="4" w:space="0" w:color="000000"/>
              <w:right w:val="single" w:sz="4" w:space="0" w:color="000000"/>
            </w:tcBorders>
            <w:shd w:val="clear" w:color="auto" w:fill="auto"/>
            <w:vAlign w:val="center"/>
            <w:hideMark/>
          </w:tcPr>
          <w:p w:rsidR="000332EA" w:rsidRPr="000332EA" w:rsidRDefault="000332EA" w:rsidP="000332EA">
            <w:pPr>
              <w:jc w:val="center"/>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2021</w:t>
            </w:r>
          </w:p>
        </w:tc>
        <w:tc>
          <w:tcPr>
            <w:tcW w:w="1260" w:type="dxa"/>
            <w:tcBorders>
              <w:top w:val="nil"/>
              <w:left w:val="nil"/>
              <w:bottom w:val="single" w:sz="4" w:space="0" w:color="000000"/>
              <w:right w:val="single" w:sz="4"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1.169.882,35</w:t>
            </w:r>
          </w:p>
        </w:tc>
        <w:tc>
          <w:tcPr>
            <w:tcW w:w="1220" w:type="dxa"/>
            <w:tcBorders>
              <w:top w:val="nil"/>
              <w:left w:val="nil"/>
              <w:bottom w:val="single" w:sz="4" w:space="0" w:color="000000"/>
              <w:right w:val="single" w:sz="4"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73.117,65</w:t>
            </w:r>
          </w:p>
        </w:tc>
        <w:tc>
          <w:tcPr>
            <w:tcW w:w="1200" w:type="dxa"/>
            <w:tcBorders>
              <w:top w:val="nil"/>
              <w:left w:val="nil"/>
              <w:bottom w:val="single" w:sz="4" w:space="0" w:color="000000"/>
              <w:right w:val="single" w:sz="8"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17/12/2040</w:t>
            </w:r>
          </w:p>
        </w:tc>
        <w:tc>
          <w:tcPr>
            <w:tcW w:w="1320" w:type="dxa"/>
            <w:tcBorders>
              <w:top w:val="nil"/>
              <w:left w:val="single" w:sz="4" w:space="0" w:color="000000"/>
              <w:bottom w:val="single" w:sz="4" w:space="0" w:color="000000"/>
              <w:right w:val="single" w:sz="8"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16/12/2024</w:t>
            </w:r>
          </w:p>
        </w:tc>
      </w:tr>
      <w:tr w:rsidR="000332EA" w:rsidRPr="000332EA" w:rsidTr="000332EA">
        <w:trPr>
          <w:trHeight w:val="300"/>
        </w:trPr>
        <w:tc>
          <w:tcPr>
            <w:tcW w:w="1460" w:type="dxa"/>
            <w:tcBorders>
              <w:top w:val="nil"/>
              <w:left w:val="single" w:sz="8" w:space="0" w:color="000000"/>
              <w:bottom w:val="single" w:sz="8" w:space="0" w:color="000000"/>
              <w:right w:val="single" w:sz="4" w:space="0" w:color="000000"/>
            </w:tcBorders>
            <w:shd w:val="clear" w:color="auto" w:fill="auto"/>
            <w:vAlign w:val="center"/>
            <w:hideMark/>
          </w:tcPr>
          <w:p w:rsidR="000332EA" w:rsidRPr="000332EA" w:rsidRDefault="000332EA" w:rsidP="000332EA">
            <w:pPr>
              <w:jc w:val="center"/>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2022</w:t>
            </w:r>
          </w:p>
        </w:tc>
        <w:tc>
          <w:tcPr>
            <w:tcW w:w="1260" w:type="dxa"/>
            <w:tcBorders>
              <w:top w:val="nil"/>
              <w:left w:val="nil"/>
              <w:bottom w:val="single" w:sz="8" w:space="0" w:color="000000"/>
              <w:right w:val="single" w:sz="4"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3.845.000,00</w:t>
            </w:r>
          </w:p>
        </w:tc>
        <w:tc>
          <w:tcPr>
            <w:tcW w:w="1220" w:type="dxa"/>
            <w:tcBorders>
              <w:top w:val="nil"/>
              <w:left w:val="nil"/>
              <w:bottom w:val="single" w:sz="8" w:space="0" w:color="000000"/>
              <w:right w:val="single" w:sz="4"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0,00</w:t>
            </w:r>
          </w:p>
        </w:tc>
        <w:tc>
          <w:tcPr>
            <w:tcW w:w="1200" w:type="dxa"/>
            <w:tcBorders>
              <w:top w:val="nil"/>
              <w:left w:val="nil"/>
              <w:bottom w:val="single" w:sz="8" w:space="0" w:color="000000"/>
              <w:right w:val="single" w:sz="8"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16/12/2041</w:t>
            </w:r>
          </w:p>
        </w:tc>
        <w:tc>
          <w:tcPr>
            <w:tcW w:w="1320" w:type="dxa"/>
            <w:tcBorders>
              <w:top w:val="nil"/>
              <w:left w:val="single" w:sz="4" w:space="0" w:color="000000"/>
              <w:bottom w:val="single" w:sz="8" w:space="0" w:color="000000"/>
              <w:right w:val="single" w:sz="8" w:space="0" w:color="000000"/>
            </w:tcBorders>
            <w:shd w:val="clear" w:color="000000" w:fill="FFFFFF"/>
            <w:noWrap/>
            <w:vAlign w:val="center"/>
            <w:hideMark/>
          </w:tcPr>
          <w:p w:rsidR="000332EA" w:rsidRPr="000332EA" w:rsidRDefault="000332EA" w:rsidP="000332EA">
            <w:pPr>
              <w:jc w:val="right"/>
              <w:rPr>
                <w:rFonts w:ascii="Lucida Bright" w:hAnsi="Lucida Bright" w:cs="Calibri"/>
                <w:color w:val="000000"/>
                <w:sz w:val="18"/>
                <w:szCs w:val="18"/>
                <w:lang w:val="es-ES"/>
              </w:rPr>
            </w:pPr>
            <w:r w:rsidRPr="000332EA">
              <w:rPr>
                <w:rFonts w:ascii="Lucida Bright" w:hAnsi="Lucida Bright" w:cs="Calibri"/>
                <w:color w:val="000000"/>
                <w:sz w:val="18"/>
                <w:szCs w:val="18"/>
                <w:lang w:val="es-ES"/>
              </w:rPr>
              <w:t>15/12/2025</w:t>
            </w:r>
          </w:p>
        </w:tc>
      </w:tr>
      <w:tr w:rsidR="000332EA" w:rsidRPr="000332EA" w:rsidTr="000332EA">
        <w:trPr>
          <w:trHeight w:val="300"/>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rsidR="000332EA" w:rsidRPr="000332EA" w:rsidRDefault="000332EA" w:rsidP="000332EA">
            <w:pPr>
              <w:ind w:firstLineChars="200" w:firstLine="361"/>
              <w:jc w:val="right"/>
              <w:rPr>
                <w:rFonts w:ascii="Lucida Bright" w:hAnsi="Lucida Bright" w:cs="Calibri"/>
                <w:b/>
                <w:bCs/>
                <w:color w:val="000000"/>
                <w:sz w:val="18"/>
                <w:szCs w:val="18"/>
                <w:lang w:val="es-ES"/>
              </w:rPr>
            </w:pPr>
            <w:r w:rsidRPr="000332EA">
              <w:rPr>
                <w:rFonts w:ascii="Lucida Bright" w:hAnsi="Lucida Bright" w:cs="Calibri"/>
                <w:b/>
                <w:bCs/>
                <w:color w:val="000000"/>
                <w:sz w:val="18"/>
                <w:szCs w:val="18"/>
                <w:lang w:val="es-ES"/>
              </w:rPr>
              <w:t>TOTAL</w:t>
            </w:r>
          </w:p>
        </w:tc>
        <w:tc>
          <w:tcPr>
            <w:tcW w:w="1260" w:type="dxa"/>
            <w:tcBorders>
              <w:top w:val="nil"/>
              <w:left w:val="nil"/>
              <w:bottom w:val="single" w:sz="8" w:space="0" w:color="000000"/>
              <w:right w:val="single" w:sz="8" w:space="0" w:color="000000"/>
            </w:tcBorders>
            <w:shd w:val="clear" w:color="auto" w:fill="auto"/>
            <w:noWrap/>
            <w:vAlign w:val="center"/>
            <w:hideMark/>
          </w:tcPr>
          <w:p w:rsidR="000332EA" w:rsidRPr="000332EA" w:rsidRDefault="000332EA" w:rsidP="000332EA">
            <w:pPr>
              <w:jc w:val="right"/>
              <w:rPr>
                <w:rFonts w:ascii="Lucida Bright" w:hAnsi="Lucida Bright" w:cs="Calibri"/>
                <w:b/>
                <w:bCs/>
                <w:color w:val="000000"/>
                <w:sz w:val="18"/>
                <w:szCs w:val="18"/>
                <w:lang w:val="es-ES"/>
              </w:rPr>
            </w:pPr>
            <w:r w:rsidRPr="000332EA">
              <w:rPr>
                <w:rFonts w:ascii="Lucida Bright" w:hAnsi="Lucida Bright" w:cs="Calibri"/>
                <w:b/>
                <w:bCs/>
                <w:color w:val="000000"/>
                <w:sz w:val="18"/>
                <w:szCs w:val="18"/>
                <w:lang w:val="es-ES"/>
              </w:rPr>
              <w:t>5.419.176,45</w:t>
            </w:r>
          </w:p>
        </w:tc>
        <w:tc>
          <w:tcPr>
            <w:tcW w:w="1220" w:type="dxa"/>
            <w:tcBorders>
              <w:top w:val="nil"/>
              <w:left w:val="nil"/>
              <w:bottom w:val="single" w:sz="8" w:space="0" w:color="000000"/>
              <w:right w:val="single" w:sz="8" w:space="0" w:color="000000"/>
            </w:tcBorders>
            <w:shd w:val="clear" w:color="auto" w:fill="auto"/>
            <w:noWrap/>
            <w:vAlign w:val="center"/>
            <w:hideMark/>
          </w:tcPr>
          <w:p w:rsidR="000332EA" w:rsidRPr="001805BE" w:rsidRDefault="000332EA" w:rsidP="000332EA">
            <w:pPr>
              <w:jc w:val="right"/>
              <w:rPr>
                <w:rFonts w:ascii="Lucida Bright" w:hAnsi="Lucida Bright" w:cs="Calibri"/>
                <w:b/>
                <w:color w:val="000000"/>
                <w:sz w:val="18"/>
                <w:szCs w:val="18"/>
                <w:lang w:val="es-ES"/>
              </w:rPr>
            </w:pPr>
            <w:r w:rsidRPr="001805BE">
              <w:rPr>
                <w:rFonts w:ascii="Lucida Bright" w:hAnsi="Lucida Bright" w:cs="Calibri"/>
                <w:b/>
                <w:color w:val="000000"/>
                <w:sz w:val="18"/>
                <w:szCs w:val="18"/>
                <w:lang w:val="es-ES"/>
              </w:rPr>
              <w:t>101.000,01</w:t>
            </w:r>
          </w:p>
        </w:tc>
        <w:tc>
          <w:tcPr>
            <w:tcW w:w="1200" w:type="dxa"/>
            <w:tcBorders>
              <w:top w:val="nil"/>
              <w:left w:val="nil"/>
              <w:bottom w:val="single" w:sz="8" w:space="0" w:color="000000"/>
              <w:right w:val="single" w:sz="8" w:space="0" w:color="000000"/>
            </w:tcBorders>
            <w:shd w:val="clear" w:color="auto" w:fill="auto"/>
            <w:noWrap/>
            <w:vAlign w:val="center"/>
            <w:hideMark/>
          </w:tcPr>
          <w:p w:rsidR="000332EA" w:rsidRPr="000332EA" w:rsidRDefault="000332EA" w:rsidP="000332EA">
            <w:pPr>
              <w:jc w:val="right"/>
              <w:rPr>
                <w:rFonts w:ascii="Lucida Bright" w:hAnsi="Lucida Bright" w:cs="Calibri"/>
                <w:b/>
                <w:bCs/>
                <w:color w:val="000000"/>
                <w:sz w:val="18"/>
                <w:szCs w:val="18"/>
                <w:lang w:val="es-ES"/>
              </w:rPr>
            </w:pPr>
            <w:r w:rsidRPr="000332EA">
              <w:rPr>
                <w:rFonts w:ascii="Lucida Bright" w:hAnsi="Lucida Bright" w:cs="Calibri"/>
                <w:b/>
                <w:bCs/>
                <w:color w:val="000000"/>
                <w:sz w:val="18"/>
                <w:szCs w:val="18"/>
                <w:lang w:val="es-ES"/>
              </w:rPr>
              <w:t> </w:t>
            </w:r>
          </w:p>
        </w:tc>
        <w:tc>
          <w:tcPr>
            <w:tcW w:w="1320" w:type="dxa"/>
            <w:tcBorders>
              <w:top w:val="nil"/>
              <w:left w:val="nil"/>
              <w:bottom w:val="single" w:sz="8" w:space="0" w:color="000000"/>
              <w:right w:val="single" w:sz="8" w:space="0" w:color="000000"/>
            </w:tcBorders>
            <w:shd w:val="clear" w:color="auto" w:fill="auto"/>
            <w:noWrap/>
            <w:vAlign w:val="center"/>
            <w:hideMark/>
          </w:tcPr>
          <w:p w:rsidR="000332EA" w:rsidRPr="000332EA" w:rsidRDefault="000332EA" w:rsidP="000332EA">
            <w:pPr>
              <w:jc w:val="right"/>
              <w:rPr>
                <w:rFonts w:ascii="Lucida Bright" w:hAnsi="Lucida Bright" w:cs="Calibri"/>
                <w:b/>
                <w:bCs/>
                <w:color w:val="000000"/>
                <w:sz w:val="18"/>
                <w:szCs w:val="18"/>
                <w:lang w:val="es-ES"/>
              </w:rPr>
            </w:pPr>
            <w:r w:rsidRPr="000332EA">
              <w:rPr>
                <w:rFonts w:ascii="Lucida Bright" w:hAnsi="Lucida Bright" w:cs="Calibri"/>
                <w:b/>
                <w:bCs/>
                <w:color w:val="000000"/>
                <w:sz w:val="18"/>
                <w:szCs w:val="18"/>
                <w:lang w:val="es-ES"/>
              </w:rPr>
              <w:t> </w:t>
            </w:r>
          </w:p>
        </w:tc>
      </w:tr>
    </w:tbl>
    <w:p w:rsidR="008E3490" w:rsidRDefault="008E3490" w:rsidP="00C76C72">
      <w:pPr>
        <w:tabs>
          <w:tab w:val="right" w:pos="8364"/>
        </w:tabs>
        <w:ind w:firstLine="567"/>
        <w:jc w:val="both"/>
        <w:rPr>
          <w:rFonts w:ascii="NewBaskerville" w:hAnsi="NewBaskerville"/>
        </w:rPr>
      </w:pPr>
    </w:p>
    <w:p w:rsidR="00C76C72" w:rsidRDefault="00C76C72" w:rsidP="00C76C72">
      <w:pPr>
        <w:tabs>
          <w:tab w:val="right" w:pos="8364"/>
        </w:tabs>
        <w:ind w:firstLine="567"/>
        <w:jc w:val="both"/>
        <w:rPr>
          <w:rFonts w:ascii="NewBaskerville" w:hAnsi="NewBaskerville"/>
        </w:rPr>
      </w:pPr>
    </w:p>
    <w:p w:rsidR="008E3490" w:rsidRDefault="008E3490" w:rsidP="00C76C72">
      <w:pPr>
        <w:tabs>
          <w:tab w:val="right" w:pos="8364"/>
        </w:tabs>
        <w:ind w:firstLine="567"/>
        <w:jc w:val="both"/>
        <w:rPr>
          <w:rFonts w:ascii="NewBaskerville" w:hAnsi="NewBaskerville"/>
        </w:rPr>
      </w:pPr>
      <w:r>
        <w:rPr>
          <w:rFonts w:ascii="NewBaskerville" w:hAnsi="NewBaskerville"/>
        </w:rPr>
        <w:t>Los intereses devengados a 31/12/202</w:t>
      </w:r>
      <w:r w:rsidR="005259A2">
        <w:rPr>
          <w:rFonts w:ascii="NewBaskerville" w:hAnsi="NewBaskerville"/>
        </w:rPr>
        <w:t>3</w:t>
      </w:r>
      <w:r>
        <w:rPr>
          <w:rFonts w:ascii="NewBaskerville" w:hAnsi="NewBaskerville"/>
        </w:rPr>
        <w:t xml:space="preserve"> ascendieron a </w:t>
      </w:r>
      <w:r w:rsidR="005259A2">
        <w:rPr>
          <w:rFonts w:ascii="NewBaskerville" w:hAnsi="NewBaskerville"/>
        </w:rPr>
        <w:t>9</w:t>
      </w:r>
      <w:r>
        <w:rPr>
          <w:rFonts w:ascii="NewBaskerville" w:hAnsi="NewBaskerville"/>
        </w:rPr>
        <w:t>.</w:t>
      </w:r>
      <w:r w:rsidR="005259A2">
        <w:rPr>
          <w:rFonts w:ascii="NewBaskerville" w:hAnsi="NewBaskerville"/>
        </w:rPr>
        <w:t>571</w:t>
      </w:r>
      <w:r>
        <w:rPr>
          <w:rFonts w:ascii="NewBaskerville" w:hAnsi="NewBaskerville"/>
        </w:rPr>
        <w:t>,</w:t>
      </w:r>
      <w:r w:rsidR="005259A2">
        <w:rPr>
          <w:rFonts w:ascii="NewBaskerville" w:hAnsi="NewBaskerville"/>
        </w:rPr>
        <w:t>98</w:t>
      </w:r>
      <w:r>
        <w:rPr>
          <w:rFonts w:ascii="NewBaskerville" w:hAnsi="NewBaskerville"/>
        </w:rPr>
        <w:t xml:space="preserve"> euros.</w:t>
      </w:r>
    </w:p>
    <w:p w:rsidR="008E3490" w:rsidRDefault="008E3490" w:rsidP="00C76C72">
      <w:pPr>
        <w:tabs>
          <w:tab w:val="right" w:pos="8364"/>
        </w:tabs>
        <w:ind w:firstLine="567"/>
        <w:jc w:val="both"/>
        <w:rPr>
          <w:rFonts w:ascii="NewBaskerville" w:hAnsi="NewBaskerville"/>
        </w:rPr>
      </w:pPr>
    </w:p>
    <w:p w:rsidR="008E3490" w:rsidRDefault="00C859FC" w:rsidP="00C76C72">
      <w:pPr>
        <w:tabs>
          <w:tab w:val="right" w:pos="8364"/>
        </w:tabs>
        <w:ind w:firstLine="567"/>
        <w:jc w:val="both"/>
        <w:rPr>
          <w:rFonts w:ascii="NewBaskerville" w:hAnsi="NewBaskerville"/>
        </w:rPr>
      </w:pPr>
      <w:r>
        <w:rPr>
          <w:rFonts w:ascii="NewBaskerville" w:hAnsi="NewBaskerville"/>
        </w:rPr>
        <w:t>Las aportaciones obligatorias exigibles del FFATP pendientes a fecha de 31/12/202</w:t>
      </w:r>
      <w:r w:rsidR="005259A2">
        <w:rPr>
          <w:rFonts w:ascii="NewBaskerville" w:hAnsi="NewBaskerville"/>
        </w:rPr>
        <w:t>3</w:t>
      </w:r>
      <w:r>
        <w:rPr>
          <w:rFonts w:ascii="NewBaskerville" w:hAnsi="NewBaskerville"/>
        </w:rPr>
        <w:t xml:space="preserve"> (deducidas, en su caso las compensaciones aprobadas) que representan el compromiso firme de adquisición de activos financieros se detallan en:</w:t>
      </w:r>
    </w:p>
    <w:p w:rsidR="005259A2" w:rsidRDefault="005259A2" w:rsidP="00C76C72">
      <w:pPr>
        <w:tabs>
          <w:tab w:val="right" w:pos="8364"/>
        </w:tabs>
        <w:ind w:firstLine="567"/>
        <w:jc w:val="both"/>
        <w:rPr>
          <w:rFonts w:ascii="NewBaskerville" w:hAnsi="NewBaskerville"/>
        </w:rPr>
      </w:pPr>
    </w:p>
    <w:tbl>
      <w:tblPr>
        <w:tblW w:w="2740" w:type="dxa"/>
        <w:tblInd w:w="1588" w:type="dxa"/>
        <w:tblCellMar>
          <w:left w:w="70" w:type="dxa"/>
          <w:right w:w="70" w:type="dxa"/>
        </w:tblCellMar>
        <w:tblLook w:val="04A0" w:firstRow="1" w:lastRow="0" w:firstColumn="1" w:lastColumn="0" w:noHBand="0" w:noVBand="1"/>
      </w:tblPr>
      <w:tblGrid>
        <w:gridCol w:w="1320"/>
        <w:gridCol w:w="1420"/>
      </w:tblGrid>
      <w:tr w:rsidR="005259A2" w:rsidRPr="005259A2" w:rsidTr="005259A2">
        <w:trPr>
          <w:trHeight w:val="585"/>
        </w:trPr>
        <w:tc>
          <w:tcPr>
            <w:tcW w:w="1320" w:type="dxa"/>
            <w:tcBorders>
              <w:top w:val="single" w:sz="8" w:space="0" w:color="000000"/>
              <w:left w:val="single" w:sz="8" w:space="0" w:color="000000"/>
              <w:bottom w:val="single" w:sz="8" w:space="0" w:color="000000"/>
              <w:right w:val="single" w:sz="8" w:space="0" w:color="000000"/>
            </w:tcBorders>
            <w:shd w:val="clear" w:color="000000" w:fill="CCFFCC"/>
            <w:vAlign w:val="center"/>
            <w:hideMark/>
          </w:tcPr>
          <w:p w:rsidR="005259A2" w:rsidRPr="005259A2" w:rsidRDefault="005259A2" w:rsidP="005259A2">
            <w:pPr>
              <w:jc w:val="center"/>
              <w:rPr>
                <w:rFonts w:ascii="Lucida Bright" w:hAnsi="Lucida Bright" w:cs="Calibri"/>
                <w:b/>
                <w:bCs/>
                <w:color w:val="000000"/>
                <w:sz w:val="14"/>
                <w:szCs w:val="14"/>
                <w:lang w:val="es-ES"/>
              </w:rPr>
            </w:pPr>
            <w:r w:rsidRPr="005259A2">
              <w:rPr>
                <w:rFonts w:ascii="Lucida Bright" w:hAnsi="Lucida Bright" w:cs="Calibri"/>
                <w:b/>
                <w:bCs/>
                <w:color w:val="000000"/>
                <w:sz w:val="14"/>
                <w:szCs w:val="14"/>
                <w:lang w:val="es-ES"/>
              </w:rPr>
              <w:t>Exigible de</w:t>
            </w:r>
          </w:p>
        </w:tc>
        <w:tc>
          <w:tcPr>
            <w:tcW w:w="1420" w:type="dxa"/>
            <w:tcBorders>
              <w:top w:val="single" w:sz="8" w:space="0" w:color="000000"/>
              <w:left w:val="nil"/>
              <w:bottom w:val="single" w:sz="8" w:space="0" w:color="000000"/>
              <w:right w:val="single" w:sz="8" w:space="0" w:color="000000"/>
            </w:tcBorders>
            <w:shd w:val="clear" w:color="000000" w:fill="CCFFCC"/>
            <w:vAlign w:val="center"/>
            <w:hideMark/>
          </w:tcPr>
          <w:p w:rsidR="005259A2" w:rsidRPr="005259A2" w:rsidRDefault="005259A2" w:rsidP="005259A2">
            <w:pPr>
              <w:jc w:val="center"/>
              <w:rPr>
                <w:rFonts w:ascii="Lucida Bright" w:hAnsi="Lucida Bright" w:cs="Calibri"/>
                <w:b/>
                <w:bCs/>
                <w:color w:val="000000"/>
                <w:sz w:val="14"/>
                <w:szCs w:val="14"/>
                <w:lang w:val="es-ES"/>
              </w:rPr>
            </w:pPr>
            <w:r w:rsidRPr="005259A2">
              <w:rPr>
                <w:rFonts w:ascii="Lucida Bright" w:hAnsi="Lucida Bright" w:cs="Calibri"/>
                <w:b/>
                <w:bCs/>
                <w:color w:val="000000"/>
                <w:sz w:val="14"/>
                <w:szCs w:val="14"/>
                <w:lang w:val="es-ES"/>
              </w:rPr>
              <w:t>Importe exigible</w:t>
            </w:r>
          </w:p>
        </w:tc>
      </w:tr>
      <w:tr w:rsidR="005259A2" w:rsidRPr="005259A2" w:rsidTr="005259A2">
        <w:trPr>
          <w:trHeight w:val="300"/>
        </w:trPr>
        <w:tc>
          <w:tcPr>
            <w:tcW w:w="1320"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259A2" w:rsidRPr="005259A2" w:rsidRDefault="005259A2" w:rsidP="005259A2">
            <w:pPr>
              <w:jc w:val="center"/>
              <w:rPr>
                <w:rFonts w:ascii="Lucida Bright" w:hAnsi="Lucida Bright" w:cs="Calibri"/>
                <w:color w:val="000000"/>
                <w:sz w:val="18"/>
                <w:szCs w:val="18"/>
                <w:lang w:val="es-ES"/>
              </w:rPr>
            </w:pPr>
            <w:r w:rsidRPr="005259A2">
              <w:rPr>
                <w:rFonts w:ascii="Lucida Bright" w:hAnsi="Lucida Bright" w:cs="Calibri"/>
                <w:color w:val="000000"/>
                <w:sz w:val="18"/>
                <w:szCs w:val="18"/>
                <w:lang w:val="es-ES"/>
              </w:rPr>
              <w:t>2019</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5259A2" w:rsidRPr="005259A2" w:rsidRDefault="005259A2" w:rsidP="005259A2">
            <w:pPr>
              <w:jc w:val="right"/>
              <w:rPr>
                <w:rFonts w:ascii="Lucida Bright" w:hAnsi="Lucida Bright" w:cs="Calibri"/>
                <w:sz w:val="18"/>
                <w:szCs w:val="18"/>
                <w:lang w:val="es-ES"/>
              </w:rPr>
            </w:pPr>
            <w:r w:rsidRPr="005259A2">
              <w:rPr>
                <w:rFonts w:ascii="Lucida Bright" w:hAnsi="Lucida Bright" w:cs="Calibri"/>
                <w:sz w:val="18"/>
                <w:szCs w:val="18"/>
                <w:lang w:val="es-ES"/>
              </w:rPr>
              <w:t>2.022.000,00</w:t>
            </w:r>
          </w:p>
        </w:tc>
      </w:tr>
      <w:tr w:rsidR="005259A2" w:rsidRPr="005259A2" w:rsidTr="005259A2">
        <w:trPr>
          <w:trHeight w:val="300"/>
        </w:trPr>
        <w:tc>
          <w:tcPr>
            <w:tcW w:w="1320" w:type="dxa"/>
            <w:tcBorders>
              <w:top w:val="nil"/>
              <w:left w:val="single" w:sz="8" w:space="0" w:color="000000"/>
              <w:bottom w:val="single" w:sz="4" w:space="0" w:color="000000"/>
              <w:right w:val="single" w:sz="4" w:space="0" w:color="000000"/>
            </w:tcBorders>
            <w:shd w:val="clear" w:color="auto" w:fill="auto"/>
            <w:vAlign w:val="center"/>
            <w:hideMark/>
          </w:tcPr>
          <w:p w:rsidR="005259A2" w:rsidRPr="005259A2" w:rsidRDefault="005259A2" w:rsidP="005259A2">
            <w:pPr>
              <w:jc w:val="center"/>
              <w:rPr>
                <w:rFonts w:ascii="Lucida Bright" w:hAnsi="Lucida Bright" w:cs="Calibri"/>
                <w:color w:val="000000"/>
                <w:sz w:val="18"/>
                <w:szCs w:val="18"/>
                <w:lang w:val="es-ES"/>
              </w:rPr>
            </w:pPr>
            <w:r w:rsidRPr="005259A2">
              <w:rPr>
                <w:rFonts w:ascii="Lucida Bright" w:hAnsi="Lucida Bright" w:cs="Calibri"/>
                <w:color w:val="000000"/>
                <w:sz w:val="18"/>
                <w:szCs w:val="18"/>
                <w:lang w:val="es-ES"/>
              </w:rPr>
              <w:t>2020</w:t>
            </w:r>
          </w:p>
        </w:tc>
        <w:tc>
          <w:tcPr>
            <w:tcW w:w="1420" w:type="dxa"/>
            <w:tcBorders>
              <w:top w:val="nil"/>
              <w:left w:val="nil"/>
              <w:bottom w:val="single" w:sz="4" w:space="0" w:color="000000"/>
              <w:right w:val="single" w:sz="4" w:space="0" w:color="000000"/>
            </w:tcBorders>
            <w:shd w:val="clear" w:color="000000" w:fill="FFFFFF"/>
            <w:noWrap/>
            <w:vAlign w:val="center"/>
            <w:hideMark/>
          </w:tcPr>
          <w:p w:rsidR="005259A2" w:rsidRPr="005259A2" w:rsidRDefault="005259A2" w:rsidP="005259A2">
            <w:pPr>
              <w:jc w:val="right"/>
              <w:rPr>
                <w:rFonts w:ascii="Lucida Bright" w:hAnsi="Lucida Bright" w:cs="Calibri"/>
                <w:color w:val="000000"/>
                <w:sz w:val="18"/>
                <w:szCs w:val="18"/>
                <w:lang w:val="es-ES"/>
              </w:rPr>
            </w:pPr>
            <w:r w:rsidRPr="005259A2">
              <w:rPr>
                <w:rFonts w:ascii="Lucida Bright" w:hAnsi="Lucida Bright" w:cs="Calibri"/>
                <w:color w:val="000000"/>
                <w:sz w:val="18"/>
                <w:szCs w:val="18"/>
                <w:lang w:val="es-ES"/>
              </w:rPr>
              <w:t>3.069.000,00</w:t>
            </w:r>
          </w:p>
        </w:tc>
      </w:tr>
      <w:tr w:rsidR="005259A2" w:rsidRPr="005259A2" w:rsidTr="005259A2">
        <w:trPr>
          <w:trHeight w:val="300"/>
        </w:trPr>
        <w:tc>
          <w:tcPr>
            <w:tcW w:w="1320" w:type="dxa"/>
            <w:tcBorders>
              <w:top w:val="nil"/>
              <w:left w:val="single" w:sz="8" w:space="0" w:color="000000"/>
              <w:bottom w:val="nil"/>
              <w:right w:val="single" w:sz="4" w:space="0" w:color="000000"/>
            </w:tcBorders>
            <w:shd w:val="clear" w:color="auto" w:fill="auto"/>
            <w:vAlign w:val="center"/>
            <w:hideMark/>
          </w:tcPr>
          <w:p w:rsidR="005259A2" w:rsidRPr="005259A2" w:rsidRDefault="005259A2" w:rsidP="005259A2">
            <w:pPr>
              <w:jc w:val="center"/>
              <w:rPr>
                <w:rFonts w:ascii="Lucida Bright" w:hAnsi="Lucida Bright" w:cs="Calibri"/>
                <w:color w:val="000000"/>
                <w:sz w:val="18"/>
                <w:szCs w:val="18"/>
                <w:lang w:val="es-ES"/>
              </w:rPr>
            </w:pPr>
            <w:r w:rsidRPr="005259A2">
              <w:rPr>
                <w:rFonts w:ascii="Lucida Bright" w:hAnsi="Lucida Bright" w:cs="Calibri"/>
                <w:color w:val="000000"/>
                <w:sz w:val="18"/>
                <w:szCs w:val="18"/>
                <w:lang w:val="es-ES"/>
              </w:rPr>
              <w:t>2021</w:t>
            </w:r>
          </w:p>
        </w:tc>
        <w:tc>
          <w:tcPr>
            <w:tcW w:w="1420" w:type="dxa"/>
            <w:tcBorders>
              <w:top w:val="nil"/>
              <w:left w:val="nil"/>
              <w:bottom w:val="nil"/>
              <w:right w:val="single" w:sz="4" w:space="0" w:color="000000"/>
            </w:tcBorders>
            <w:shd w:val="clear" w:color="000000" w:fill="FFFFFF"/>
            <w:noWrap/>
            <w:vAlign w:val="center"/>
            <w:hideMark/>
          </w:tcPr>
          <w:p w:rsidR="005259A2" w:rsidRPr="005259A2" w:rsidRDefault="005259A2" w:rsidP="005259A2">
            <w:pPr>
              <w:jc w:val="right"/>
              <w:rPr>
                <w:rFonts w:ascii="Lucida Bright" w:hAnsi="Lucida Bright" w:cs="Calibri"/>
                <w:color w:val="000000"/>
                <w:sz w:val="18"/>
                <w:szCs w:val="18"/>
                <w:lang w:val="es-ES"/>
              </w:rPr>
            </w:pPr>
            <w:r w:rsidRPr="005259A2">
              <w:rPr>
                <w:rFonts w:ascii="Lucida Bright" w:hAnsi="Lucida Bright" w:cs="Calibri"/>
                <w:color w:val="000000"/>
                <w:sz w:val="18"/>
                <w:szCs w:val="18"/>
                <w:lang w:val="es-ES"/>
              </w:rPr>
              <w:t>2.381.000,00</w:t>
            </w:r>
          </w:p>
        </w:tc>
      </w:tr>
      <w:tr w:rsidR="005259A2" w:rsidRPr="005259A2" w:rsidTr="005259A2">
        <w:trPr>
          <w:trHeight w:val="300"/>
        </w:trPr>
        <w:tc>
          <w:tcPr>
            <w:tcW w:w="1320" w:type="dxa"/>
            <w:tcBorders>
              <w:top w:val="single" w:sz="4" w:space="0" w:color="000000"/>
              <w:left w:val="single" w:sz="8" w:space="0" w:color="000000"/>
              <w:bottom w:val="nil"/>
              <w:right w:val="single" w:sz="4" w:space="0" w:color="000000"/>
            </w:tcBorders>
            <w:shd w:val="clear" w:color="auto" w:fill="auto"/>
            <w:vAlign w:val="center"/>
            <w:hideMark/>
          </w:tcPr>
          <w:p w:rsidR="005259A2" w:rsidRPr="005259A2" w:rsidRDefault="005259A2" w:rsidP="005259A2">
            <w:pPr>
              <w:jc w:val="center"/>
              <w:rPr>
                <w:rFonts w:ascii="Lucida Bright" w:hAnsi="Lucida Bright" w:cs="Calibri"/>
                <w:color w:val="000000"/>
                <w:sz w:val="18"/>
                <w:szCs w:val="18"/>
                <w:lang w:val="es-ES"/>
              </w:rPr>
            </w:pPr>
            <w:r w:rsidRPr="005259A2">
              <w:rPr>
                <w:rFonts w:ascii="Lucida Bright" w:hAnsi="Lucida Bright" w:cs="Calibri"/>
                <w:color w:val="000000"/>
                <w:sz w:val="18"/>
                <w:szCs w:val="18"/>
                <w:lang w:val="es-ES"/>
              </w:rPr>
              <w:t>2022</w:t>
            </w:r>
          </w:p>
        </w:tc>
        <w:tc>
          <w:tcPr>
            <w:tcW w:w="1420" w:type="dxa"/>
            <w:tcBorders>
              <w:top w:val="single" w:sz="4" w:space="0" w:color="000000"/>
              <w:left w:val="nil"/>
              <w:bottom w:val="nil"/>
              <w:right w:val="single" w:sz="8" w:space="0" w:color="000000"/>
            </w:tcBorders>
            <w:shd w:val="clear" w:color="000000" w:fill="FFFFFF"/>
            <w:noWrap/>
            <w:vAlign w:val="center"/>
            <w:hideMark/>
          </w:tcPr>
          <w:p w:rsidR="005259A2" w:rsidRPr="005259A2" w:rsidRDefault="005259A2" w:rsidP="005259A2">
            <w:pPr>
              <w:jc w:val="right"/>
              <w:rPr>
                <w:rFonts w:ascii="Lucida Bright" w:hAnsi="Lucida Bright" w:cs="Calibri"/>
                <w:color w:val="000000"/>
                <w:sz w:val="18"/>
                <w:szCs w:val="18"/>
                <w:lang w:val="es-ES"/>
              </w:rPr>
            </w:pPr>
            <w:r w:rsidRPr="005259A2">
              <w:rPr>
                <w:rFonts w:ascii="Lucida Bright" w:hAnsi="Lucida Bright" w:cs="Calibri"/>
                <w:color w:val="000000"/>
                <w:sz w:val="18"/>
                <w:szCs w:val="18"/>
                <w:lang w:val="es-ES"/>
              </w:rPr>
              <w:t>2.671.000,00</w:t>
            </w:r>
          </w:p>
        </w:tc>
      </w:tr>
      <w:tr w:rsidR="005259A2" w:rsidRPr="005259A2" w:rsidTr="005259A2">
        <w:trPr>
          <w:trHeight w:val="300"/>
        </w:trPr>
        <w:tc>
          <w:tcPr>
            <w:tcW w:w="1320"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rsidR="005259A2" w:rsidRPr="005259A2" w:rsidRDefault="005259A2" w:rsidP="005259A2">
            <w:pPr>
              <w:jc w:val="center"/>
              <w:rPr>
                <w:rFonts w:ascii="Lucida Bright" w:hAnsi="Lucida Bright" w:cs="Calibri"/>
                <w:color w:val="000000"/>
                <w:sz w:val="18"/>
                <w:szCs w:val="18"/>
                <w:lang w:val="es-ES"/>
              </w:rPr>
            </w:pPr>
            <w:r w:rsidRPr="005259A2">
              <w:rPr>
                <w:rFonts w:ascii="Lucida Bright" w:hAnsi="Lucida Bright" w:cs="Calibri"/>
                <w:color w:val="000000"/>
                <w:sz w:val="18"/>
                <w:szCs w:val="18"/>
                <w:lang w:val="es-ES"/>
              </w:rPr>
              <w:t>2023</w:t>
            </w:r>
          </w:p>
        </w:tc>
        <w:tc>
          <w:tcPr>
            <w:tcW w:w="1420" w:type="dxa"/>
            <w:tcBorders>
              <w:top w:val="single" w:sz="4" w:space="0" w:color="000000"/>
              <w:left w:val="nil"/>
              <w:bottom w:val="single" w:sz="8" w:space="0" w:color="000000"/>
              <w:right w:val="single" w:sz="8" w:space="0" w:color="000000"/>
            </w:tcBorders>
            <w:shd w:val="clear" w:color="000000" w:fill="FFFFFF"/>
            <w:noWrap/>
            <w:vAlign w:val="center"/>
            <w:hideMark/>
          </w:tcPr>
          <w:p w:rsidR="005259A2" w:rsidRPr="005259A2" w:rsidRDefault="005259A2" w:rsidP="005259A2">
            <w:pPr>
              <w:jc w:val="right"/>
              <w:rPr>
                <w:rFonts w:ascii="Lucida Bright" w:hAnsi="Lucida Bright" w:cs="Calibri"/>
                <w:color w:val="000000"/>
                <w:sz w:val="18"/>
                <w:szCs w:val="18"/>
                <w:lang w:val="es-ES"/>
              </w:rPr>
            </w:pPr>
            <w:r w:rsidRPr="005259A2">
              <w:rPr>
                <w:rFonts w:ascii="Lucida Bright" w:hAnsi="Lucida Bright" w:cs="Calibri"/>
                <w:color w:val="000000"/>
                <w:sz w:val="18"/>
                <w:szCs w:val="18"/>
                <w:lang w:val="es-ES"/>
              </w:rPr>
              <w:t>3.959.000,00</w:t>
            </w:r>
          </w:p>
        </w:tc>
      </w:tr>
      <w:tr w:rsidR="005259A2" w:rsidRPr="005259A2" w:rsidTr="005259A2">
        <w:trPr>
          <w:trHeight w:val="30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5259A2" w:rsidRPr="005259A2" w:rsidRDefault="005259A2" w:rsidP="005259A2">
            <w:pPr>
              <w:ind w:firstLineChars="200" w:firstLine="361"/>
              <w:jc w:val="right"/>
              <w:rPr>
                <w:rFonts w:ascii="Lucida Bright" w:hAnsi="Lucida Bright" w:cs="Calibri"/>
                <w:b/>
                <w:bCs/>
                <w:color w:val="000000"/>
                <w:sz w:val="18"/>
                <w:szCs w:val="18"/>
                <w:lang w:val="es-ES"/>
              </w:rPr>
            </w:pPr>
            <w:r w:rsidRPr="005259A2">
              <w:rPr>
                <w:rFonts w:ascii="Lucida Bright" w:hAnsi="Lucida Bright" w:cs="Calibri"/>
                <w:b/>
                <w:bCs/>
                <w:color w:val="000000"/>
                <w:sz w:val="18"/>
                <w:szCs w:val="18"/>
                <w:lang w:val="es-ES"/>
              </w:rPr>
              <w:t>TOTAL</w:t>
            </w:r>
          </w:p>
        </w:tc>
        <w:tc>
          <w:tcPr>
            <w:tcW w:w="1420" w:type="dxa"/>
            <w:tcBorders>
              <w:top w:val="nil"/>
              <w:left w:val="nil"/>
              <w:bottom w:val="single" w:sz="8" w:space="0" w:color="000000"/>
              <w:right w:val="single" w:sz="8" w:space="0" w:color="000000"/>
            </w:tcBorders>
            <w:shd w:val="clear" w:color="auto" w:fill="auto"/>
            <w:noWrap/>
            <w:vAlign w:val="center"/>
            <w:hideMark/>
          </w:tcPr>
          <w:p w:rsidR="005259A2" w:rsidRPr="005259A2" w:rsidRDefault="005259A2" w:rsidP="005259A2">
            <w:pPr>
              <w:jc w:val="right"/>
              <w:rPr>
                <w:rFonts w:ascii="Lucida Bright" w:hAnsi="Lucida Bright" w:cs="Calibri"/>
                <w:b/>
                <w:bCs/>
                <w:color w:val="000000"/>
                <w:sz w:val="18"/>
                <w:szCs w:val="18"/>
                <w:lang w:val="es-ES"/>
              </w:rPr>
            </w:pPr>
            <w:r w:rsidRPr="005259A2">
              <w:rPr>
                <w:rFonts w:ascii="Lucida Bright" w:hAnsi="Lucida Bright" w:cs="Calibri"/>
                <w:b/>
                <w:bCs/>
                <w:color w:val="000000"/>
                <w:sz w:val="18"/>
                <w:szCs w:val="18"/>
                <w:lang w:val="es-ES"/>
              </w:rPr>
              <w:t>14.102.000,00</w:t>
            </w:r>
          </w:p>
        </w:tc>
      </w:tr>
    </w:tbl>
    <w:p w:rsidR="00C859FC" w:rsidRDefault="00C859FC" w:rsidP="00C76C72">
      <w:pPr>
        <w:tabs>
          <w:tab w:val="right" w:pos="8364"/>
        </w:tabs>
        <w:ind w:firstLine="567"/>
        <w:jc w:val="both"/>
        <w:rPr>
          <w:rFonts w:ascii="NewBaskerville" w:hAnsi="NewBaskerville"/>
        </w:rPr>
      </w:pPr>
    </w:p>
    <w:p w:rsidR="00C859FC" w:rsidRPr="00C76C72" w:rsidRDefault="00C859FC" w:rsidP="00C76C72">
      <w:pPr>
        <w:tabs>
          <w:tab w:val="right" w:pos="8364"/>
        </w:tabs>
        <w:ind w:firstLine="567"/>
        <w:jc w:val="both"/>
        <w:rPr>
          <w:rFonts w:ascii="NewBaskerville" w:hAnsi="NewBaskerville"/>
        </w:rPr>
      </w:pPr>
    </w:p>
    <w:p w:rsidR="00CE0C43" w:rsidRDefault="00423F10" w:rsidP="008E3490">
      <w:pPr>
        <w:tabs>
          <w:tab w:val="right" w:pos="8364"/>
        </w:tabs>
        <w:ind w:firstLine="567"/>
        <w:jc w:val="both"/>
        <w:rPr>
          <w:rFonts w:ascii="NewBaskerville" w:hAnsi="NewBaskerville"/>
        </w:rPr>
      </w:pPr>
      <w:r>
        <w:rPr>
          <w:rFonts w:ascii="NewBaskerville" w:hAnsi="NewBaskerville"/>
        </w:rPr>
        <w:t>Cabe indic</w:t>
      </w:r>
      <w:r w:rsidR="005259A2">
        <w:rPr>
          <w:rFonts w:ascii="NewBaskerville" w:hAnsi="NewBaskerville"/>
        </w:rPr>
        <w:t>ar que en el presupuesto de 2024</w:t>
      </w:r>
      <w:r>
        <w:rPr>
          <w:rFonts w:ascii="NewBaskerville" w:hAnsi="NewBaskerville"/>
        </w:rPr>
        <w:t xml:space="preserve"> del FFATP no está prevista la exigencia de nuevos desembolsos de aportaciones obligatorias en dicho ejercicio.</w:t>
      </w:r>
    </w:p>
    <w:p w:rsidR="00DA63BB" w:rsidRDefault="00DA63BB" w:rsidP="008E3490">
      <w:pPr>
        <w:tabs>
          <w:tab w:val="right" w:pos="8364"/>
        </w:tabs>
        <w:ind w:firstLine="567"/>
        <w:jc w:val="both"/>
        <w:rPr>
          <w:rFonts w:ascii="NewBaskerville" w:hAnsi="NewBaskerville"/>
        </w:rPr>
      </w:pPr>
    </w:p>
    <w:p w:rsidR="00DA63BB" w:rsidRDefault="00DA63BB" w:rsidP="008E3490">
      <w:pPr>
        <w:tabs>
          <w:tab w:val="right" w:pos="8364"/>
        </w:tabs>
        <w:ind w:firstLine="567"/>
        <w:jc w:val="both"/>
        <w:rPr>
          <w:rFonts w:ascii="NewBaskerville" w:hAnsi="NewBaskerville"/>
        </w:rPr>
      </w:pPr>
    </w:p>
    <w:p w:rsidR="00DA63BB" w:rsidRDefault="00DA63BB" w:rsidP="008E3490">
      <w:pPr>
        <w:tabs>
          <w:tab w:val="right" w:pos="8364"/>
        </w:tabs>
        <w:ind w:firstLine="567"/>
        <w:jc w:val="both"/>
        <w:rPr>
          <w:rFonts w:ascii="NewBaskerville" w:hAnsi="NewBaskerville"/>
        </w:rPr>
      </w:pPr>
    </w:p>
    <w:p w:rsidR="000337F0" w:rsidRDefault="000337F0" w:rsidP="008E3490">
      <w:pPr>
        <w:tabs>
          <w:tab w:val="right" w:pos="8364"/>
        </w:tabs>
        <w:ind w:firstLine="567"/>
        <w:jc w:val="both"/>
        <w:rPr>
          <w:rFonts w:ascii="NewBaskerville" w:hAnsi="NewBaskerville"/>
        </w:rPr>
        <w:sectPr w:rsidR="000337F0" w:rsidSect="00790C4F">
          <w:pgSz w:w="11907" w:h="16840" w:code="9"/>
          <w:pgMar w:top="1701" w:right="1418" w:bottom="1701" w:left="1985" w:header="567" w:footer="720" w:gutter="0"/>
          <w:cols w:space="720"/>
          <w:docGrid w:linePitch="272"/>
        </w:sectPr>
      </w:pPr>
    </w:p>
    <w:p w:rsidR="00DA63BB" w:rsidRDefault="00DA63BB" w:rsidP="008E3490">
      <w:pPr>
        <w:tabs>
          <w:tab w:val="right" w:pos="8364"/>
        </w:tabs>
        <w:ind w:firstLine="567"/>
        <w:jc w:val="both"/>
        <w:rPr>
          <w:rFonts w:ascii="NewBaskerville" w:hAnsi="NewBaskerville"/>
        </w:rPr>
      </w:pPr>
    </w:p>
    <w:p w:rsidR="009B466D" w:rsidRDefault="009B466D" w:rsidP="008E3490">
      <w:pPr>
        <w:tabs>
          <w:tab w:val="right" w:pos="8364"/>
        </w:tabs>
        <w:ind w:firstLine="567"/>
        <w:jc w:val="both"/>
        <w:rPr>
          <w:rFonts w:ascii="NewBaskerville" w:hAnsi="NewBaskerville"/>
        </w:rPr>
      </w:pPr>
    </w:p>
    <w:p w:rsidR="009B466D" w:rsidRDefault="009B466D" w:rsidP="008E3490">
      <w:pPr>
        <w:tabs>
          <w:tab w:val="right" w:pos="8364"/>
        </w:tabs>
        <w:ind w:firstLine="567"/>
        <w:jc w:val="both"/>
        <w:rPr>
          <w:rFonts w:ascii="NewBaskerville" w:hAnsi="NewBaskerville"/>
        </w:rPr>
      </w:pPr>
    </w:p>
    <w:p w:rsidR="009B466D" w:rsidRDefault="009B466D" w:rsidP="008E3490">
      <w:pPr>
        <w:tabs>
          <w:tab w:val="right" w:pos="8364"/>
        </w:tabs>
        <w:ind w:firstLine="567"/>
        <w:jc w:val="both"/>
        <w:rPr>
          <w:rFonts w:ascii="NewBaskerville" w:hAnsi="NewBaskerville"/>
        </w:rPr>
      </w:pPr>
    </w:p>
    <w:tbl>
      <w:tblPr>
        <w:tblW w:w="13040" w:type="dxa"/>
        <w:tblInd w:w="70" w:type="dxa"/>
        <w:tblCellMar>
          <w:left w:w="70" w:type="dxa"/>
          <w:right w:w="70" w:type="dxa"/>
        </w:tblCellMar>
        <w:tblLook w:val="04A0" w:firstRow="1" w:lastRow="0" w:firstColumn="1" w:lastColumn="0" w:noHBand="0" w:noVBand="1"/>
      </w:tblPr>
      <w:tblGrid>
        <w:gridCol w:w="3729"/>
        <w:gridCol w:w="1120"/>
        <w:gridCol w:w="959"/>
        <w:gridCol w:w="955"/>
        <w:gridCol w:w="1020"/>
        <w:gridCol w:w="1178"/>
        <w:gridCol w:w="1069"/>
        <w:gridCol w:w="1036"/>
        <w:gridCol w:w="1036"/>
        <w:gridCol w:w="1136"/>
      </w:tblGrid>
      <w:tr w:rsidR="009B466D" w:rsidRPr="009B466D" w:rsidTr="009B466D">
        <w:trPr>
          <w:trHeight w:val="300"/>
        </w:trPr>
        <w:tc>
          <w:tcPr>
            <w:tcW w:w="8796" w:type="dxa"/>
            <w:gridSpan w:val="6"/>
            <w:tcBorders>
              <w:top w:val="nil"/>
              <w:left w:val="nil"/>
              <w:bottom w:val="single" w:sz="4" w:space="0" w:color="auto"/>
              <w:right w:val="nil"/>
            </w:tcBorders>
            <w:shd w:val="clear" w:color="auto" w:fill="auto"/>
            <w:noWrap/>
            <w:vAlign w:val="bottom"/>
            <w:hideMark/>
          </w:tcPr>
          <w:p w:rsidR="009B466D" w:rsidRPr="009B466D" w:rsidRDefault="009B466D" w:rsidP="009B466D">
            <w:pPr>
              <w:jc w:val="center"/>
              <w:rPr>
                <w:rFonts w:ascii="Lucida Bright" w:hAnsi="Lucida Bright" w:cs="Calibri"/>
                <w:b/>
                <w:bCs/>
                <w:sz w:val="18"/>
                <w:szCs w:val="18"/>
                <w:lang w:val="es-ES"/>
              </w:rPr>
            </w:pPr>
            <w:r w:rsidRPr="009B466D">
              <w:rPr>
                <w:rFonts w:ascii="Lucida Bright" w:hAnsi="Lucida Bright" w:cs="Calibri"/>
                <w:b/>
                <w:bCs/>
                <w:sz w:val="18"/>
                <w:szCs w:val="18"/>
                <w:lang w:val="es-ES"/>
              </w:rPr>
              <w:t>CUADRO: INVERSIONES EN EMPRESAS DEL GRUPO Y ASOCIADAS A LARGO PLAZO 2023</w:t>
            </w:r>
          </w:p>
        </w:tc>
        <w:tc>
          <w:tcPr>
            <w:tcW w:w="1036" w:type="dxa"/>
            <w:tcBorders>
              <w:top w:val="nil"/>
              <w:left w:val="nil"/>
              <w:bottom w:val="nil"/>
              <w:right w:val="nil"/>
            </w:tcBorders>
            <w:shd w:val="clear" w:color="000000" w:fill="FFFFFF"/>
            <w:noWrap/>
            <w:vAlign w:val="center"/>
            <w:hideMark/>
          </w:tcPr>
          <w:p w:rsidR="009B466D" w:rsidRPr="009B466D" w:rsidRDefault="009B466D" w:rsidP="009B466D">
            <w:pPr>
              <w:rPr>
                <w:rFonts w:ascii="Tahoma" w:hAnsi="Tahoma" w:cs="Tahoma"/>
                <w:lang w:val="es-ES"/>
              </w:rPr>
            </w:pPr>
            <w:r w:rsidRPr="009B466D">
              <w:rPr>
                <w:rFonts w:ascii="Tahoma" w:hAnsi="Tahoma" w:cs="Tahoma"/>
                <w:lang w:val="es-ES"/>
              </w:rPr>
              <w:t> </w:t>
            </w:r>
          </w:p>
        </w:tc>
        <w:tc>
          <w:tcPr>
            <w:tcW w:w="1036" w:type="dxa"/>
            <w:tcBorders>
              <w:top w:val="nil"/>
              <w:left w:val="nil"/>
              <w:bottom w:val="nil"/>
              <w:right w:val="nil"/>
            </w:tcBorders>
            <w:shd w:val="clear" w:color="000000" w:fill="FFFFFF"/>
            <w:noWrap/>
            <w:vAlign w:val="bottom"/>
            <w:hideMark/>
          </w:tcPr>
          <w:p w:rsidR="009B466D" w:rsidRPr="009B466D" w:rsidRDefault="009B466D" w:rsidP="009B466D">
            <w:pPr>
              <w:rPr>
                <w:rFonts w:ascii="Lucida Bright" w:hAnsi="Lucida Bright" w:cs="Calibri"/>
                <w:sz w:val="14"/>
                <w:szCs w:val="14"/>
                <w:lang w:val="es-ES"/>
              </w:rPr>
            </w:pPr>
            <w:r w:rsidRPr="009B466D">
              <w:rPr>
                <w:rFonts w:ascii="Lucida Bright" w:hAnsi="Lucida Bright" w:cs="Calibri"/>
                <w:sz w:val="14"/>
                <w:szCs w:val="14"/>
                <w:lang w:val="es-ES"/>
              </w:rPr>
              <w:t>(en euros)</w:t>
            </w:r>
          </w:p>
        </w:tc>
        <w:tc>
          <w:tcPr>
            <w:tcW w:w="1036" w:type="dxa"/>
            <w:tcBorders>
              <w:top w:val="nil"/>
              <w:left w:val="nil"/>
              <w:bottom w:val="nil"/>
              <w:right w:val="nil"/>
            </w:tcBorders>
            <w:shd w:val="clear" w:color="000000" w:fill="FFFFFF"/>
            <w:noWrap/>
            <w:vAlign w:val="center"/>
            <w:hideMark/>
          </w:tcPr>
          <w:p w:rsidR="009B466D" w:rsidRPr="009B466D" w:rsidRDefault="009B466D" w:rsidP="009B466D">
            <w:pPr>
              <w:rPr>
                <w:rFonts w:ascii="Tahoma" w:hAnsi="Tahoma" w:cs="Tahoma"/>
                <w:lang w:val="es-ES"/>
              </w:rPr>
            </w:pPr>
            <w:r w:rsidRPr="009B466D">
              <w:rPr>
                <w:rFonts w:ascii="Tahoma" w:hAnsi="Tahoma" w:cs="Tahoma"/>
                <w:lang w:val="es-ES"/>
              </w:rPr>
              <w:t> </w:t>
            </w:r>
          </w:p>
        </w:tc>
        <w:tc>
          <w:tcPr>
            <w:tcW w:w="1136" w:type="dxa"/>
            <w:tcBorders>
              <w:top w:val="nil"/>
              <w:left w:val="nil"/>
              <w:bottom w:val="nil"/>
              <w:right w:val="nil"/>
            </w:tcBorders>
            <w:shd w:val="clear" w:color="000000" w:fill="FFFFFF"/>
            <w:noWrap/>
            <w:vAlign w:val="center"/>
            <w:hideMark/>
          </w:tcPr>
          <w:p w:rsidR="009B466D" w:rsidRPr="009B466D" w:rsidRDefault="009B466D" w:rsidP="009B466D">
            <w:pPr>
              <w:rPr>
                <w:rFonts w:ascii="Tahoma" w:hAnsi="Tahoma" w:cs="Tahoma"/>
                <w:lang w:val="es-ES"/>
              </w:rPr>
            </w:pPr>
            <w:r w:rsidRPr="009B466D">
              <w:rPr>
                <w:rFonts w:ascii="Tahoma" w:hAnsi="Tahoma" w:cs="Tahoma"/>
                <w:lang w:val="es-ES"/>
              </w:rPr>
              <w:t> </w:t>
            </w:r>
          </w:p>
        </w:tc>
      </w:tr>
      <w:tr w:rsidR="009B466D" w:rsidRPr="009B466D" w:rsidTr="009B466D">
        <w:trPr>
          <w:trHeight w:val="735"/>
        </w:trPr>
        <w:tc>
          <w:tcPr>
            <w:tcW w:w="3729" w:type="dxa"/>
            <w:tcBorders>
              <w:top w:val="single" w:sz="4" w:space="0" w:color="auto"/>
              <w:left w:val="single" w:sz="4" w:space="0" w:color="auto"/>
              <w:bottom w:val="single" w:sz="4" w:space="0" w:color="auto"/>
              <w:right w:val="single" w:sz="4" w:space="0" w:color="000000"/>
            </w:tcBorders>
            <w:shd w:val="clear" w:color="000000" w:fill="CCFFCC"/>
            <w:vAlign w:val="center"/>
            <w:hideMark/>
          </w:tcPr>
          <w:p w:rsidR="009B466D" w:rsidRPr="009B466D" w:rsidRDefault="009B466D" w:rsidP="009B466D">
            <w:pPr>
              <w:jc w:val="center"/>
              <w:rPr>
                <w:rFonts w:ascii="Lucida Bright" w:hAnsi="Lucida Bright" w:cs="Calibri"/>
                <w:b/>
                <w:bCs/>
                <w:sz w:val="14"/>
                <w:szCs w:val="14"/>
                <w:lang w:val="es-ES"/>
              </w:rPr>
            </w:pPr>
            <w:r w:rsidRPr="009B466D">
              <w:rPr>
                <w:rFonts w:ascii="Lucida Bright" w:hAnsi="Lucida Bright" w:cs="Calibri"/>
                <w:b/>
                <w:bCs/>
                <w:sz w:val="14"/>
                <w:szCs w:val="14"/>
                <w:lang w:val="es-ES"/>
              </w:rPr>
              <w:t>INVERSIONES EN EMPRESAS DEL GRUPO</w:t>
            </w:r>
            <w:r w:rsidRPr="009B466D">
              <w:rPr>
                <w:rFonts w:ascii="Lucida Bright" w:hAnsi="Lucida Bright" w:cs="Calibri"/>
                <w:b/>
                <w:bCs/>
                <w:sz w:val="14"/>
                <w:szCs w:val="14"/>
                <w:lang w:val="es-ES"/>
              </w:rPr>
              <w:br/>
              <w:t>Y ASOCIADAS A LARGO PLAZO</w:t>
            </w:r>
          </w:p>
        </w:tc>
        <w:tc>
          <w:tcPr>
            <w:tcW w:w="1120" w:type="dxa"/>
            <w:tcBorders>
              <w:top w:val="nil"/>
              <w:left w:val="nil"/>
              <w:bottom w:val="single" w:sz="4" w:space="0" w:color="auto"/>
              <w:right w:val="single" w:sz="4" w:space="0" w:color="auto"/>
            </w:tcBorders>
            <w:shd w:val="clear" w:color="000000" w:fill="CCFFCC"/>
            <w:vAlign w:val="center"/>
            <w:hideMark/>
          </w:tcPr>
          <w:p w:rsidR="009B466D" w:rsidRPr="009B466D" w:rsidRDefault="009B466D" w:rsidP="009B466D">
            <w:pPr>
              <w:jc w:val="center"/>
              <w:rPr>
                <w:rFonts w:ascii="Lucida Bright" w:hAnsi="Lucida Bright" w:cs="Calibri"/>
                <w:sz w:val="14"/>
                <w:szCs w:val="14"/>
                <w:lang w:val="es-ES"/>
              </w:rPr>
            </w:pPr>
            <w:r w:rsidRPr="009B466D">
              <w:rPr>
                <w:rFonts w:ascii="Lucida Bright" w:hAnsi="Lucida Bright" w:cs="Calibri"/>
                <w:sz w:val="14"/>
                <w:szCs w:val="14"/>
                <w:lang w:val="es-ES"/>
              </w:rPr>
              <w:t>Saldo a</w:t>
            </w:r>
            <w:r w:rsidRPr="009B466D">
              <w:rPr>
                <w:rFonts w:ascii="Lucida Bright" w:hAnsi="Lucida Bright" w:cs="Calibri"/>
                <w:sz w:val="14"/>
                <w:szCs w:val="14"/>
                <w:lang w:val="es-ES"/>
              </w:rPr>
              <w:br/>
              <w:t>31-12-22</w:t>
            </w:r>
          </w:p>
        </w:tc>
        <w:tc>
          <w:tcPr>
            <w:tcW w:w="959" w:type="dxa"/>
            <w:tcBorders>
              <w:top w:val="nil"/>
              <w:left w:val="nil"/>
              <w:bottom w:val="nil"/>
              <w:right w:val="nil"/>
            </w:tcBorders>
            <w:shd w:val="clear" w:color="000000" w:fill="CCFFCC"/>
            <w:vAlign w:val="center"/>
            <w:hideMark/>
          </w:tcPr>
          <w:p w:rsidR="009B466D" w:rsidRPr="009B466D" w:rsidRDefault="009B466D" w:rsidP="009B466D">
            <w:pPr>
              <w:jc w:val="center"/>
              <w:rPr>
                <w:rFonts w:ascii="Lucida Bright" w:hAnsi="Lucida Bright" w:cs="Calibri"/>
                <w:sz w:val="14"/>
                <w:szCs w:val="14"/>
                <w:lang w:val="es-ES"/>
              </w:rPr>
            </w:pPr>
            <w:r w:rsidRPr="009B466D">
              <w:rPr>
                <w:rFonts w:ascii="Lucida Bright" w:hAnsi="Lucida Bright" w:cs="Calibri"/>
                <w:sz w:val="14"/>
                <w:szCs w:val="14"/>
                <w:lang w:val="es-ES"/>
              </w:rPr>
              <w:t>Adiciones del ejercicio (+)</w:t>
            </w:r>
          </w:p>
        </w:tc>
        <w:tc>
          <w:tcPr>
            <w:tcW w:w="920" w:type="dxa"/>
            <w:tcBorders>
              <w:top w:val="nil"/>
              <w:left w:val="single" w:sz="4" w:space="0" w:color="auto"/>
              <w:bottom w:val="nil"/>
              <w:right w:val="single" w:sz="4" w:space="0" w:color="auto"/>
            </w:tcBorders>
            <w:shd w:val="clear" w:color="000000" w:fill="CCFFCC"/>
            <w:vAlign w:val="center"/>
            <w:hideMark/>
          </w:tcPr>
          <w:p w:rsidR="009B466D" w:rsidRPr="009B466D" w:rsidRDefault="009B466D" w:rsidP="009B466D">
            <w:pPr>
              <w:jc w:val="center"/>
              <w:rPr>
                <w:rFonts w:ascii="Lucida Bright" w:hAnsi="Lucida Bright" w:cs="Calibri"/>
                <w:sz w:val="14"/>
                <w:szCs w:val="14"/>
                <w:lang w:val="es-ES"/>
              </w:rPr>
            </w:pPr>
            <w:r w:rsidRPr="009B466D">
              <w:rPr>
                <w:rFonts w:ascii="Lucida Bright" w:hAnsi="Lucida Bright" w:cs="Calibri"/>
                <w:sz w:val="14"/>
                <w:szCs w:val="14"/>
                <w:lang w:val="es-ES"/>
              </w:rPr>
              <w:t>Cancelación anticipada (-)</w:t>
            </w:r>
          </w:p>
        </w:tc>
        <w:tc>
          <w:tcPr>
            <w:tcW w:w="1020" w:type="dxa"/>
            <w:tcBorders>
              <w:top w:val="nil"/>
              <w:left w:val="nil"/>
              <w:bottom w:val="nil"/>
              <w:right w:val="nil"/>
            </w:tcBorders>
            <w:shd w:val="clear" w:color="000000" w:fill="CCFFCC"/>
            <w:vAlign w:val="center"/>
            <w:hideMark/>
          </w:tcPr>
          <w:p w:rsidR="009B466D" w:rsidRPr="009B466D" w:rsidRDefault="009B466D" w:rsidP="009B466D">
            <w:pPr>
              <w:jc w:val="center"/>
              <w:rPr>
                <w:rFonts w:ascii="Lucida Bright" w:hAnsi="Lucida Bright" w:cs="Calibri"/>
                <w:sz w:val="14"/>
                <w:szCs w:val="14"/>
                <w:lang w:val="es-ES"/>
              </w:rPr>
            </w:pPr>
            <w:r w:rsidRPr="009B466D">
              <w:rPr>
                <w:rFonts w:ascii="Lucida Bright" w:hAnsi="Lucida Bright" w:cs="Calibri"/>
                <w:sz w:val="14"/>
                <w:szCs w:val="14"/>
                <w:lang w:val="es-ES"/>
              </w:rPr>
              <w:t>Traspasos a corto plazo (-)</w:t>
            </w:r>
          </w:p>
        </w:tc>
        <w:tc>
          <w:tcPr>
            <w:tcW w:w="1048" w:type="dxa"/>
            <w:tcBorders>
              <w:top w:val="nil"/>
              <w:left w:val="single" w:sz="4" w:space="0" w:color="auto"/>
              <w:bottom w:val="single" w:sz="4" w:space="0" w:color="auto"/>
              <w:right w:val="single" w:sz="4" w:space="0" w:color="auto"/>
            </w:tcBorders>
            <w:shd w:val="clear" w:color="000000" w:fill="CCFFCC"/>
            <w:vAlign w:val="center"/>
            <w:hideMark/>
          </w:tcPr>
          <w:p w:rsidR="009B466D" w:rsidRPr="009B466D" w:rsidRDefault="009B466D" w:rsidP="009B466D">
            <w:pPr>
              <w:jc w:val="center"/>
              <w:rPr>
                <w:rFonts w:ascii="Lucida Bright" w:hAnsi="Lucida Bright" w:cs="Calibri"/>
                <w:sz w:val="14"/>
                <w:szCs w:val="14"/>
                <w:lang w:val="es-ES"/>
              </w:rPr>
            </w:pPr>
            <w:r w:rsidRPr="009B466D">
              <w:rPr>
                <w:rFonts w:ascii="Lucida Bright" w:hAnsi="Lucida Bright" w:cs="Calibri"/>
                <w:sz w:val="14"/>
                <w:szCs w:val="14"/>
                <w:lang w:val="es-ES"/>
              </w:rPr>
              <w:t>Enajenación de participaciones y otras (-)</w:t>
            </w:r>
          </w:p>
        </w:tc>
        <w:tc>
          <w:tcPr>
            <w:tcW w:w="1036" w:type="dxa"/>
            <w:tcBorders>
              <w:top w:val="single" w:sz="4" w:space="0" w:color="auto"/>
              <w:left w:val="nil"/>
              <w:bottom w:val="single" w:sz="4" w:space="0" w:color="auto"/>
              <w:right w:val="single" w:sz="4" w:space="0" w:color="auto"/>
            </w:tcBorders>
            <w:shd w:val="clear" w:color="000000" w:fill="CCFFCC"/>
            <w:vAlign w:val="center"/>
            <w:hideMark/>
          </w:tcPr>
          <w:p w:rsidR="009B466D" w:rsidRPr="009B466D" w:rsidRDefault="009B466D" w:rsidP="009B466D">
            <w:pPr>
              <w:jc w:val="center"/>
              <w:rPr>
                <w:rFonts w:ascii="Lucida Bright" w:hAnsi="Lucida Bright" w:cs="Calibri"/>
                <w:sz w:val="14"/>
                <w:szCs w:val="14"/>
                <w:lang w:val="es-ES"/>
              </w:rPr>
            </w:pPr>
            <w:r w:rsidRPr="009B466D">
              <w:rPr>
                <w:rFonts w:ascii="Lucida Bright" w:hAnsi="Lucida Bright" w:cs="Calibri"/>
                <w:sz w:val="14"/>
                <w:szCs w:val="14"/>
                <w:lang w:val="es-ES"/>
              </w:rPr>
              <w:t>Actualización financiera (+)</w:t>
            </w:r>
          </w:p>
        </w:tc>
        <w:tc>
          <w:tcPr>
            <w:tcW w:w="1036" w:type="dxa"/>
            <w:tcBorders>
              <w:top w:val="single" w:sz="4" w:space="0" w:color="auto"/>
              <w:left w:val="nil"/>
              <w:bottom w:val="single" w:sz="4" w:space="0" w:color="auto"/>
              <w:right w:val="single" w:sz="4" w:space="0" w:color="auto"/>
            </w:tcBorders>
            <w:shd w:val="clear" w:color="000000" w:fill="CCFFCC"/>
            <w:vAlign w:val="center"/>
            <w:hideMark/>
          </w:tcPr>
          <w:p w:rsidR="009B466D" w:rsidRPr="009B466D" w:rsidRDefault="009B466D" w:rsidP="009B466D">
            <w:pPr>
              <w:jc w:val="center"/>
              <w:rPr>
                <w:rFonts w:ascii="Lucida Bright" w:hAnsi="Lucida Bright" w:cs="Calibri"/>
                <w:sz w:val="14"/>
                <w:szCs w:val="14"/>
                <w:lang w:val="es-ES"/>
              </w:rPr>
            </w:pPr>
            <w:r w:rsidRPr="009B466D">
              <w:rPr>
                <w:rFonts w:ascii="Lucida Bright" w:hAnsi="Lucida Bright" w:cs="Calibri"/>
                <w:sz w:val="14"/>
                <w:szCs w:val="14"/>
                <w:lang w:val="es-ES"/>
              </w:rPr>
              <w:t>Variación valor razonable (+/-)</w:t>
            </w:r>
          </w:p>
        </w:tc>
        <w:tc>
          <w:tcPr>
            <w:tcW w:w="1036" w:type="dxa"/>
            <w:tcBorders>
              <w:top w:val="single" w:sz="4" w:space="0" w:color="auto"/>
              <w:left w:val="nil"/>
              <w:bottom w:val="single" w:sz="4" w:space="0" w:color="auto"/>
              <w:right w:val="single" w:sz="4" w:space="0" w:color="auto"/>
            </w:tcBorders>
            <w:shd w:val="clear" w:color="000000" w:fill="CCFFCC"/>
            <w:vAlign w:val="center"/>
            <w:hideMark/>
          </w:tcPr>
          <w:p w:rsidR="009B466D" w:rsidRPr="009B466D" w:rsidRDefault="009B466D" w:rsidP="009B466D">
            <w:pPr>
              <w:jc w:val="center"/>
              <w:rPr>
                <w:rFonts w:ascii="Lucida Bright" w:hAnsi="Lucida Bright" w:cs="Calibri"/>
                <w:sz w:val="14"/>
                <w:szCs w:val="14"/>
                <w:lang w:val="es-ES"/>
              </w:rPr>
            </w:pPr>
            <w:r w:rsidRPr="009B466D">
              <w:rPr>
                <w:rFonts w:ascii="Lucida Bright" w:hAnsi="Lucida Bright" w:cs="Calibri"/>
                <w:sz w:val="14"/>
                <w:szCs w:val="14"/>
                <w:lang w:val="es-ES"/>
              </w:rPr>
              <w:t>Ajustes por cambio de valor (+/-)</w:t>
            </w:r>
          </w:p>
        </w:tc>
        <w:tc>
          <w:tcPr>
            <w:tcW w:w="1136" w:type="dxa"/>
            <w:tcBorders>
              <w:top w:val="single" w:sz="4" w:space="0" w:color="auto"/>
              <w:left w:val="nil"/>
              <w:bottom w:val="single" w:sz="4" w:space="0" w:color="auto"/>
              <w:right w:val="single" w:sz="4" w:space="0" w:color="auto"/>
            </w:tcBorders>
            <w:shd w:val="clear" w:color="000000" w:fill="CCFFCC"/>
            <w:vAlign w:val="center"/>
            <w:hideMark/>
          </w:tcPr>
          <w:p w:rsidR="009B466D" w:rsidRPr="009B466D" w:rsidRDefault="009B466D" w:rsidP="009B466D">
            <w:pPr>
              <w:jc w:val="center"/>
              <w:rPr>
                <w:rFonts w:ascii="Lucida Bright" w:hAnsi="Lucida Bright" w:cs="Calibri"/>
                <w:sz w:val="14"/>
                <w:szCs w:val="14"/>
                <w:lang w:val="es-ES"/>
              </w:rPr>
            </w:pPr>
            <w:r w:rsidRPr="009B466D">
              <w:rPr>
                <w:rFonts w:ascii="Lucida Bright" w:hAnsi="Lucida Bright" w:cs="Calibri"/>
                <w:sz w:val="14"/>
                <w:szCs w:val="14"/>
                <w:lang w:val="es-ES"/>
              </w:rPr>
              <w:t>Saldo a</w:t>
            </w:r>
            <w:r w:rsidRPr="009B466D">
              <w:rPr>
                <w:rFonts w:ascii="Lucida Bright" w:hAnsi="Lucida Bright" w:cs="Calibri"/>
                <w:sz w:val="14"/>
                <w:szCs w:val="14"/>
                <w:lang w:val="es-ES"/>
              </w:rPr>
              <w:br/>
              <w:t>31-12-23</w:t>
            </w:r>
          </w:p>
        </w:tc>
      </w:tr>
      <w:tr w:rsidR="009B466D" w:rsidRPr="009B466D" w:rsidTr="009B466D">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B466D" w:rsidRPr="009B466D" w:rsidRDefault="009B466D" w:rsidP="009B466D">
            <w:pPr>
              <w:rPr>
                <w:rFonts w:ascii="Lucida Bright" w:hAnsi="Lucida Bright" w:cs="Calibri"/>
                <w:sz w:val="14"/>
                <w:szCs w:val="14"/>
                <w:lang w:val="es-ES"/>
              </w:rPr>
            </w:pPr>
            <w:r w:rsidRPr="009B466D">
              <w:rPr>
                <w:rFonts w:ascii="Lucida Bright" w:hAnsi="Lucida Bright" w:cs="Calibri"/>
                <w:sz w:val="14"/>
                <w:szCs w:val="14"/>
                <w:lang w:val="es-ES"/>
              </w:rPr>
              <w:t xml:space="preserve">  Instrumentos de patrimonio</w:t>
            </w:r>
          </w:p>
        </w:tc>
        <w:tc>
          <w:tcPr>
            <w:tcW w:w="1120"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048"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r>
      <w:tr w:rsidR="009B466D" w:rsidRPr="009B466D" w:rsidTr="009B466D">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xml:space="preserve">a) Participaciones a </w:t>
            </w:r>
            <w:proofErr w:type="spellStart"/>
            <w:r w:rsidRPr="009B466D">
              <w:rPr>
                <w:rFonts w:ascii="Lucida Bright" w:hAnsi="Lucida Bright" w:cs="Calibri"/>
                <w:i/>
                <w:iCs/>
                <w:sz w:val="14"/>
                <w:szCs w:val="14"/>
                <w:lang w:val="es-ES"/>
              </w:rPr>
              <w:t>l.p</w:t>
            </w:r>
            <w:proofErr w:type="spellEnd"/>
            <w:r w:rsidRPr="009B466D">
              <w:rPr>
                <w:rFonts w:ascii="Lucida Bright" w:hAnsi="Lucida Bright" w:cs="Calibri"/>
                <w:i/>
                <w:iCs/>
                <w:sz w:val="14"/>
                <w:szCs w:val="14"/>
                <w:lang w:val="es-ES"/>
              </w:rPr>
              <w:t>. en empresas del grupo</w:t>
            </w:r>
          </w:p>
        </w:tc>
        <w:tc>
          <w:tcPr>
            <w:tcW w:w="11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r>
      <w:tr w:rsidR="009B466D" w:rsidRPr="009B466D" w:rsidTr="009B466D">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xml:space="preserve">b) Participaciones a </w:t>
            </w:r>
            <w:proofErr w:type="spellStart"/>
            <w:r w:rsidRPr="009B466D">
              <w:rPr>
                <w:rFonts w:ascii="Lucida Bright" w:hAnsi="Lucida Bright" w:cs="Calibri"/>
                <w:i/>
                <w:iCs/>
                <w:sz w:val="14"/>
                <w:szCs w:val="14"/>
                <w:lang w:val="es-ES"/>
              </w:rPr>
              <w:t>l.p</w:t>
            </w:r>
            <w:proofErr w:type="spellEnd"/>
            <w:r w:rsidRPr="009B466D">
              <w:rPr>
                <w:rFonts w:ascii="Lucida Bright" w:hAnsi="Lucida Bright" w:cs="Calibri"/>
                <w:i/>
                <w:iCs/>
                <w:sz w:val="14"/>
                <w:szCs w:val="14"/>
                <w:lang w:val="es-ES"/>
              </w:rPr>
              <w:t>. en empresas asociadas</w:t>
            </w:r>
          </w:p>
        </w:tc>
        <w:tc>
          <w:tcPr>
            <w:tcW w:w="11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r>
      <w:tr w:rsidR="009B466D" w:rsidRPr="009B466D" w:rsidTr="009B466D">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B466D" w:rsidRPr="009B466D" w:rsidRDefault="009B466D" w:rsidP="009B466D">
            <w:pPr>
              <w:rPr>
                <w:rFonts w:ascii="Lucida Bright" w:hAnsi="Lucida Bright" w:cs="Calibri"/>
                <w:sz w:val="14"/>
                <w:szCs w:val="14"/>
                <w:lang w:val="es-ES"/>
              </w:rPr>
            </w:pPr>
            <w:r w:rsidRPr="009B466D">
              <w:rPr>
                <w:rFonts w:ascii="Lucida Bright" w:hAnsi="Lucida Bright" w:cs="Calibri"/>
                <w:sz w:val="14"/>
                <w:szCs w:val="14"/>
                <w:lang w:val="es-ES"/>
              </w:rPr>
              <w:t xml:space="preserve">  Créditos a empresas</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5.520.176,46 </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(101.000,01) </w:t>
            </w:r>
          </w:p>
        </w:tc>
        <w:tc>
          <w:tcPr>
            <w:tcW w:w="1048" w:type="dxa"/>
            <w:tcBorders>
              <w:top w:val="single" w:sz="4" w:space="0" w:color="auto"/>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 </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sz w:val="14"/>
                <w:szCs w:val="14"/>
                <w:lang w:val="es-ES"/>
              </w:rPr>
            </w:pPr>
            <w:r w:rsidRPr="009B466D">
              <w:rPr>
                <w:rFonts w:ascii="Lucida Bright" w:hAnsi="Lucida Bright" w:cs="Calibri"/>
                <w:sz w:val="14"/>
                <w:szCs w:val="14"/>
                <w:lang w:val="es-ES"/>
              </w:rPr>
              <w:t xml:space="preserve">5.419.176,45 </w:t>
            </w:r>
          </w:p>
        </w:tc>
      </w:tr>
      <w:tr w:rsidR="009B466D" w:rsidRPr="009B466D" w:rsidTr="009B466D">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xml:space="preserve">a) Créditos a </w:t>
            </w:r>
            <w:proofErr w:type="spellStart"/>
            <w:r w:rsidRPr="009B466D">
              <w:rPr>
                <w:rFonts w:ascii="Lucida Bright" w:hAnsi="Lucida Bright" w:cs="Calibri"/>
                <w:i/>
                <w:iCs/>
                <w:sz w:val="14"/>
                <w:szCs w:val="14"/>
                <w:lang w:val="es-ES"/>
              </w:rPr>
              <w:t>l.p</w:t>
            </w:r>
            <w:proofErr w:type="spellEnd"/>
            <w:r w:rsidRPr="009B466D">
              <w:rPr>
                <w:rFonts w:ascii="Lucida Bright" w:hAnsi="Lucida Bright" w:cs="Calibri"/>
                <w:i/>
                <w:iCs/>
                <w:sz w:val="14"/>
                <w:szCs w:val="14"/>
                <w:lang w:val="es-ES"/>
              </w:rPr>
              <w:t>. a empresas del grupo</w:t>
            </w:r>
          </w:p>
        </w:tc>
        <w:tc>
          <w:tcPr>
            <w:tcW w:w="11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r>
      <w:tr w:rsidR="009B466D" w:rsidRPr="009B466D" w:rsidTr="009B466D">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xml:space="preserve">b) Créditos a </w:t>
            </w:r>
            <w:proofErr w:type="spellStart"/>
            <w:r w:rsidRPr="009B466D">
              <w:rPr>
                <w:rFonts w:ascii="Lucida Bright" w:hAnsi="Lucida Bright" w:cs="Calibri"/>
                <w:i/>
                <w:iCs/>
                <w:sz w:val="14"/>
                <w:szCs w:val="14"/>
                <w:lang w:val="es-ES"/>
              </w:rPr>
              <w:t>l.p</w:t>
            </w:r>
            <w:proofErr w:type="spellEnd"/>
            <w:r w:rsidRPr="009B466D">
              <w:rPr>
                <w:rFonts w:ascii="Lucida Bright" w:hAnsi="Lucida Bright" w:cs="Calibri"/>
                <w:i/>
                <w:iCs/>
                <w:sz w:val="14"/>
                <w:szCs w:val="14"/>
                <w:lang w:val="es-ES"/>
              </w:rPr>
              <w:t>. a empresas asociadas</w:t>
            </w:r>
          </w:p>
        </w:tc>
        <w:tc>
          <w:tcPr>
            <w:tcW w:w="11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r>
      <w:tr w:rsidR="009B466D" w:rsidRPr="009B466D" w:rsidTr="009B466D">
        <w:trPr>
          <w:trHeight w:val="300"/>
        </w:trPr>
        <w:tc>
          <w:tcPr>
            <w:tcW w:w="37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xml:space="preserve">c) Préstamos a </w:t>
            </w:r>
            <w:proofErr w:type="spellStart"/>
            <w:r w:rsidRPr="009B466D">
              <w:rPr>
                <w:rFonts w:ascii="Lucida Bright" w:hAnsi="Lucida Bright" w:cs="Calibri"/>
                <w:i/>
                <w:iCs/>
                <w:sz w:val="14"/>
                <w:szCs w:val="14"/>
                <w:lang w:val="es-ES"/>
              </w:rPr>
              <w:t>l.p</w:t>
            </w:r>
            <w:proofErr w:type="spellEnd"/>
            <w:r w:rsidRPr="009B466D">
              <w:rPr>
                <w:rFonts w:ascii="Lucida Bright" w:hAnsi="Lucida Bright" w:cs="Calibri"/>
                <w:i/>
                <w:iCs/>
                <w:sz w:val="14"/>
                <w:szCs w:val="14"/>
                <w:lang w:val="es-ES"/>
              </w:rPr>
              <w:t>. concedidos al Fondo de Accesibilidad</w:t>
            </w:r>
          </w:p>
        </w:tc>
        <w:tc>
          <w:tcPr>
            <w:tcW w:w="11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i/>
                <w:iCs/>
                <w:sz w:val="14"/>
                <w:szCs w:val="14"/>
                <w:lang w:val="es-ES"/>
              </w:rPr>
            </w:pPr>
            <w:r w:rsidRPr="009B466D">
              <w:rPr>
                <w:rFonts w:ascii="Lucida Bright" w:hAnsi="Lucida Bright" w:cs="Calibri"/>
                <w:i/>
                <w:iCs/>
                <w:sz w:val="14"/>
                <w:szCs w:val="14"/>
                <w:lang w:val="es-ES"/>
              </w:rPr>
              <w:t xml:space="preserve">5.520.176,46 </w:t>
            </w:r>
          </w:p>
        </w:tc>
        <w:tc>
          <w:tcPr>
            <w:tcW w:w="959"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jc w:val="right"/>
              <w:rPr>
                <w:rFonts w:ascii="Lucida Bright" w:hAnsi="Lucida Bright" w:cs="Calibri"/>
                <w:i/>
                <w:iCs/>
                <w:sz w:val="14"/>
                <w:szCs w:val="14"/>
                <w:lang w:val="es-ES"/>
              </w:rPr>
            </w:pPr>
            <w:r w:rsidRPr="009B466D">
              <w:rPr>
                <w:rFonts w:ascii="Lucida Bright" w:hAnsi="Lucida Bright" w:cs="Calibri"/>
                <w:i/>
                <w:iCs/>
                <w:sz w:val="14"/>
                <w:szCs w:val="14"/>
                <w:lang w:val="es-ES"/>
              </w:rPr>
              <w:t xml:space="preserve">(101.000,01) </w:t>
            </w:r>
          </w:p>
        </w:tc>
        <w:tc>
          <w:tcPr>
            <w:tcW w:w="1048"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9B466D" w:rsidRPr="009B466D" w:rsidRDefault="009B466D" w:rsidP="009B466D">
            <w:pPr>
              <w:rPr>
                <w:rFonts w:ascii="Lucida Bright" w:hAnsi="Lucida Bright" w:cs="Calibri"/>
                <w:i/>
                <w:iCs/>
                <w:sz w:val="14"/>
                <w:szCs w:val="14"/>
                <w:lang w:val="es-ES"/>
              </w:rPr>
            </w:pPr>
            <w:r w:rsidRPr="009B466D">
              <w:rPr>
                <w:rFonts w:ascii="Lucida Bright" w:hAnsi="Lucida Bright" w:cs="Calibri"/>
                <w:i/>
                <w:iCs/>
                <w:sz w:val="14"/>
                <w:szCs w:val="14"/>
                <w:lang w:val="es-ES"/>
              </w:rPr>
              <w:t> </w:t>
            </w:r>
          </w:p>
        </w:tc>
        <w:tc>
          <w:tcPr>
            <w:tcW w:w="1136" w:type="dxa"/>
            <w:tcBorders>
              <w:top w:val="nil"/>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i/>
                <w:iCs/>
                <w:sz w:val="14"/>
                <w:szCs w:val="14"/>
                <w:lang w:val="es-ES"/>
              </w:rPr>
            </w:pPr>
            <w:r w:rsidRPr="009B466D">
              <w:rPr>
                <w:rFonts w:ascii="Lucida Bright" w:hAnsi="Lucida Bright" w:cs="Calibri"/>
                <w:i/>
                <w:iCs/>
                <w:sz w:val="14"/>
                <w:szCs w:val="14"/>
                <w:lang w:val="es-ES"/>
              </w:rPr>
              <w:t xml:space="preserve">5.419.176,45 </w:t>
            </w:r>
          </w:p>
        </w:tc>
      </w:tr>
      <w:tr w:rsidR="009B466D" w:rsidRPr="009B466D" w:rsidTr="009B466D">
        <w:trPr>
          <w:trHeight w:val="300"/>
        </w:trPr>
        <w:tc>
          <w:tcPr>
            <w:tcW w:w="372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B466D" w:rsidRPr="009B466D" w:rsidRDefault="009B466D" w:rsidP="009B466D">
            <w:pPr>
              <w:jc w:val="center"/>
              <w:rPr>
                <w:rFonts w:ascii="Lucida Bright" w:hAnsi="Lucida Bright" w:cs="Calibri"/>
                <w:b/>
                <w:bCs/>
                <w:sz w:val="14"/>
                <w:szCs w:val="14"/>
                <w:lang w:val="es-ES"/>
              </w:rPr>
            </w:pPr>
            <w:r w:rsidRPr="009B466D">
              <w:rPr>
                <w:rFonts w:ascii="Lucida Bright" w:hAnsi="Lucida Bright" w:cs="Calibri"/>
                <w:b/>
                <w:bCs/>
                <w:sz w:val="14"/>
                <w:szCs w:val="14"/>
                <w:lang w:val="es-ES"/>
              </w:rPr>
              <w:t>TOTAL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b/>
                <w:bCs/>
                <w:sz w:val="14"/>
                <w:szCs w:val="14"/>
                <w:lang w:val="es-ES"/>
              </w:rPr>
            </w:pPr>
            <w:r w:rsidRPr="009B466D">
              <w:rPr>
                <w:rFonts w:ascii="Lucida Bright" w:hAnsi="Lucida Bright" w:cs="Calibri"/>
                <w:b/>
                <w:bCs/>
                <w:sz w:val="14"/>
                <w:szCs w:val="14"/>
                <w:lang w:val="es-ES"/>
              </w:rPr>
              <w:t xml:space="preserve">5.520.176,46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b/>
                <w:bCs/>
                <w:sz w:val="14"/>
                <w:szCs w:val="14"/>
                <w:lang w:val="es-ES"/>
              </w:rPr>
            </w:pPr>
            <w:r w:rsidRPr="009B466D">
              <w:rPr>
                <w:rFonts w:ascii="Lucida Bright" w:hAnsi="Lucida Bright" w:cs="Calibri"/>
                <w:b/>
                <w:bCs/>
                <w:sz w:val="14"/>
                <w:szCs w:val="14"/>
                <w:lang w:val="es-ES"/>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b/>
                <w:bCs/>
                <w:sz w:val="14"/>
                <w:szCs w:val="14"/>
                <w:lang w:val="es-ES"/>
              </w:rPr>
            </w:pPr>
            <w:r w:rsidRPr="009B466D">
              <w:rPr>
                <w:rFonts w:ascii="Lucida Bright" w:hAnsi="Lucida Bright" w:cs="Calibri"/>
                <w:b/>
                <w:bCs/>
                <w:sz w:val="14"/>
                <w:szCs w:val="14"/>
                <w:lang w:val="es-ES"/>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b/>
                <w:bCs/>
                <w:sz w:val="14"/>
                <w:szCs w:val="14"/>
                <w:lang w:val="es-ES"/>
              </w:rPr>
            </w:pPr>
            <w:r w:rsidRPr="009B466D">
              <w:rPr>
                <w:rFonts w:ascii="Lucida Bright" w:hAnsi="Lucida Bright" w:cs="Calibri"/>
                <w:b/>
                <w:bCs/>
                <w:sz w:val="14"/>
                <w:szCs w:val="14"/>
                <w:lang w:val="es-ES"/>
              </w:rPr>
              <w:t xml:space="preserve">(101.000,01)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b/>
                <w:bCs/>
                <w:sz w:val="14"/>
                <w:szCs w:val="14"/>
                <w:lang w:val="es-ES"/>
              </w:rPr>
            </w:pPr>
            <w:r w:rsidRPr="009B466D">
              <w:rPr>
                <w:rFonts w:ascii="Lucida Bright" w:hAnsi="Lucida Bright" w:cs="Calibri"/>
                <w:b/>
                <w:bCs/>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b/>
                <w:bCs/>
                <w:sz w:val="14"/>
                <w:szCs w:val="14"/>
                <w:lang w:val="es-ES"/>
              </w:rPr>
            </w:pPr>
            <w:r w:rsidRPr="009B466D">
              <w:rPr>
                <w:rFonts w:ascii="Lucida Bright" w:hAnsi="Lucida Bright" w:cs="Calibri"/>
                <w:b/>
                <w:bCs/>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b/>
                <w:bCs/>
                <w:sz w:val="14"/>
                <w:szCs w:val="14"/>
                <w:lang w:val="es-ES"/>
              </w:rPr>
            </w:pPr>
            <w:r w:rsidRPr="009B466D">
              <w:rPr>
                <w:rFonts w:ascii="Lucida Bright" w:hAnsi="Lucida Bright" w:cs="Calibri"/>
                <w:b/>
                <w:bCs/>
                <w:sz w:val="14"/>
                <w:szCs w:val="14"/>
                <w:lang w:val="es-ES"/>
              </w:rPr>
              <w:t xml:space="preserve">-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b/>
                <w:bCs/>
                <w:sz w:val="14"/>
                <w:szCs w:val="14"/>
                <w:lang w:val="es-ES"/>
              </w:rPr>
            </w:pPr>
            <w:r w:rsidRPr="009B466D">
              <w:rPr>
                <w:rFonts w:ascii="Lucida Bright" w:hAnsi="Lucida Bright" w:cs="Calibri"/>
                <w:b/>
                <w:bCs/>
                <w:sz w:val="14"/>
                <w:szCs w:val="14"/>
                <w:lang w:val="es-ES"/>
              </w:rPr>
              <w:t xml:space="preserve">-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9B466D" w:rsidRPr="009B466D" w:rsidRDefault="009B466D" w:rsidP="009B466D">
            <w:pPr>
              <w:jc w:val="right"/>
              <w:rPr>
                <w:rFonts w:ascii="Lucida Bright" w:hAnsi="Lucida Bright" w:cs="Calibri"/>
                <w:b/>
                <w:bCs/>
                <w:sz w:val="14"/>
                <w:szCs w:val="14"/>
                <w:lang w:val="es-ES"/>
              </w:rPr>
            </w:pPr>
            <w:r w:rsidRPr="009B466D">
              <w:rPr>
                <w:rFonts w:ascii="Lucida Bright" w:hAnsi="Lucida Bright" w:cs="Calibri"/>
                <w:b/>
                <w:bCs/>
                <w:sz w:val="14"/>
                <w:szCs w:val="14"/>
                <w:lang w:val="es-ES"/>
              </w:rPr>
              <w:t xml:space="preserve">5.419.176,45 </w:t>
            </w:r>
          </w:p>
        </w:tc>
      </w:tr>
    </w:tbl>
    <w:p w:rsidR="009B466D" w:rsidRDefault="009B466D" w:rsidP="008E3490">
      <w:pPr>
        <w:tabs>
          <w:tab w:val="right" w:pos="8364"/>
        </w:tabs>
        <w:ind w:firstLine="567"/>
        <w:jc w:val="both"/>
        <w:rPr>
          <w:rFonts w:ascii="NewBaskerville" w:hAnsi="NewBaskerville"/>
        </w:rPr>
        <w:sectPr w:rsidR="009B466D" w:rsidSect="000337F0">
          <w:pgSz w:w="16840" w:h="11907" w:orient="landscape" w:code="9"/>
          <w:pgMar w:top="1985" w:right="1701" w:bottom="1418" w:left="1701" w:header="567" w:footer="720" w:gutter="0"/>
          <w:cols w:space="720"/>
          <w:docGrid w:linePitch="272"/>
        </w:sectPr>
      </w:pPr>
    </w:p>
    <w:tbl>
      <w:tblPr>
        <w:tblW w:w="5340" w:type="pct"/>
        <w:tblCellMar>
          <w:left w:w="70" w:type="dxa"/>
          <w:right w:w="70" w:type="dxa"/>
        </w:tblCellMar>
        <w:tblLook w:val="04A0" w:firstRow="1" w:lastRow="0" w:firstColumn="1" w:lastColumn="0" w:noHBand="0" w:noVBand="1"/>
      </w:tblPr>
      <w:tblGrid>
        <w:gridCol w:w="1677"/>
        <w:gridCol w:w="2686"/>
        <w:gridCol w:w="1038"/>
        <w:gridCol w:w="914"/>
        <w:gridCol w:w="956"/>
        <w:gridCol w:w="1005"/>
        <w:gridCol w:w="1178"/>
        <w:gridCol w:w="1474"/>
        <w:gridCol w:w="1069"/>
        <w:gridCol w:w="814"/>
        <w:gridCol w:w="652"/>
        <w:gridCol w:w="1038"/>
      </w:tblGrid>
      <w:tr w:rsidR="002D1DB9" w:rsidRPr="002D1DB9" w:rsidTr="002D1DB9">
        <w:trPr>
          <w:trHeight w:val="300"/>
        </w:trPr>
        <w:tc>
          <w:tcPr>
            <w:tcW w:w="2507" w:type="pct"/>
            <w:gridSpan w:val="5"/>
            <w:tcBorders>
              <w:top w:val="nil"/>
              <w:left w:val="nil"/>
              <w:bottom w:val="nil"/>
              <w:right w:val="nil"/>
            </w:tcBorders>
            <w:shd w:val="clear" w:color="000000" w:fill="FFFFFF"/>
            <w:noWrap/>
            <w:vAlign w:val="bottom"/>
            <w:hideMark/>
          </w:tcPr>
          <w:p w:rsidR="002D1DB9" w:rsidRDefault="002D1DB9" w:rsidP="002D1DB9">
            <w:pPr>
              <w:rPr>
                <w:rFonts w:ascii="Lucida Bright" w:hAnsi="Lucida Bright" w:cs="Calibri"/>
                <w:b/>
                <w:bCs/>
                <w:sz w:val="18"/>
                <w:szCs w:val="18"/>
                <w:lang w:val="es-ES"/>
              </w:rPr>
            </w:pPr>
          </w:p>
          <w:p w:rsidR="002D1DB9" w:rsidRDefault="002D1DB9" w:rsidP="002D1DB9">
            <w:pPr>
              <w:rPr>
                <w:rFonts w:ascii="Lucida Bright" w:hAnsi="Lucida Bright" w:cs="Calibri"/>
                <w:b/>
                <w:bCs/>
                <w:sz w:val="18"/>
                <w:szCs w:val="18"/>
                <w:lang w:val="es-ES"/>
              </w:rPr>
            </w:pPr>
          </w:p>
          <w:p w:rsidR="002D1DB9" w:rsidRDefault="002D1DB9" w:rsidP="002D1DB9">
            <w:pPr>
              <w:rPr>
                <w:rFonts w:ascii="Lucida Bright" w:hAnsi="Lucida Bright" w:cs="Calibri"/>
                <w:b/>
                <w:bCs/>
                <w:sz w:val="18"/>
                <w:szCs w:val="18"/>
                <w:lang w:val="es-ES"/>
              </w:rPr>
            </w:pPr>
          </w:p>
          <w:p w:rsidR="002D1DB9" w:rsidRDefault="002D1DB9" w:rsidP="002D1DB9">
            <w:pPr>
              <w:rPr>
                <w:rFonts w:ascii="Lucida Bright" w:hAnsi="Lucida Bright" w:cs="Calibri"/>
                <w:b/>
                <w:bCs/>
                <w:sz w:val="18"/>
                <w:szCs w:val="18"/>
                <w:lang w:val="es-ES"/>
              </w:rPr>
            </w:pPr>
          </w:p>
          <w:p w:rsidR="002D1DB9" w:rsidRDefault="002D1DB9" w:rsidP="002D1DB9">
            <w:pPr>
              <w:rPr>
                <w:rFonts w:ascii="Lucida Bright" w:hAnsi="Lucida Bright" w:cs="Calibri"/>
                <w:b/>
                <w:bCs/>
                <w:sz w:val="18"/>
                <w:szCs w:val="18"/>
                <w:lang w:val="es-ES"/>
              </w:rPr>
            </w:pPr>
          </w:p>
          <w:p w:rsidR="002D1DB9" w:rsidRPr="002D1DB9" w:rsidRDefault="002D1DB9" w:rsidP="002D1DB9">
            <w:pPr>
              <w:rPr>
                <w:rFonts w:ascii="Lucida Bright" w:hAnsi="Lucida Bright" w:cs="Calibri"/>
                <w:b/>
                <w:bCs/>
                <w:sz w:val="18"/>
                <w:szCs w:val="18"/>
                <w:lang w:val="es-ES"/>
              </w:rPr>
            </w:pPr>
            <w:r w:rsidRPr="002D1DB9">
              <w:rPr>
                <w:rFonts w:ascii="Lucida Bright" w:hAnsi="Lucida Bright" w:cs="Calibri"/>
                <w:b/>
                <w:bCs/>
                <w:sz w:val="18"/>
                <w:szCs w:val="18"/>
                <w:lang w:val="es-ES"/>
              </w:rPr>
              <w:t>CUADRO: INVERSIONES FINANCIERAS A LARGO PLAZO 2023</w:t>
            </w:r>
          </w:p>
        </w:tc>
        <w:tc>
          <w:tcPr>
            <w:tcW w:w="347" w:type="pct"/>
            <w:tcBorders>
              <w:top w:val="nil"/>
              <w:left w:val="nil"/>
              <w:bottom w:val="nil"/>
              <w:right w:val="nil"/>
            </w:tcBorders>
            <w:shd w:val="clear" w:color="000000" w:fill="FFFFFF"/>
            <w:noWrap/>
            <w:vAlign w:val="center"/>
            <w:hideMark/>
          </w:tcPr>
          <w:p w:rsidR="002D1DB9" w:rsidRPr="002D1DB9" w:rsidRDefault="002D1DB9" w:rsidP="002D1DB9">
            <w:pPr>
              <w:rPr>
                <w:rFonts w:ascii="Tahoma" w:hAnsi="Tahoma" w:cs="Tahoma"/>
                <w:lang w:val="es-ES"/>
              </w:rPr>
            </w:pPr>
            <w:r w:rsidRPr="002D1DB9">
              <w:rPr>
                <w:rFonts w:ascii="Tahoma" w:hAnsi="Tahoma" w:cs="Tahoma"/>
                <w:lang w:val="es-ES"/>
              </w:rPr>
              <w:t> </w:t>
            </w:r>
          </w:p>
        </w:tc>
        <w:tc>
          <w:tcPr>
            <w:tcW w:w="406" w:type="pct"/>
            <w:tcBorders>
              <w:top w:val="nil"/>
              <w:left w:val="nil"/>
              <w:bottom w:val="nil"/>
              <w:right w:val="nil"/>
            </w:tcBorders>
            <w:shd w:val="clear" w:color="000000" w:fill="FFFFFF"/>
            <w:noWrap/>
            <w:vAlign w:val="bottom"/>
            <w:hideMark/>
          </w:tcPr>
          <w:p w:rsidR="002D1DB9" w:rsidRPr="002D1DB9" w:rsidRDefault="002D1DB9" w:rsidP="002D1DB9">
            <w:pPr>
              <w:rPr>
                <w:rFonts w:ascii="Lucida Bright" w:hAnsi="Lucida Bright" w:cs="Calibri"/>
                <w:sz w:val="14"/>
                <w:szCs w:val="14"/>
                <w:lang w:val="es-ES"/>
              </w:rPr>
            </w:pPr>
            <w:r w:rsidRPr="002D1DB9">
              <w:rPr>
                <w:rFonts w:ascii="Lucida Bright" w:hAnsi="Lucida Bright" w:cs="Calibri"/>
                <w:sz w:val="14"/>
                <w:szCs w:val="14"/>
                <w:lang w:val="es-ES"/>
              </w:rPr>
              <w:t>(en euros)</w:t>
            </w:r>
          </w:p>
        </w:tc>
        <w:tc>
          <w:tcPr>
            <w:tcW w:w="508" w:type="pct"/>
            <w:tcBorders>
              <w:top w:val="nil"/>
              <w:left w:val="nil"/>
              <w:bottom w:val="nil"/>
              <w:right w:val="nil"/>
            </w:tcBorders>
            <w:shd w:val="clear" w:color="000000" w:fill="FFFFFF"/>
            <w:noWrap/>
            <w:vAlign w:val="center"/>
            <w:hideMark/>
          </w:tcPr>
          <w:p w:rsidR="002D1DB9" w:rsidRPr="002D1DB9" w:rsidRDefault="002D1DB9" w:rsidP="002D1DB9">
            <w:pPr>
              <w:rPr>
                <w:rFonts w:ascii="Tahoma" w:hAnsi="Tahoma" w:cs="Tahoma"/>
                <w:color w:val="FF0000"/>
                <w:lang w:val="es-ES"/>
              </w:rPr>
            </w:pPr>
            <w:r w:rsidRPr="002D1DB9">
              <w:rPr>
                <w:rFonts w:ascii="Tahoma" w:hAnsi="Tahoma" w:cs="Tahoma"/>
                <w:color w:val="FF0000"/>
                <w:lang w:val="es-ES"/>
              </w:rPr>
              <w:t> </w:t>
            </w:r>
          </w:p>
        </w:tc>
        <w:tc>
          <w:tcPr>
            <w:tcW w:w="369" w:type="pct"/>
            <w:tcBorders>
              <w:top w:val="nil"/>
              <w:left w:val="nil"/>
              <w:bottom w:val="nil"/>
              <w:right w:val="nil"/>
            </w:tcBorders>
            <w:shd w:val="clear" w:color="000000" w:fill="FFFFFF"/>
            <w:noWrap/>
            <w:vAlign w:val="center"/>
            <w:hideMark/>
          </w:tcPr>
          <w:p w:rsidR="002D1DB9" w:rsidRPr="002D1DB9" w:rsidRDefault="002D1DB9" w:rsidP="002D1DB9">
            <w:pPr>
              <w:rPr>
                <w:rFonts w:ascii="Arial" w:hAnsi="Arial" w:cs="Arial"/>
                <w:lang w:val="es-ES"/>
              </w:rPr>
            </w:pPr>
            <w:r w:rsidRPr="002D1DB9">
              <w:rPr>
                <w:rFonts w:ascii="Arial" w:hAnsi="Arial" w:cs="Arial"/>
                <w:lang w:val="es-ES"/>
              </w:rPr>
              <w:t> </w:t>
            </w:r>
          </w:p>
        </w:tc>
        <w:tc>
          <w:tcPr>
            <w:tcW w:w="281" w:type="pct"/>
            <w:tcBorders>
              <w:top w:val="nil"/>
              <w:left w:val="nil"/>
              <w:bottom w:val="nil"/>
              <w:right w:val="nil"/>
            </w:tcBorders>
            <w:shd w:val="clear" w:color="000000" w:fill="FFFFFF"/>
            <w:noWrap/>
            <w:vAlign w:val="center"/>
            <w:hideMark/>
          </w:tcPr>
          <w:p w:rsidR="002D1DB9" w:rsidRPr="002D1DB9" w:rsidRDefault="002D1DB9" w:rsidP="002D1DB9">
            <w:pPr>
              <w:rPr>
                <w:rFonts w:ascii="Tahoma" w:hAnsi="Tahoma" w:cs="Tahoma"/>
                <w:lang w:val="es-ES"/>
              </w:rPr>
            </w:pPr>
            <w:r w:rsidRPr="002D1DB9">
              <w:rPr>
                <w:rFonts w:ascii="Tahoma" w:hAnsi="Tahoma" w:cs="Tahoma"/>
                <w:lang w:val="es-ES"/>
              </w:rPr>
              <w:t> </w:t>
            </w:r>
          </w:p>
        </w:tc>
        <w:tc>
          <w:tcPr>
            <w:tcW w:w="225" w:type="pct"/>
            <w:tcBorders>
              <w:top w:val="nil"/>
              <w:left w:val="nil"/>
              <w:bottom w:val="nil"/>
              <w:right w:val="nil"/>
            </w:tcBorders>
            <w:shd w:val="clear" w:color="000000" w:fill="FFFFFF"/>
            <w:noWrap/>
            <w:vAlign w:val="center"/>
            <w:hideMark/>
          </w:tcPr>
          <w:p w:rsidR="002D1DB9" w:rsidRPr="002D1DB9" w:rsidRDefault="002D1DB9" w:rsidP="002D1DB9">
            <w:pPr>
              <w:rPr>
                <w:rFonts w:ascii="Tahoma" w:hAnsi="Tahoma" w:cs="Tahoma"/>
                <w:lang w:val="es-ES"/>
              </w:rPr>
            </w:pPr>
            <w:r w:rsidRPr="002D1DB9">
              <w:rPr>
                <w:rFonts w:ascii="Tahoma" w:hAnsi="Tahoma" w:cs="Tahoma"/>
                <w:lang w:val="es-ES"/>
              </w:rPr>
              <w:t> </w:t>
            </w:r>
          </w:p>
        </w:tc>
        <w:tc>
          <w:tcPr>
            <w:tcW w:w="358" w:type="pct"/>
            <w:tcBorders>
              <w:top w:val="nil"/>
              <w:left w:val="nil"/>
              <w:bottom w:val="nil"/>
              <w:right w:val="nil"/>
            </w:tcBorders>
            <w:shd w:val="clear" w:color="000000" w:fill="FFFFFF"/>
            <w:noWrap/>
            <w:vAlign w:val="center"/>
            <w:hideMark/>
          </w:tcPr>
          <w:p w:rsidR="002D1DB9" w:rsidRPr="002D1DB9" w:rsidRDefault="002D1DB9" w:rsidP="002D1DB9">
            <w:pPr>
              <w:rPr>
                <w:rFonts w:ascii="Arial" w:hAnsi="Arial" w:cs="Arial"/>
                <w:lang w:val="es-ES"/>
              </w:rPr>
            </w:pPr>
            <w:r w:rsidRPr="002D1DB9">
              <w:rPr>
                <w:rFonts w:ascii="Arial" w:hAnsi="Arial" w:cs="Arial"/>
                <w:lang w:val="es-ES"/>
              </w:rPr>
              <w:t> </w:t>
            </w:r>
          </w:p>
        </w:tc>
      </w:tr>
      <w:tr w:rsidR="002D1DB9" w:rsidRPr="002D1DB9" w:rsidTr="002D1DB9">
        <w:trPr>
          <w:trHeight w:val="720"/>
        </w:trPr>
        <w:tc>
          <w:tcPr>
            <w:tcW w:w="578" w:type="pct"/>
            <w:tcBorders>
              <w:top w:val="single" w:sz="4" w:space="0" w:color="auto"/>
              <w:left w:val="single" w:sz="4" w:space="0" w:color="auto"/>
              <w:bottom w:val="single" w:sz="4" w:space="0" w:color="auto"/>
              <w:right w:val="nil"/>
            </w:tcBorders>
            <w:shd w:val="clear" w:color="000000" w:fill="CCFFCC"/>
            <w:vAlign w:val="center"/>
            <w:hideMark/>
          </w:tcPr>
          <w:p w:rsidR="002D1DB9" w:rsidRPr="002D1DB9" w:rsidRDefault="002D1DB9" w:rsidP="002D1DB9">
            <w:pPr>
              <w:jc w:val="center"/>
              <w:rPr>
                <w:rFonts w:ascii="Lucida Bright" w:hAnsi="Lucida Bright" w:cs="Calibri"/>
                <w:b/>
                <w:bCs/>
                <w:sz w:val="14"/>
                <w:szCs w:val="14"/>
                <w:lang w:val="es-ES"/>
              </w:rPr>
            </w:pPr>
            <w:r w:rsidRPr="002D1DB9">
              <w:rPr>
                <w:rFonts w:ascii="Lucida Bright" w:hAnsi="Lucida Bright" w:cs="Calibri"/>
                <w:b/>
                <w:bCs/>
                <w:sz w:val="14"/>
                <w:szCs w:val="14"/>
                <w:lang w:val="es-ES"/>
              </w:rPr>
              <w:t>INVERSIONES FINANCIERAS A LARGO PLAZO</w:t>
            </w:r>
          </w:p>
        </w:tc>
        <w:tc>
          <w:tcPr>
            <w:tcW w:w="926" w:type="pct"/>
            <w:tcBorders>
              <w:top w:val="single" w:sz="4" w:space="0" w:color="auto"/>
              <w:left w:val="nil"/>
              <w:bottom w:val="single" w:sz="4" w:space="0" w:color="auto"/>
              <w:right w:val="nil"/>
            </w:tcBorders>
            <w:shd w:val="clear" w:color="000000" w:fill="CCFFCC"/>
            <w:vAlign w:val="center"/>
            <w:hideMark/>
          </w:tcPr>
          <w:p w:rsidR="002D1DB9" w:rsidRPr="002D1DB9" w:rsidRDefault="002D1DB9" w:rsidP="002D1DB9">
            <w:pPr>
              <w:rPr>
                <w:rFonts w:ascii="Lucida Bright" w:hAnsi="Lucida Bright" w:cs="Calibri"/>
                <w:b/>
                <w:bCs/>
                <w:sz w:val="14"/>
                <w:szCs w:val="14"/>
                <w:lang w:val="es-ES"/>
              </w:rPr>
            </w:pPr>
            <w:r w:rsidRPr="002D1DB9">
              <w:rPr>
                <w:rFonts w:ascii="Lucida Bright" w:hAnsi="Lucida Bright" w:cs="Calibri"/>
                <w:b/>
                <w:bCs/>
                <w:sz w:val="14"/>
                <w:szCs w:val="14"/>
                <w:lang w:val="es-ES"/>
              </w:rPr>
              <w:t> </w:t>
            </w:r>
          </w:p>
        </w:tc>
        <w:tc>
          <w:tcPr>
            <w:tcW w:w="358" w:type="pct"/>
            <w:tcBorders>
              <w:top w:val="single" w:sz="4" w:space="0" w:color="auto"/>
              <w:left w:val="single" w:sz="4" w:space="0" w:color="auto"/>
              <w:bottom w:val="single" w:sz="4" w:space="0" w:color="auto"/>
              <w:right w:val="single" w:sz="4" w:space="0" w:color="auto"/>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Saldo a</w:t>
            </w:r>
            <w:r w:rsidRPr="002D1DB9">
              <w:rPr>
                <w:rFonts w:ascii="Lucida Bright" w:hAnsi="Lucida Bright" w:cs="Calibri"/>
                <w:sz w:val="14"/>
                <w:szCs w:val="14"/>
                <w:lang w:val="es-ES"/>
              </w:rPr>
              <w:br/>
              <w:t>31-12-22</w:t>
            </w:r>
          </w:p>
        </w:tc>
        <w:tc>
          <w:tcPr>
            <w:tcW w:w="315" w:type="pct"/>
            <w:tcBorders>
              <w:top w:val="single" w:sz="4" w:space="0" w:color="auto"/>
              <w:left w:val="nil"/>
              <w:bottom w:val="nil"/>
              <w:right w:val="nil"/>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Adiciones del ejercicio (+)</w:t>
            </w:r>
          </w:p>
        </w:tc>
        <w:tc>
          <w:tcPr>
            <w:tcW w:w="330" w:type="pct"/>
            <w:tcBorders>
              <w:top w:val="single" w:sz="4" w:space="0" w:color="auto"/>
              <w:left w:val="single" w:sz="4" w:space="0" w:color="auto"/>
              <w:bottom w:val="nil"/>
              <w:right w:val="single" w:sz="4" w:space="0" w:color="auto"/>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Cancelación anticipada (-)</w:t>
            </w:r>
          </w:p>
        </w:tc>
        <w:tc>
          <w:tcPr>
            <w:tcW w:w="347" w:type="pct"/>
            <w:tcBorders>
              <w:top w:val="single" w:sz="4" w:space="0" w:color="auto"/>
              <w:left w:val="nil"/>
              <w:bottom w:val="nil"/>
              <w:right w:val="nil"/>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Traspasos a corto plazo (-)</w:t>
            </w:r>
          </w:p>
        </w:tc>
        <w:tc>
          <w:tcPr>
            <w:tcW w:w="406" w:type="pct"/>
            <w:tcBorders>
              <w:top w:val="single" w:sz="4" w:space="0" w:color="auto"/>
              <w:left w:val="single" w:sz="4" w:space="0" w:color="auto"/>
              <w:bottom w:val="single" w:sz="4" w:space="0" w:color="auto"/>
              <w:right w:val="single" w:sz="4" w:space="0" w:color="auto"/>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Enajenación de participaciones y otras (-)</w:t>
            </w:r>
          </w:p>
        </w:tc>
        <w:tc>
          <w:tcPr>
            <w:tcW w:w="508" w:type="pct"/>
            <w:tcBorders>
              <w:top w:val="single" w:sz="4" w:space="0" w:color="auto"/>
              <w:left w:val="nil"/>
              <w:bottom w:val="single" w:sz="4" w:space="0" w:color="auto"/>
              <w:right w:val="single" w:sz="4" w:space="0" w:color="auto"/>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Pérdidas por deterioro/reversión (+/-)</w:t>
            </w:r>
          </w:p>
        </w:tc>
        <w:tc>
          <w:tcPr>
            <w:tcW w:w="369" w:type="pct"/>
            <w:tcBorders>
              <w:top w:val="single" w:sz="4" w:space="0" w:color="auto"/>
              <w:left w:val="nil"/>
              <w:bottom w:val="single" w:sz="4" w:space="0" w:color="auto"/>
              <w:right w:val="single" w:sz="4" w:space="0" w:color="auto"/>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Actualización financiera (+)</w:t>
            </w:r>
          </w:p>
        </w:tc>
        <w:tc>
          <w:tcPr>
            <w:tcW w:w="281" w:type="pct"/>
            <w:tcBorders>
              <w:top w:val="single" w:sz="4" w:space="0" w:color="auto"/>
              <w:left w:val="nil"/>
              <w:bottom w:val="single" w:sz="4" w:space="0" w:color="auto"/>
              <w:right w:val="single" w:sz="4" w:space="0" w:color="auto"/>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Variación valor razonable (+/-)</w:t>
            </w:r>
          </w:p>
        </w:tc>
        <w:tc>
          <w:tcPr>
            <w:tcW w:w="225" w:type="pct"/>
            <w:tcBorders>
              <w:top w:val="single" w:sz="4" w:space="0" w:color="auto"/>
              <w:left w:val="nil"/>
              <w:bottom w:val="single" w:sz="4" w:space="0" w:color="auto"/>
              <w:right w:val="single" w:sz="4" w:space="0" w:color="auto"/>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Ajustes por cambio de valor (+/-)</w:t>
            </w:r>
          </w:p>
        </w:tc>
        <w:tc>
          <w:tcPr>
            <w:tcW w:w="358" w:type="pct"/>
            <w:tcBorders>
              <w:top w:val="single" w:sz="4" w:space="0" w:color="auto"/>
              <w:left w:val="nil"/>
              <w:bottom w:val="single" w:sz="4" w:space="0" w:color="auto"/>
              <w:right w:val="single" w:sz="4" w:space="0" w:color="auto"/>
            </w:tcBorders>
            <w:shd w:val="clear" w:color="000000" w:fill="CCFFCC"/>
            <w:vAlign w:val="center"/>
            <w:hideMark/>
          </w:tcPr>
          <w:p w:rsidR="002D1DB9" w:rsidRPr="002D1DB9" w:rsidRDefault="002D1DB9" w:rsidP="002D1DB9">
            <w:pPr>
              <w:jc w:val="center"/>
              <w:rPr>
                <w:rFonts w:ascii="Lucida Bright" w:hAnsi="Lucida Bright" w:cs="Calibri"/>
                <w:sz w:val="14"/>
                <w:szCs w:val="14"/>
                <w:lang w:val="es-ES"/>
              </w:rPr>
            </w:pPr>
            <w:r w:rsidRPr="002D1DB9">
              <w:rPr>
                <w:rFonts w:ascii="Lucida Bright" w:hAnsi="Lucida Bright" w:cs="Calibri"/>
                <w:sz w:val="14"/>
                <w:szCs w:val="14"/>
                <w:lang w:val="es-ES"/>
              </w:rPr>
              <w:t>Saldo a</w:t>
            </w:r>
            <w:r w:rsidRPr="002D1DB9">
              <w:rPr>
                <w:rFonts w:ascii="Lucida Bright" w:hAnsi="Lucida Bright" w:cs="Calibri"/>
                <w:sz w:val="14"/>
                <w:szCs w:val="14"/>
                <w:lang w:val="es-ES"/>
              </w:rPr>
              <w:br/>
              <w:t>31-12-23</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sz w:val="14"/>
                <w:szCs w:val="14"/>
                <w:lang w:val="es-ES"/>
              </w:rPr>
            </w:pPr>
            <w:r w:rsidRPr="002D1DB9">
              <w:rPr>
                <w:rFonts w:ascii="Lucida Bright" w:hAnsi="Lucida Bright" w:cs="Calibri"/>
                <w:sz w:val="14"/>
                <w:szCs w:val="14"/>
                <w:lang w:val="es-ES"/>
              </w:rPr>
              <w:t xml:space="preserve">  Instrumentos de patrimonio</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406"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508" w:type="pct"/>
            <w:tcBorders>
              <w:top w:val="nil"/>
              <w:left w:val="nil"/>
              <w:bottom w:val="single" w:sz="4" w:space="0" w:color="auto"/>
              <w:right w:val="single" w:sz="4" w:space="0" w:color="auto"/>
            </w:tcBorders>
            <w:shd w:val="clear" w:color="000000" w:fill="BFBFB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69" w:type="pct"/>
            <w:tcBorders>
              <w:top w:val="nil"/>
              <w:left w:val="nil"/>
              <w:bottom w:val="single" w:sz="4" w:space="0" w:color="auto"/>
              <w:right w:val="single" w:sz="4" w:space="0" w:color="auto"/>
            </w:tcBorders>
            <w:shd w:val="clear" w:color="000000" w:fill="C0C0C0"/>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281"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225"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xml:space="preserve">a) Participaciones a </w:t>
            </w:r>
            <w:proofErr w:type="spellStart"/>
            <w:r w:rsidRPr="002D1DB9">
              <w:rPr>
                <w:rFonts w:ascii="Lucida Bright" w:hAnsi="Lucida Bright" w:cs="Calibri"/>
                <w:i/>
                <w:iCs/>
                <w:sz w:val="14"/>
                <w:szCs w:val="14"/>
                <w:lang w:val="es-ES"/>
              </w:rPr>
              <w:t>l.p</w:t>
            </w:r>
            <w:proofErr w:type="spellEnd"/>
            <w:r w:rsidRPr="002D1DB9">
              <w:rPr>
                <w:rFonts w:ascii="Lucida Bright" w:hAnsi="Lucida Bright" w:cs="Calibri"/>
                <w:i/>
                <w:iCs/>
                <w:sz w:val="14"/>
                <w:szCs w:val="14"/>
                <w:lang w:val="es-ES"/>
              </w:rPr>
              <w:t>. en otras partes vinculadas</w:t>
            </w:r>
          </w:p>
        </w:tc>
        <w:tc>
          <w:tcPr>
            <w:tcW w:w="35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315"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330" w:type="pct"/>
            <w:tcBorders>
              <w:top w:val="nil"/>
              <w:left w:val="nil"/>
              <w:bottom w:val="single" w:sz="4" w:space="0" w:color="auto"/>
              <w:right w:val="single" w:sz="4" w:space="0" w:color="auto"/>
            </w:tcBorders>
            <w:shd w:val="clear" w:color="000000" w:fill="C0C0C0"/>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406"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508" w:type="pct"/>
            <w:tcBorders>
              <w:top w:val="nil"/>
              <w:left w:val="nil"/>
              <w:bottom w:val="single" w:sz="4" w:space="0" w:color="auto"/>
              <w:right w:val="single" w:sz="4" w:space="0" w:color="auto"/>
            </w:tcBorders>
            <w:shd w:val="clear" w:color="000000" w:fill="BFBFB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C0C0C0"/>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225" w:type="pct"/>
            <w:tcBorders>
              <w:top w:val="nil"/>
              <w:left w:val="nil"/>
              <w:bottom w:val="single" w:sz="4" w:space="0" w:color="auto"/>
              <w:right w:val="single" w:sz="4" w:space="0" w:color="auto"/>
            </w:tcBorders>
            <w:shd w:val="clear" w:color="000000"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xml:space="preserve">b) Inversiones financieras a </w:t>
            </w:r>
            <w:proofErr w:type="spellStart"/>
            <w:r w:rsidRPr="002D1DB9">
              <w:rPr>
                <w:rFonts w:ascii="Lucida Bright" w:hAnsi="Lucida Bright" w:cs="Calibri"/>
                <w:i/>
                <w:iCs/>
                <w:sz w:val="14"/>
                <w:szCs w:val="14"/>
                <w:lang w:val="es-ES"/>
              </w:rPr>
              <w:t>l.p</w:t>
            </w:r>
            <w:proofErr w:type="spellEnd"/>
            <w:r w:rsidRPr="002D1DB9">
              <w:rPr>
                <w:rFonts w:ascii="Lucida Bright" w:hAnsi="Lucida Bright" w:cs="Calibri"/>
                <w:i/>
                <w:iCs/>
                <w:sz w:val="14"/>
                <w:szCs w:val="14"/>
                <w:lang w:val="es-ES"/>
              </w:rPr>
              <w:t>. en instrumentos de patrimonio</w:t>
            </w:r>
          </w:p>
        </w:tc>
        <w:tc>
          <w:tcPr>
            <w:tcW w:w="35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315"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330" w:type="pct"/>
            <w:tcBorders>
              <w:top w:val="nil"/>
              <w:left w:val="nil"/>
              <w:bottom w:val="single" w:sz="4" w:space="0" w:color="auto"/>
              <w:right w:val="single" w:sz="4" w:space="0" w:color="auto"/>
            </w:tcBorders>
            <w:shd w:val="clear" w:color="000000" w:fill="C0C0C0"/>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406"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508" w:type="pct"/>
            <w:tcBorders>
              <w:top w:val="nil"/>
              <w:left w:val="nil"/>
              <w:bottom w:val="single" w:sz="4" w:space="0" w:color="auto"/>
              <w:right w:val="single" w:sz="4" w:space="0" w:color="auto"/>
            </w:tcBorders>
            <w:shd w:val="clear" w:color="000000" w:fill="BFBFB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C0C0C0"/>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225" w:type="pct"/>
            <w:tcBorders>
              <w:top w:val="nil"/>
              <w:left w:val="nil"/>
              <w:bottom w:val="single" w:sz="4" w:space="0" w:color="auto"/>
              <w:right w:val="single" w:sz="4" w:space="0" w:color="auto"/>
            </w:tcBorders>
            <w:shd w:val="clear" w:color="000000"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sz w:val="14"/>
                <w:szCs w:val="14"/>
                <w:lang w:val="es-ES"/>
              </w:rPr>
            </w:pPr>
            <w:r w:rsidRPr="002D1DB9">
              <w:rPr>
                <w:rFonts w:ascii="Lucida Bright" w:hAnsi="Lucida Bright" w:cs="Calibri"/>
                <w:sz w:val="14"/>
                <w:szCs w:val="14"/>
                <w:lang w:val="es-ES"/>
              </w:rPr>
              <w:t xml:space="preserve">  Créditos a terceros</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487.516,42 </w:t>
            </w:r>
          </w:p>
        </w:tc>
        <w:tc>
          <w:tcPr>
            <w:tcW w:w="315"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351.316,78 </w:t>
            </w:r>
          </w:p>
        </w:tc>
        <w:tc>
          <w:tcPr>
            <w:tcW w:w="330"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47"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(237.355,75) </w:t>
            </w:r>
          </w:p>
        </w:tc>
        <w:tc>
          <w:tcPr>
            <w:tcW w:w="406"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69"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281"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225"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601.477,45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xml:space="preserve">a) </w:t>
            </w:r>
            <w:proofErr w:type="spellStart"/>
            <w:r w:rsidRPr="002D1DB9">
              <w:rPr>
                <w:rFonts w:ascii="Lucida Bright" w:hAnsi="Lucida Bright" w:cs="Calibri"/>
                <w:i/>
                <w:iCs/>
                <w:sz w:val="14"/>
                <w:szCs w:val="14"/>
                <w:lang w:val="es-ES"/>
              </w:rPr>
              <w:t>Creditos</w:t>
            </w:r>
            <w:proofErr w:type="spellEnd"/>
            <w:r w:rsidRPr="002D1DB9">
              <w:rPr>
                <w:rFonts w:ascii="Lucida Bright" w:hAnsi="Lucida Bright" w:cs="Calibri"/>
                <w:i/>
                <w:iCs/>
                <w:sz w:val="14"/>
                <w:szCs w:val="14"/>
                <w:lang w:val="es-ES"/>
              </w:rPr>
              <w:t xml:space="preserve"> a </w:t>
            </w:r>
            <w:proofErr w:type="spellStart"/>
            <w:r w:rsidRPr="002D1DB9">
              <w:rPr>
                <w:rFonts w:ascii="Lucida Bright" w:hAnsi="Lucida Bright" w:cs="Calibri"/>
                <w:i/>
                <w:iCs/>
                <w:sz w:val="14"/>
                <w:szCs w:val="14"/>
                <w:lang w:val="es-ES"/>
              </w:rPr>
              <w:t>l.p</w:t>
            </w:r>
            <w:proofErr w:type="spellEnd"/>
            <w:r w:rsidRPr="002D1DB9">
              <w:rPr>
                <w:rFonts w:ascii="Lucida Bright" w:hAnsi="Lucida Bright" w:cs="Calibri"/>
                <w:i/>
                <w:iCs/>
                <w:sz w:val="14"/>
                <w:szCs w:val="14"/>
                <w:lang w:val="es-ES"/>
              </w:rPr>
              <w:t>. a otras partes vinculadas</w:t>
            </w:r>
          </w:p>
        </w:tc>
        <w:tc>
          <w:tcPr>
            <w:tcW w:w="35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406"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50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2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xml:space="preserve">b) </w:t>
            </w:r>
            <w:proofErr w:type="spellStart"/>
            <w:r w:rsidRPr="002D1DB9">
              <w:rPr>
                <w:rFonts w:ascii="Lucida Bright" w:hAnsi="Lucida Bright" w:cs="Calibri"/>
                <w:i/>
                <w:iCs/>
                <w:sz w:val="14"/>
                <w:szCs w:val="14"/>
                <w:lang w:val="es-ES"/>
              </w:rPr>
              <w:t>Creditos</w:t>
            </w:r>
            <w:proofErr w:type="spellEnd"/>
            <w:r w:rsidRPr="002D1DB9">
              <w:rPr>
                <w:rFonts w:ascii="Lucida Bright" w:hAnsi="Lucida Bright" w:cs="Calibri"/>
                <w:i/>
                <w:iCs/>
                <w:sz w:val="14"/>
                <w:szCs w:val="14"/>
                <w:lang w:val="es-ES"/>
              </w:rPr>
              <w:t xml:space="preserve"> a </w:t>
            </w:r>
            <w:proofErr w:type="spellStart"/>
            <w:r w:rsidRPr="002D1DB9">
              <w:rPr>
                <w:rFonts w:ascii="Lucida Bright" w:hAnsi="Lucida Bright" w:cs="Calibri"/>
                <w:i/>
                <w:iCs/>
                <w:sz w:val="14"/>
                <w:szCs w:val="14"/>
                <w:lang w:val="es-ES"/>
              </w:rPr>
              <w:t>l.p</w:t>
            </w:r>
            <w:proofErr w:type="spellEnd"/>
            <w:r w:rsidRPr="002D1DB9">
              <w:rPr>
                <w:rFonts w:ascii="Lucida Bright" w:hAnsi="Lucida Bright" w:cs="Calibri"/>
                <w:i/>
                <w:iCs/>
                <w:sz w:val="14"/>
                <w:szCs w:val="14"/>
                <w:lang w:val="es-ES"/>
              </w:rPr>
              <w:t>.</w:t>
            </w:r>
          </w:p>
        </w:tc>
        <w:tc>
          <w:tcPr>
            <w:tcW w:w="35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135.520,00 </w:t>
            </w:r>
          </w:p>
        </w:tc>
        <w:tc>
          <w:tcPr>
            <w:tcW w:w="31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16.050,00 </w:t>
            </w:r>
          </w:p>
        </w:tc>
        <w:tc>
          <w:tcPr>
            <w:tcW w:w="330"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406"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50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2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151.570,00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xml:space="preserve">c) </w:t>
            </w:r>
            <w:proofErr w:type="spellStart"/>
            <w:r w:rsidRPr="002D1DB9">
              <w:rPr>
                <w:rFonts w:ascii="Lucida Bright" w:hAnsi="Lucida Bright" w:cs="Calibri"/>
                <w:i/>
                <w:iCs/>
                <w:sz w:val="14"/>
                <w:szCs w:val="14"/>
                <w:lang w:val="es-ES"/>
              </w:rPr>
              <w:t>Creditos</w:t>
            </w:r>
            <w:proofErr w:type="spellEnd"/>
            <w:r w:rsidRPr="002D1DB9">
              <w:rPr>
                <w:rFonts w:ascii="Lucida Bright" w:hAnsi="Lucida Bright" w:cs="Calibri"/>
                <w:i/>
                <w:iCs/>
                <w:sz w:val="14"/>
                <w:szCs w:val="14"/>
                <w:lang w:val="es-ES"/>
              </w:rPr>
              <w:t xml:space="preserve"> a </w:t>
            </w:r>
            <w:proofErr w:type="spellStart"/>
            <w:r w:rsidRPr="002D1DB9">
              <w:rPr>
                <w:rFonts w:ascii="Lucida Bright" w:hAnsi="Lucida Bright" w:cs="Calibri"/>
                <w:i/>
                <w:iCs/>
                <w:sz w:val="14"/>
                <w:szCs w:val="14"/>
                <w:lang w:val="es-ES"/>
              </w:rPr>
              <w:t>l.p</w:t>
            </w:r>
            <w:proofErr w:type="spellEnd"/>
            <w:r w:rsidRPr="002D1DB9">
              <w:rPr>
                <w:rFonts w:ascii="Lucida Bright" w:hAnsi="Lucida Bright" w:cs="Calibri"/>
                <w:i/>
                <w:iCs/>
                <w:sz w:val="14"/>
                <w:szCs w:val="14"/>
                <w:lang w:val="es-ES"/>
              </w:rPr>
              <w:t>. por enajenación de inmovilizado</w:t>
            </w:r>
          </w:p>
        </w:tc>
        <w:tc>
          <w:tcPr>
            <w:tcW w:w="35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406"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50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2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xml:space="preserve">d) Créditos a </w:t>
            </w:r>
            <w:proofErr w:type="spellStart"/>
            <w:r w:rsidRPr="002D1DB9">
              <w:rPr>
                <w:rFonts w:ascii="Lucida Bright" w:hAnsi="Lucida Bright" w:cs="Calibri"/>
                <w:i/>
                <w:iCs/>
                <w:sz w:val="14"/>
                <w:szCs w:val="14"/>
                <w:lang w:val="es-ES"/>
              </w:rPr>
              <w:t>l.p</w:t>
            </w:r>
            <w:proofErr w:type="spellEnd"/>
            <w:r w:rsidRPr="002D1DB9">
              <w:rPr>
                <w:rFonts w:ascii="Lucida Bright" w:hAnsi="Lucida Bright" w:cs="Calibri"/>
                <w:i/>
                <w:iCs/>
                <w:sz w:val="14"/>
                <w:szCs w:val="14"/>
                <w:lang w:val="es-ES"/>
              </w:rPr>
              <w:t>. al personal</w:t>
            </w:r>
          </w:p>
        </w:tc>
        <w:tc>
          <w:tcPr>
            <w:tcW w:w="35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351.996,42 </w:t>
            </w:r>
          </w:p>
        </w:tc>
        <w:tc>
          <w:tcPr>
            <w:tcW w:w="31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335.266,78 </w:t>
            </w:r>
          </w:p>
        </w:tc>
        <w:tc>
          <w:tcPr>
            <w:tcW w:w="330"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(237.355,75) </w:t>
            </w:r>
          </w:p>
        </w:tc>
        <w:tc>
          <w:tcPr>
            <w:tcW w:w="406"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50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2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449.907,45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sz w:val="14"/>
                <w:szCs w:val="14"/>
                <w:lang w:val="es-ES"/>
              </w:rPr>
            </w:pPr>
            <w:r w:rsidRPr="002D1DB9">
              <w:rPr>
                <w:rFonts w:ascii="Lucida Bright" w:hAnsi="Lucida Bright" w:cs="Calibri"/>
                <w:sz w:val="14"/>
                <w:szCs w:val="14"/>
                <w:lang w:val="es-ES"/>
              </w:rPr>
              <w:t xml:space="preserve">  </w:t>
            </w:r>
            <w:proofErr w:type="spellStart"/>
            <w:r w:rsidRPr="002D1DB9">
              <w:rPr>
                <w:rFonts w:ascii="Lucida Bright" w:hAnsi="Lucida Bright" w:cs="Calibri"/>
                <w:sz w:val="14"/>
                <w:szCs w:val="14"/>
                <w:lang w:val="es-ES"/>
              </w:rPr>
              <w:t>Adm</w:t>
            </w:r>
            <w:proofErr w:type="spellEnd"/>
            <w:r w:rsidRPr="002D1DB9">
              <w:rPr>
                <w:rFonts w:ascii="Lucida Bright" w:hAnsi="Lucida Bright" w:cs="Calibri"/>
                <w:sz w:val="14"/>
                <w:szCs w:val="14"/>
                <w:lang w:val="es-ES"/>
              </w:rPr>
              <w:t xml:space="preserve">. </w:t>
            </w:r>
            <w:proofErr w:type="spellStart"/>
            <w:r w:rsidRPr="002D1DB9">
              <w:rPr>
                <w:rFonts w:ascii="Lucida Bright" w:hAnsi="Lucida Bright" w:cs="Calibri"/>
                <w:sz w:val="14"/>
                <w:szCs w:val="14"/>
                <w:lang w:val="es-ES"/>
              </w:rPr>
              <w:t>Públ</w:t>
            </w:r>
            <w:proofErr w:type="spellEnd"/>
            <w:r w:rsidRPr="002D1DB9">
              <w:rPr>
                <w:rFonts w:ascii="Lucida Bright" w:hAnsi="Lucida Bright" w:cs="Calibri"/>
                <w:sz w:val="14"/>
                <w:szCs w:val="14"/>
                <w:lang w:val="es-ES"/>
              </w:rPr>
              <w:t xml:space="preserve">., subvenciones oficiales pendientes de cobro a </w:t>
            </w:r>
            <w:proofErr w:type="spellStart"/>
            <w:r w:rsidRPr="002D1DB9">
              <w:rPr>
                <w:rFonts w:ascii="Lucida Bright" w:hAnsi="Lucida Bright" w:cs="Calibri"/>
                <w:sz w:val="14"/>
                <w:szCs w:val="14"/>
                <w:lang w:val="es-ES"/>
              </w:rPr>
              <w:t>l.p</w:t>
            </w:r>
            <w:proofErr w:type="spellEnd"/>
            <w:r w:rsidRPr="002D1DB9">
              <w:rPr>
                <w:rFonts w:ascii="Lucida Bright" w:hAnsi="Lucida Bright" w:cs="Calibri"/>
                <w:sz w:val="14"/>
                <w:szCs w:val="14"/>
                <w:lang w:val="es-ES"/>
              </w:rPr>
              <w:t>.</w:t>
            </w:r>
          </w:p>
        </w:tc>
        <w:tc>
          <w:tcPr>
            <w:tcW w:w="358" w:type="pct"/>
            <w:tcBorders>
              <w:top w:val="single" w:sz="4" w:space="0" w:color="auto"/>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30" w:type="pct"/>
            <w:tcBorders>
              <w:top w:val="single" w:sz="4" w:space="0" w:color="auto"/>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47" w:type="pct"/>
            <w:tcBorders>
              <w:top w:val="single" w:sz="4" w:space="0" w:color="auto"/>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406" w:type="pct"/>
            <w:tcBorders>
              <w:top w:val="single" w:sz="4" w:space="0" w:color="auto"/>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508" w:type="pct"/>
            <w:tcBorders>
              <w:top w:val="single" w:sz="4" w:space="0" w:color="auto"/>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281" w:type="pct"/>
            <w:tcBorders>
              <w:top w:val="single" w:sz="4" w:space="0" w:color="auto"/>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225" w:type="pct"/>
            <w:tcBorders>
              <w:top w:val="single" w:sz="4" w:space="0" w:color="auto"/>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sz w:val="14"/>
                <w:szCs w:val="14"/>
                <w:lang w:val="es-ES"/>
              </w:rPr>
            </w:pPr>
            <w:r w:rsidRPr="002D1DB9">
              <w:rPr>
                <w:rFonts w:ascii="Lucida Bright" w:hAnsi="Lucida Bright" w:cs="Calibri"/>
                <w:sz w:val="14"/>
                <w:szCs w:val="14"/>
                <w:lang w:val="es-ES"/>
              </w:rPr>
              <w:t xml:space="preserve">  Otros activos financieros</w:t>
            </w:r>
          </w:p>
        </w:tc>
        <w:tc>
          <w:tcPr>
            <w:tcW w:w="35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1.244.438,00 </w:t>
            </w:r>
          </w:p>
        </w:tc>
        <w:tc>
          <w:tcPr>
            <w:tcW w:w="31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30"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47"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406"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50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69"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281"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22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sz w:val="14"/>
                <w:szCs w:val="14"/>
                <w:lang w:val="es-ES"/>
              </w:rPr>
            </w:pPr>
            <w:r w:rsidRPr="002D1DB9">
              <w:rPr>
                <w:rFonts w:ascii="Lucida Bright" w:hAnsi="Lucida Bright" w:cs="Calibri"/>
                <w:sz w:val="14"/>
                <w:szCs w:val="14"/>
                <w:lang w:val="es-ES"/>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1.244.438,00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xml:space="preserve">a) Activos por derivados financieros a </w:t>
            </w:r>
            <w:proofErr w:type="spellStart"/>
            <w:r w:rsidRPr="002D1DB9">
              <w:rPr>
                <w:rFonts w:ascii="Lucida Bright" w:hAnsi="Lucida Bright" w:cs="Calibri"/>
                <w:i/>
                <w:iCs/>
                <w:sz w:val="14"/>
                <w:szCs w:val="14"/>
                <w:lang w:val="es-ES"/>
              </w:rPr>
              <w:t>l.p</w:t>
            </w:r>
            <w:proofErr w:type="spellEnd"/>
            <w:r w:rsidRPr="002D1DB9">
              <w:rPr>
                <w:rFonts w:ascii="Lucida Bright" w:hAnsi="Lucida Bright" w:cs="Calibri"/>
                <w:i/>
                <w:iCs/>
                <w:sz w:val="14"/>
                <w:szCs w:val="14"/>
                <w:lang w:val="es-ES"/>
              </w:rPr>
              <w:t>.</w:t>
            </w:r>
          </w:p>
        </w:tc>
        <w:tc>
          <w:tcPr>
            <w:tcW w:w="35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406"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50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2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xml:space="preserve">b) Imposiciones a </w:t>
            </w:r>
            <w:proofErr w:type="spellStart"/>
            <w:r w:rsidRPr="002D1DB9">
              <w:rPr>
                <w:rFonts w:ascii="Lucida Bright" w:hAnsi="Lucida Bright" w:cs="Calibri"/>
                <w:i/>
                <w:iCs/>
                <w:sz w:val="14"/>
                <w:szCs w:val="14"/>
                <w:lang w:val="es-ES"/>
              </w:rPr>
              <w:t>l.p</w:t>
            </w:r>
            <w:proofErr w:type="spellEnd"/>
            <w:r w:rsidRPr="002D1DB9">
              <w:rPr>
                <w:rFonts w:ascii="Lucida Bright" w:hAnsi="Lucida Bright" w:cs="Calibri"/>
                <w:i/>
                <w:iCs/>
                <w:sz w:val="14"/>
                <w:szCs w:val="14"/>
                <w:lang w:val="es-ES"/>
              </w:rPr>
              <w:t>.</w:t>
            </w:r>
          </w:p>
        </w:tc>
        <w:tc>
          <w:tcPr>
            <w:tcW w:w="35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30"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406"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508"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69"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25" w:type="pct"/>
            <w:tcBorders>
              <w:top w:val="nil"/>
              <w:left w:val="nil"/>
              <w:bottom w:val="single" w:sz="4" w:space="0" w:color="auto"/>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 </w:t>
            </w:r>
          </w:p>
        </w:tc>
      </w:tr>
      <w:tr w:rsidR="002D1DB9" w:rsidRPr="002D1DB9" w:rsidTr="002D1DB9">
        <w:trPr>
          <w:trHeight w:val="300"/>
        </w:trPr>
        <w:tc>
          <w:tcPr>
            <w:tcW w:w="1504"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xml:space="preserve">c) Fianzas y depósitos constituidos a </w:t>
            </w:r>
            <w:proofErr w:type="spellStart"/>
            <w:r w:rsidRPr="002D1DB9">
              <w:rPr>
                <w:rFonts w:ascii="Lucida Bright" w:hAnsi="Lucida Bright" w:cs="Calibri"/>
                <w:i/>
                <w:iCs/>
                <w:sz w:val="14"/>
                <w:szCs w:val="14"/>
                <w:lang w:val="es-ES"/>
              </w:rPr>
              <w:t>l.p</w:t>
            </w:r>
            <w:proofErr w:type="spellEnd"/>
            <w:r w:rsidRPr="002D1DB9">
              <w:rPr>
                <w:rFonts w:ascii="Lucida Bright" w:hAnsi="Lucida Bright" w:cs="Calibri"/>
                <w:i/>
                <w:iCs/>
                <w:sz w:val="14"/>
                <w:szCs w:val="14"/>
                <w:lang w:val="es-ES"/>
              </w:rPr>
              <w:t>.</w:t>
            </w:r>
          </w:p>
        </w:tc>
        <w:tc>
          <w:tcPr>
            <w:tcW w:w="358" w:type="pct"/>
            <w:tcBorders>
              <w:top w:val="nil"/>
              <w:left w:val="nil"/>
              <w:bottom w:val="nil"/>
              <w:right w:val="single" w:sz="4" w:space="0" w:color="auto"/>
            </w:tcBorders>
            <w:shd w:val="clear" w:color="000000" w:fill="FFFFFF"/>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1.244.438,00 </w:t>
            </w:r>
          </w:p>
        </w:tc>
        <w:tc>
          <w:tcPr>
            <w:tcW w:w="315" w:type="pct"/>
            <w:tcBorders>
              <w:top w:val="nil"/>
              <w:left w:val="nil"/>
              <w:bottom w:val="nil"/>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30" w:type="pct"/>
            <w:tcBorders>
              <w:top w:val="nil"/>
              <w:left w:val="nil"/>
              <w:bottom w:val="nil"/>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47" w:type="pct"/>
            <w:tcBorders>
              <w:top w:val="nil"/>
              <w:left w:val="nil"/>
              <w:bottom w:val="nil"/>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406" w:type="pct"/>
            <w:tcBorders>
              <w:top w:val="nil"/>
              <w:left w:val="nil"/>
              <w:bottom w:val="nil"/>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508" w:type="pct"/>
            <w:tcBorders>
              <w:top w:val="nil"/>
              <w:left w:val="nil"/>
              <w:bottom w:val="nil"/>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69" w:type="pct"/>
            <w:tcBorders>
              <w:top w:val="nil"/>
              <w:left w:val="nil"/>
              <w:bottom w:val="nil"/>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81" w:type="pct"/>
            <w:tcBorders>
              <w:top w:val="nil"/>
              <w:left w:val="nil"/>
              <w:bottom w:val="nil"/>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225" w:type="pct"/>
            <w:tcBorders>
              <w:top w:val="nil"/>
              <w:left w:val="nil"/>
              <w:bottom w:val="nil"/>
              <w:right w:val="single" w:sz="4" w:space="0" w:color="auto"/>
            </w:tcBorders>
            <w:shd w:val="clear" w:color="000000" w:fill="FFFFFF"/>
            <w:noWrap/>
            <w:vAlign w:val="center"/>
            <w:hideMark/>
          </w:tcPr>
          <w:p w:rsidR="002D1DB9" w:rsidRPr="002D1DB9" w:rsidRDefault="002D1DB9" w:rsidP="002D1DB9">
            <w:pPr>
              <w:rPr>
                <w:rFonts w:ascii="Lucida Bright" w:hAnsi="Lucida Bright" w:cs="Calibri"/>
                <w:i/>
                <w:iCs/>
                <w:sz w:val="14"/>
                <w:szCs w:val="14"/>
                <w:lang w:val="es-ES"/>
              </w:rPr>
            </w:pPr>
            <w:r w:rsidRPr="002D1DB9">
              <w:rPr>
                <w:rFonts w:ascii="Lucida Bright" w:hAnsi="Lucida Bright" w:cs="Calibri"/>
                <w:i/>
                <w:iCs/>
                <w:sz w:val="14"/>
                <w:szCs w:val="14"/>
                <w:lang w:val="es-ES"/>
              </w:rPr>
              <w:t> </w:t>
            </w:r>
          </w:p>
        </w:tc>
        <w:tc>
          <w:tcPr>
            <w:tcW w:w="358"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i/>
                <w:iCs/>
                <w:sz w:val="14"/>
                <w:szCs w:val="14"/>
                <w:lang w:val="es-ES"/>
              </w:rPr>
            </w:pPr>
            <w:r w:rsidRPr="002D1DB9">
              <w:rPr>
                <w:rFonts w:ascii="Lucida Bright" w:hAnsi="Lucida Bright" w:cs="Calibri"/>
                <w:i/>
                <w:iCs/>
                <w:sz w:val="14"/>
                <w:szCs w:val="14"/>
                <w:lang w:val="es-ES"/>
              </w:rPr>
              <w:t xml:space="preserve">1.244.438,00 </w:t>
            </w:r>
          </w:p>
        </w:tc>
      </w:tr>
      <w:tr w:rsidR="002D1DB9" w:rsidRPr="002D1DB9" w:rsidTr="002D1DB9">
        <w:trPr>
          <w:trHeight w:val="300"/>
        </w:trPr>
        <w:tc>
          <w:tcPr>
            <w:tcW w:w="578" w:type="pct"/>
            <w:tcBorders>
              <w:top w:val="nil"/>
              <w:left w:val="single" w:sz="4" w:space="0" w:color="auto"/>
              <w:bottom w:val="single" w:sz="4" w:space="0" w:color="auto"/>
              <w:right w:val="nil"/>
            </w:tcBorders>
            <w:shd w:val="clear" w:color="000000" w:fill="FFFFFF"/>
            <w:noWrap/>
            <w:vAlign w:val="center"/>
            <w:hideMark/>
          </w:tcPr>
          <w:p w:rsidR="002D1DB9" w:rsidRPr="002D1DB9" w:rsidRDefault="002D1DB9" w:rsidP="002D1DB9">
            <w:pPr>
              <w:jc w:val="center"/>
              <w:rPr>
                <w:rFonts w:ascii="Lucida Bright" w:hAnsi="Lucida Bright" w:cs="Calibri"/>
                <w:b/>
                <w:bCs/>
                <w:sz w:val="14"/>
                <w:szCs w:val="14"/>
                <w:lang w:val="es-ES"/>
              </w:rPr>
            </w:pPr>
            <w:r w:rsidRPr="002D1DB9">
              <w:rPr>
                <w:rFonts w:ascii="Lucida Bright" w:hAnsi="Lucida Bright" w:cs="Calibri"/>
                <w:b/>
                <w:bCs/>
                <w:sz w:val="14"/>
                <w:szCs w:val="14"/>
                <w:lang w:val="es-ES"/>
              </w:rPr>
              <w:t>TOTAL</w:t>
            </w:r>
          </w:p>
        </w:tc>
        <w:tc>
          <w:tcPr>
            <w:tcW w:w="926" w:type="pct"/>
            <w:tcBorders>
              <w:top w:val="nil"/>
              <w:left w:val="nil"/>
              <w:bottom w:val="single" w:sz="4" w:space="0" w:color="auto"/>
              <w:right w:val="single" w:sz="4" w:space="0" w:color="auto"/>
            </w:tcBorders>
            <w:shd w:val="clear" w:color="auto" w:fill="auto"/>
            <w:noWrap/>
            <w:vAlign w:val="center"/>
            <w:hideMark/>
          </w:tcPr>
          <w:p w:rsidR="002D1DB9" w:rsidRPr="002D1DB9" w:rsidRDefault="002D1DB9" w:rsidP="002D1DB9">
            <w:pPr>
              <w:rPr>
                <w:rFonts w:ascii="Lucida Bright" w:hAnsi="Lucida Bright" w:cs="Calibri"/>
                <w:b/>
                <w:bCs/>
                <w:sz w:val="14"/>
                <w:szCs w:val="14"/>
                <w:lang w:val="es-ES"/>
              </w:rPr>
            </w:pPr>
            <w:r w:rsidRPr="002D1DB9">
              <w:rPr>
                <w:rFonts w:ascii="Lucida Bright" w:hAnsi="Lucida Bright" w:cs="Calibri"/>
                <w:b/>
                <w:bCs/>
                <w:sz w:val="14"/>
                <w:szCs w:val="14"/>
                <w:lang w:val="es-ES"/>
              </w:rPr>
              <w:t>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1.731.954,42 </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351.316,78 </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 </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(237.355,75)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 </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 </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 </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2D1DB9" w:rsidRPr="002D1DB9" w:rsidRDefault="002D1DB9" w:rsidP="002D1DB9">
            <w:pPr>
              <w:jc w:val="right"/>
              <w:rPr>
                <w:rFonts w:ascii="Lucida Bright" w:hAnsi="Lucida Bright" w:cs="Calibri"/>
                <w:b/>
                <w:bCs/>
                <w:sz w:val="14"/>
                <w:szCs w:val="14"/>
                <w:lang w:val="es-ES"/>
              </w:rPr>
            </w:pPr>
            <w:r w:rsidRPr="002D1DB9">
              <w:rPr>
                <w:rFonts w:ascii="Lucida Bright" w:hAnsi="Lucida Bright" w:cs="Calibri"/>
                <w:b/>
                <w:bCs/>
                <w:sz w:val="14"/>
                <w:szCs w:val="14"/>
                <w:lang w:val="es-ES"/>
              </w:rPr>
              <w:t xml:space="preserve">1.845.915,45 </w:t>
            </w:r>
          </w:p>
        </w:tc>
      </w:tr>
    </w:tbl>
    <w:p w:rsidR="00077612" w:rsidRDefault="00077612">
      <w:pPr>
        <w:tabs>
          <w:tab w:val="right" w:pos="8364"/>
        </w:tabs>
        <w:ind w:left="142" w:firstLine="425"/>
        <w:jc w:val="both"/>
        <w:rPr>
          <w:rFonts w:ascii="NewBaskerville" w:hAnsi="NewBaskerville"/>
        </w:rPr>
        <w:sectPr w:rsidR="00077612" w:rsidSect="00AF5267">
          <w:pgSz w:w="16840" w:h="11907" w:orient="landscape" w:code="9"/>
          <w:pgMar w:top="1985" w:right="1701" w:bottom="1418" w:left="1701" w:header="567" w:footer="720" w:gutter="0"/>
          <w:cols w:space="720"/>
          <w:docGrid w:linePitch="272"/>
        </w:sectPr>
      </w:pPr>
    </w:p>
    <w:p w:rsidR="00077612" w:rsidRDefault="00077612">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077612" w:rsidRDefault="00077612">
      <w:pPr>
        <w:tabs>
          <w:tab w:val="right" w:pos="8364"/>
        </w:tabs>
        <w:ind w:left="142" w:firstLine="425"/>
        <w:jc w:val="both"/>
        <w:rPr>
          <w:rFonts w:ascii="NewBaskerville" w:hAnsi="NewBaskerville"/>
        </w:rPr>
      </w:pPr>
    </w:p>
    <w:tbl>
      <w:tblPr>
        <w:tblW w:w="5000" w:type="pct"/>
        <w:tblCellMar>
          <w:left w:w="70" w:type="dxa"/>
          <w:right w:w="70" w:type="dxa"/>
        </w:tblCellMar>
        <w:tblLook w:val="04A0" w:firstRow="1" w:lastRow="0" w:firstColumn="1" w:lastColumn="0" w:noHBand="0" w:noVBand="1"/>
      </w:tblPr>
      <w:tblGrid>
        <w:gridCol w:w="3793"/>
        <w:gridCol w:w="1515"/>
        <w:gridCol w:w="763"/>
        <w:gridCol w:w="1426"/>
        <w:gridCol w:w="1032"/>
        <w:gridCol w:w="1084"/>
        <w:gridCol w:w="1035"/>
        <w:gridCol w:w="934"/>
        <w:gridCol w:w="1111"/>
        <w:gridCol w:w="885"/>
      </w:tblGrid>
      <w:tr w:rsidR="00202455" w:rsidRPr="00202455" w:rsidTr="001328BC">
        <w:trPr>
          <w:trHeight w:val="540"/>
        </w:trPr>
        <w:tc>
          <w:tcPr>
            <w:tcW w:w="1397" w:type="pct"/>
            <w:tcBorders>
              <w:top w:val="single" w:sz="4" w:space="0" w:color="auto"/>
              <w:left w:val="single" w:sz="4" w:space="0" w:color="auto"/>
              <w:bottom w:val="nil"/>
              <w:right w:val="nil"/>
            </w:tcBorders>
            <w:shd w:val="clear" w:color="000000" w:fill="CCFFCC"/>
            <w:vAlign w:val="center"/>
            <w:hideMark/>
          </w:tcPr>
          <w:p w:rsidR="00202455" w:rsidRPr="00202455" w:rsidRDefault="00202455" w:rsidP="00202455">
            <w:pPr>
              <w:jc w:val="center"/>
              <w:rPr>
                <w:rFonts w:ascii="Lucida Bright" w:hAnsi="Lucida Bright" w:cs="Calibri"/>
                <w:b/>
                <w:bCs/>
                <w:sz w:val="14"/>
                <w:szCs w:val="14"/>
                <w:lang w:val="es-ES"/>
              </w:rPr>
            </w:pPr>
            <w:r w:rsidRPr="00202455">
              <w:rPr>
                <w:rFonts w:ascii="Lucida Bright" w:hAnsi="Lucida Bright" w:cs="Calibri"/>
                <w:b/>
                <w:bCs/>
                <w:sz w:val="14"/>
                <w:szCs w:val="14"/>
                <w:lang w:val="es-ES"/>
              </w:rPr>
              <w:t>DETERIORO DE VALOR DE INVERSIONES FINANCIERAS A LARGO PLAZO</w:t>
            </w:r>
          </w:p>
        </w:tc>
        <w:tc>
          <w:tcPr>
            <w:tcW w:w="558" w:type="pct"/>
            <w:tcBorders>
              <w:top w:val="single" w:sz="4" w:space="0" w:color="auto"/>
              <w:left w:val="nil"/>
              <w:bottom w:val="nil"/>
              <w:right w:val="nil"/>
            </w:tcBorders>
            <w:shd w:val="clear" w:color="000000" w:fill="CCFFCC"/>
            <w:vAlign w:val="center"/>
            <w:hideMark/>
          </w:tcPr>
          <w:p w:rsidR="00202455" w:rsidRPr="00202455" w:rsidRDefault="00202455" w:rsidP="00202455">
            <w:pPr>
              <w:rPr>
                <w:rFonts w:ascii="Lucida Bright" w:hAnsi="Lucida Bright" w:cs="Calibri"/>
                <w:b/>
                <w:bCs/>
                <w:sz w:val="14"/>
                <w:szCs w:val="14"/>
                <w:lang w:val="es-ES"/>
              </w:rPr>
            </w:pPr>
            <w:r w:rsidRPr="00202455">
              <w:rPr>
                <w:rFonts w:ascii="Lucida Bright" w:hAnsi="Lucida Bright" w:cs="Calibri"/>
                <w:b/>
                <w:bCs/>
                <w:sz w:val="14"/>
                <w:szCs w:val="14"/>
                <w:lang w:val="es-ES"/>
              </w:rPr>
              <w:t> </w:t>
            </w:r>
          </w:p>
        </w:tc>
        <w:tc>
          <w:tcPr>
            <w:tcW w:w="281" w:type="pct"/>
            <w:tcBorders>
              <w:top w:val="single" w:sz="4" w:space="0" w:color="auto"/>
              <w:left w:val="single" w:sz="4" w:space="0" w:color="auto"/>
              <w:bottom w:val="nil"/>
              <w:right w:val="single" w:sz="4" w:space="0" w:color="auto"/>
            </w:tcBorders>
            <w:shd w:val="clear" w:color="000000" w:fill="CCFFCC"/>
            <w:vAlign w:val="center"/>
            <w:hideMark/>
          </w:tcPr>
          <w:p w:rsidR="00202455" w:rsidRPr="00202455" w:rsidRDefault="00202455" w:rsidP="00202455">
            <w:pPr>
              <w:jc w:val="center"/>
              <w:rPr>
                <w:rFonts w:ascii="Lucida Bright" w:hAnsi="Lucida Bright" w:cs="Calibri"/>
                <w:sz w:val="14"/>
                <w:szCs w:val="14"/>
                <w:lang w:val="es-ES"/>
              </w:rPr>
            </w:pPr>
            <w:r w:rsidRPr="00202455">
              <w:rPr>
                <w:rFonts w:ascii="Lucida Bright" w:hAnsi="Lucida Bright" w:cs="Calibri"/>
                <w:sz w:val="14"/>
                <w:szCs w:val="14"/>
                <w:lang w:val="es-ES"/>
              </w:rPr>
              <w:t>Saldo a</w:t>
            </w:r>
            <w:r w:rsidRPr="00202455">
              <w:rPr>
                <w:rFonts w:ascii="Lucida Bright" w:hAnsi="Lucida Bright" w:cs="Calibri"/>
                <w:sz w:val="14"/>
                <w:szCs w:val="14"/>
                <w:lang w:val="es-ES"/>
              </w:rPr>
              <w:br/>
              <w:t>31-12-22</w:t>
            </w:r>
          </w:p>
        </w:tc>
        <w:tc>
          <w:tcPr>
            <w:tcW w:w="525" w:type="pct"/>
            <w:tcBorders>
              <w:top w:val="single" w:sz="4" w:space="0" w:color="auto"/>
              <w:left w:val="nil"/>
              <w:bottom w:val="nil"/>
              <w:right w:val="nil"/>
            </w:tcBorders>
            <w:shd w:val="clear" w:color="000000" w:fill="CCFFCC"/>
            <w:vAlign w:val="center"/>
            <w:hideMark/>
          </w:tcPr>
          <w:p w:rsidR="00202455" w:rsidRPr="00202455" w:rsidRDefault="00202455" w:rsidP="00202455">
            <w:pPr>
              <w:jc w:val="center"/>
              <w:rPr>
                <w:rFonts w:ascii="Lucida Bright" w:hAnsi="Lucida Bright" w:cs="Calibri"/>
                <w:sz w:val="14"/>
                <w:szCs w:val="14"/>
                <w:lang w:val="es-ES"/>
              </w:rPr>
            </w:pPr>
            <w:r w:rsidRPr="00202455">
              <w:rPr>
                <w:rFonts w:ascii="Lucida Bright" w:hAnsi="Lucida Bright" w:cs="Calibri"/>
                <w:sz w:val="14"/>
                <w:szCs w:val="14"/>
                <w:lang w:val="es-ES"/>
              </w:rPr>
              <w:t>Dotaciones/Altas (+)</w:t>
            </w:r>
          </w:p>
        </w:tc>
        <w:tc>
          <w:tcPr>
            <w:tcW w:w="380" w:type="pct"/>
            <w:tcBorders>
              <w:top w:val="single" w:sz="4" w:space="0" w:color="auto"/>
              <w:left w:val="single" w:sz="4" w:space="0" w:color="auto"/>
              <w:bottom w:val="nil"/>
              <w:right w:val="single" w:sz="4" w:space="0" w:color="auto"/>
            </w:tcBorders>
            <w:shd w:val="clear" w:color="000000" w:fill="CCFFCC"/>
            <w:vAlign w:val="center"/>
            <w:hideMark/>
          </w:tcPr>
          <w:p w:rsidR="00202455" w:rsidRPr="00202455" w:rsidRDefault="00202455" w:rsidP="00202455">
            <w:pPr>
              <w:jc w:val="center"/>
              <w:rPr>
                <w:rFonts w:ascii="Lucida Bright" w:hAnsi="Lucida Bright" w:cs="Calibri"/>
                <w:sz w:val="14"/>
                <w:szCs w:val="14"/>
                <w:lang w:val="es-ES"/>
              </w:rPr>
            </w:pPr>
            <w:r w:rsidRPr="00202455">
              <w:rPr>
                <w:rFonts w:ascii="Lucida Bright" w:hAnsi="Lucida Bright" w:cs="Calibri"/>
                <w:sz w:val="14"/>
                <w:szCs w:val="14"/>
                <w:lang w:val="es-ES"/>
              </w:rPr>
              <w:t>Reversiones deterioros (-)</w:t>
            </w:r>
          </w:p>
        </w:tc>
        <w:tc>
          <w:tcPr>
            <w:tcW w:w="399" w:type="pct"/>
            <w:tcBorders>
              <w:top w:val="single" w:sz="4" w:space="0" w:color="auto"/>
              <w:left w:val="nil"/>
              <w:bottom w:val="nil"/>
              <w:right w:val="single" w:sz="4" w:space="0" w:color="auto"/>
            </w:tcBorders>
            <w:shd w:val="clear" w:color="000000" w:fill="CCFFCC"/>
            <w:vAlign w:val="center"/>
            <w:hideMark/>
          </w:tcPr>
          <w:p w:rsidR="00202455" w:rsidRPr="00202455" w:rsidRDefault="00202455" w:rsidP="00202455">
            <w:pPr>
              <w:jc w:val="center"/>
              <w:rPr>
                <w:rFonts w:ascii="Lucida Bright" w:hAnsi="Lucida Bright" w:cs="Calibri"/>
                <w:sz w:val="14"/>
                <w:szCs w:val="14"/>
                <w:lang w:val="es-ES"/>
              </w:rPr>
            </w:pPr>
            <w:r w:rsidRPr="00202455">
              <w:rPr>
                <w:rFonts w:ascii="Lucida Bright" w:hAnsi="Lucida Bright" w:cs="Calibri"/>
                <w:sz w:val="14"/>
                <w:szCs w:val="14"/>
                <w:lang w:val="es-ES"/>
              </w:rPr>
              <w:t>Aplicaciones (-)</w:t>
            </w:r>
          </w:p>
        </w:tc>
        <w:tc>
          <w:tcPr>
            <w:tcW w:w="381" w:type="pct"/>
            <w:tcBorders>
              <w:top w:val="single" w:sz="4" w:space="0" w:color="auto"/>
              <w:left w:val="nil"/>
              <w:bottom w:val="nil"/>
              <w:right w:val="single" w:sz="4" w:space="0" w:color="auto"/>
            </w:tcBorders>
            <w:shd w:val="clear" w:color="000000" w:fill="CCFFCC"/>
            <w:vAlign w:val="center"/>
            <w:hideMark/>
          </w:tcPr>
          <w:p w:rsidR="00202455" w:rsidRPr="00202455" w:rsidRDefault="00202455" w:rsidP="00202455">
            <w:pPr>
              <w:jc w:val="center"/>
              <w:rPr>
                <w:rFonts w:ascii="Lucida Bright" w:hAnsi="Lucida Bright" w:cs="Calibri"/>
                <w:sz w:val="14"/>
                <w:szCs w:val="14"/>
                <w:lang w:val="es-ES"/>
              </w:rPr>
            </w:pPr>
            <w:r w:rsidRPr="00202455">
              <w:rPr>
                <w:rFonts w:ascii="Lucida Bright" w:hAnsi="Lucida Bright" w:cs="Calibri"/>
                <w:sz w:val="14"/>
                <w:szCs w:val="14"/>
                <w:lang w:val="es-ES"/>
              </w:rPr>
              <w:t>Cancelación anticipada (-)</w:t>
            </w:r>
          </w:p>
        </w:tc>
        <w:tc>
          <w:tcPr>
            <w:tcW w:w="344" w:type="pct"/>
            <w:tcBorders>
              <w:top w:val="single" w:sz="4" w:space="0" w:color="auto"/>
              <w:left w:val="nil"/>
              <w:bottom w:val="nil"/>
              <w:right w:val="nil"/>
            </w:tcBorders>
            <w:shd w:val="clear" w:color="000000" w:fill="CCFFCC"/>
            <w:vAlign w:val="center"/>
            <w:hideMark/>
          </w:tcPr>
          <w:p w:rsidR="00202455" w:rsidRPr="00202455" w:rsidRDefault="00202455" w:rsidP="00202455">
            <w:pPr>
              <w:jc w:val="center"/>
              <w:rPr>
                <w:rFonts w:ascii="Lucida Bright" w:hAnsi="Lucida Bright" w:cs="Calibri"/>
                <w:sz w:val="14"/>
                <w:szCs w:val="14"/>
                <w:lang w:val="es-ES"/>
              </w:rPr>
            </w:pPr>
            <w:r w:rsidRPr="00202455">
              <w:rPr>
                <w:rFonts w:ascii="Lucida Bright" w:hAnsi="Lucida Bright" w:cs="Calibri"/>
                <w:sz w:val="14"/>
                <w:szCs w:val="14"/>
                <w:lang w:val="es-ES"/>
              </w:rPr>
              <w:t>Traspasos a corto plazo (-)</w:t>
            </w:r>
          </w:p>
        </w:tc>
        <w:tc>
          <w:tcPr>
            <w:tcW w:w="409" w:type="pct"/>
            <w:tcBorders>
              <w:top w:val="single" w:sz="4" w:space="0" w:color="auto"/>
              <w:left w:val="single" w:sz="4" w:space="0" w:color="auto"/>
              <w:bottom w:val="nil"/>
              <w:right w:val="single" w:sz="4" w:space="0" w:color="auto"/>
            </w:tcBorders>
            <w:shd w:val="clear" w:color="000000" w:fill="CCFFCC"/>
            <w:vAlign w:val="center"/>
            <w:hideMark/>
          </w:tcPr>
          <w:p w:rsidR="00202455" w:rsidRPr="00202455" w:rsidRDefault="00202455" w:rsidP="00202455">
            <w:pPr>
              <w:jc w:val="center"/>
              <w:rPr>
                <w:rFonts w:ascii="Lucida Bright" w:hAnsi="Lucida Bright" w:cs="Calibri"/>
                <w:sz w:val="14"/>
                <w:szCs w:val="14"/>
                <w:lang w:val="es-ES"/>
              </w:rPr>
            </w:pPr>
            <w:r w:rsidRPr="00202455">
              <w:rPr>
                <w:rFonts w:ascii="Lucida Bright" w:hAnsi="Lucida Bright" w:cs="Calibri"/>
                <w:sz w:val="14"/>
                <w:szCs w:val="14"/>
                <w:lang w:val="es-ES"/>
              </w:rPr>
              <w:t>Otros movimientos (+/-)</w:t>
            </w:r>
          </w:p>
        </w:tc>
        <w:tc>
          <w:tcPr>
            <w:tcW w:w="326" w:type="pct"/>
            <w:tcBorders>
              <w:top w:val="single" w:sz="4" w:space="0" w:color="auto"/>
              <w:left w:val="nil"/>
              <w:bottom w:val="nil"/>
              <w:right w:val="single" w:sz="4" w:space="0" w:color="auto"/>
            </w:tcBorders>
            <w:shd w:val="clear" w:color="000000" w:fill="CCFFCC"/>
            <w:vAlign w:val="center"/>
            <w:hideMark/>
          </w:tcPr>
          <w:p w:rsidR="00202455" w:rsidRPr="00202455" w:rsidRDefault="00202455" w:rsidP="00202455">
            <w:pPr>
              <w:jc w:val="center"/>
              <w:rPr>
                <w:rFonts w:ascii="Lucida Bright" w:hAnsi="Lucida Bright" w:cs="Calibri"/>
                <w:sz w:val="14"/>
                <w:szCs w:val="14"/>
                <w:lang w:val="es-ES"/>
              </w:rPr>
            </w:pPr>
            <w:r w:rsidRPr="00202455">
              <w:rPr>
                <w:rFonts w:ascii="Lucida Bright" w:hAnsi="Lucida Bright" w:cs="Calibri"/>
                <w:sz w:val="14"/>
                <w:szCs w:val="14"/>
                <w:lang w:val="es-ES"/>
              </w:rPr>
              <w:t>Saldo a</w:t>
            </w:r>
            <w:r w:rsidRPr="00202455">
              <w:rPr>
                <w:rFonts w:ascii="Lucida Bright" w:hAnsi="Lucida Bright" w:cs="Calibri"/>
                <w:sz w:val="14"/>
                <w:szCs w:val="14"/>
                <w:lang w:val="es-ES"/>
              </w:rPr>
              <w:br/>
              <w:t>31-12-23</w:t>
            </w:r>
          </w:p>
        </w:tc>
      </w:tr>
      <w:tr w:rsidR="00202455" w:rsidRPr="00202455" w:rsidTr="001328BC">
        <w:trPr>
          <w:trHeight w:val="300"/>
        </w:trPr>
        <w:tc>
          <w:tcPr>
            <w:tcW w:w="195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xml:space="preserve">  Instrumentos de patrimonio</w:t>
            </w:r>
          </w:p>
        </w:tc>
        <w:tc>
          <w:tcPr>
            <w:tcW w:w="281"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380"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399"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381"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409"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sz w:val="14"/>
                <w:szCs w:val="14"/>
                <w:lang w:val="es-ES"/>
              </w:rPr>
            </w:pPr>
            <w:r w:rsidRPr="00202455">
              <w:rPr>
                <w:rFonts w:ascii="Lucida Bright" w:hAnsi="Lucida Bright" w:cs="Calibri"/>
                <w:sz w:val="14"/>
                <w:szCs w:val="14"/>
                <w:lang w:val="es-ES"/>
              </w:rPr>
              <w:t xml:space="preserve">- </w:t>
            </w:r>
          </w:p>
        </w:tc>
      </w:tr>
      <w:tr w:rsidR="00202455" w:rsidRPr="00202455" w:rsidTr="001328BC">
        <w:trPr>
          <w:trHeight w:val="300"/>
        </w:trPr>
        <w:tc>
          <w:tcPr>
            <w:tcW w:w="1397" w:type="pct"/>
            <w:tcBorders>
              <w:top w:val="nil"/>
              <w:left w:val="single" w:sz="4" w:space="0" w:color="auto"/>
              <w:bottom w:val="single" w:sz="4" w:space="0" w:color="auto"/>
              <w:right w:val="nil"/>
            </w:tcBorders>
            <w:shd w:val="clear" w:color="000000" w:fill="FFFFFF"/>
            <w:noWrap/>
            <w:vAlign w:val="center"/>
            <w:hideMark/>
          </w:tcPr>
          <w:p w:rsidR="00202455" w:rsidRPr="00202455" w:rsidRDefault="00202455" w:rsidP="00202455">
            <w:pPr>
              <w:ind w:firstLineChars="100" w:firstLine="140"/>
              <w:rPr>
                <w:rFonts w:ascii="Lucida Bright" w:hAnsi="Lucida Bright" w:cs="Calibri"/>
                <w:i/>
                <w:iCs/>
                <w:sz w:val="14"/>
                <w:szCs w:val="14"/>
                <w:lang w:val="es-ES"/>
              </w:rPr>
            </w:pPr>
            <w:r w:rsidRPr="00202455">
              <w:rPr>
                <w:rFonts w:ascii="Lucida Bright" w:hAnsi="Lucida Bright" w:cs="Calibri"/>
                <w:i/>
                <w:iCs/>
                <w:sz w:val="14"/>
                <w:szCs w:val="14"/>
                <w:lang w:val="es-ES"/>
              </w:rPr>
              <w:t xml:space="preserve">a) Participaciones a </w:t>
            </w:r>
            <w:proofErr w:type="spellStart"/>
            <w:r w:rsidRPr="00202455">
              <w:rPr>
                <w:rFonts w:ascii="Lucida Bright" w:hAnsi="Lucida Bright" w:cs="Calibri"/>
                <w:i/>
                <w:iCs/>
                <w:sz w:val="14"/>
                <w:szCs w:val="14"/>
                <w:lang w:val="es-ES"/>
              </w:rPr>
              <w:t>l.p</w:t>
            </w:r>
            <w:proofErr w:type="spellEnd"/>
            <w:r w:rsidRPr="00202455">
              <w:rPr>
                <w:rFonts w:ascii="Lucida Bright" w:hAnsi="Lucida Bright" w:cs="Calibri"/>
                <w:i/>
                <w:iCs/>
                <w:sz w:val="14"/>
                <w:szCs w:val="14"/>
                <w:lang w:val="es-ES"/>
              </w:rPr>
              <w:t>. en otras partes vinculadas</w:t>
            </w:r>
          </w:p>
        </w:tc>
        <w:tc>
          <w:tcPr>
            <w:tcW w:w="558" w:type="pct"/>
            <w:tcBorders>
              <w:top w:val="nil"/>
              <w:left w:val="nil"/>
              <w:bottom w:val="single" w:sz="4" w:space="0" w:color="auto"/>
              <w:right w:val="single" w:sz="4" w:space="0" w:color="auto"/>
            </w:tcBorders>
            <w:shd w:val="clear" w:color="000000" w:fill="FFFFFF"/>
            <w:noWrap/>
            <w:vAlign w:val="bottom"/>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525"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0"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9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44"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i/>
                <w:iCs/>
                <w:sz w:val="14"/>
                <w:szCs w:val="14"/>
                <w:lang w:val="es-ES"/>
              </w:rPr>
            </w:pPr>
            <w:r w:rsidRPr="00202455">
              <w:rPr>
                <w:rFonts w:ascii="Lucida Bright" w:hAnsi="Lucida Bright" w:cs="Calibri"/>
                <w:i/>
                <w:iCs/>
                <w:sz w:val="14"/>
                <w:szCs w:val="14"/>
                <w:lang w:val="es-ES"/>
              </w:rPr>
              <w:t xml:space="preserve">- </w:t>
            </w:r>
          </w:p>
        </w:tc>
      </w:tr>
      <w:tr w:rsidR="00202455" w:rsidRPr="00202455" w:rsidTr="001328BC">
        <w:trPr>
          <w:trHeight w:val="300"/>
        </w:trPr>
        <w:tc>
          <w:tcPr>
            <w:tcW w:w="195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2455" w:rsidRPr="00202455" w:rsidRDefault="00202455" w:rsidP="00202455">
            <w:pPr>
              <w:ind w:firstLineChars="100" w:firstLine="140"/>
              <w:rPr>
                <w:rFonts w:ascii="Lucida Bright" w:hAnsi="Lucida Bright" w:cs="Calibri"/>
                <w:i/>
                <w:iCs/>
                <w:sz w:val="14"/>
                <w:szCs w:val="14"/>
                <w:lang w:val="es-ES"/>
              </w:rPr>
            </w:pPr>
            <w:r w:rsidRPr="00202455">
              <w:rPr>
                <w:rFonts w:ascii="Lucida Bright" w:hAnsi="Lucida Bright" w:cs="Calibri"/>
                <w:i/>
                <w:iCs/>
                <w:sz w:val="14"/>
                <w:szCs w:val="14"/>
                <w:lang w:val="es-ES"/>
              </w:rPr>
              <w:t xml:space="preserve">b) Participaciones a </w:t>
            </w:r>
            <w:proofErr w:type="spellStart"/>
            <w:r w:rsidRPr="00202455">
              <w:rPr>
                <w:rFonts w:ascii="Lucida Bright" w:hAnsi="Lucida Bright" w:cs="Calibri"/>
                <w:i/>
                <w:iCs/>
                <w:sz w:val="14"/>
                <w:szCs w:val="14"/>
                <w:lang w:val="es-ES"/>
              </w:rPr>
              <w:t>l.p</w:t>
            </w:r>
            <w:proofErr w:type="spellEnd"/>
            <w:r w:rsidRPr="00202455">
              <w:rPr>
                <w:rFonts w:ascii="Lucida Bright" w:hAnsi="Lucida Bright" w:cs="Calibri"/>
                <w:i/>
                <w:iCs/>
                <w:sz w:val="14"/>
                <w:szCs w:val="14"/>
                <w:lang w:val="es-ES"/>
              </w:rPr>
              <w:t>. en otras empresas</w:t>
            </w:r>
          </w:p>
        </w:tc>
        <w:tc>
          <w:tcPr>
            <w:tcW w:w="2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525"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0"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9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44"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i/>
                <w:iCs/>
                <w:sz w:val="14"/>
                <w:szCs w:val="14"/>
                <w:lang w:val="es-ES"/>
              </w:rPr>
            </w:pPr>
            <w:r w:rsidRPr="00202455">
              <w:rPr>
                <w:rFonts w:ascii="Lucida Bright" w:hAnsi="Lucida Bright" w:cs="Calibri"/>
                <w:i/>
                <w:iCs/>
                <w:sz w:val="14"/>
                <w:szCs w:val="14"/>
                <w:lang w:val="es-ES"/>
              </w:rPr>
              <w:t xml:space="preserve">- </w:t>
            </w:r>
          </w:p>
        </w:tc>
      </w:tr>
      <w:tr w:rsidR="00202455" w:rsidRPr="00202455" w:rsidTr="001328BC">
        <w:trPr>
          <w:trHeight w:val="300"/>
        </w:trPr>
        <w:tc>
          <w:tcPr>
            <w:tcW w:w="195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xml:space="preserve">  Créditos a terceros</w:t>
            </w:r>
          </w:p>
        </w:tc>
        <w:tc>
          <w:tcPr>
            <w:tcW w:w="2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525" w:type="pct"/>
            <w:tcBorders>
              <w:top w:val="nil"/>
              <w:left w:val="nil"/>
              <w:bottom w:val="single" w:sz="4" w:space="0" w:color="auto"/>
              <w:right w:val="single" w:sz="4" w:space="0" w:color="auto"/>
            </w:tcBorders>
            <w:shd w:val="clear" w:color="auto" w:fill="auto"/>
            <w:noWrap/>
            <w:vAlign w:val="center"/>
            <w:hideMark/>
          </w:tcPr>
          <w:p w:rsidR="00202455" w:rsidRPr="00202455" w:rsidRDefault="00202455" w:rsidP="00202455">
            <w:pPr>
              <w:jc w:val="right"/>
              <w:rPr>
                <w:rFonts w:ascii="Lucida Bright" w:hAnsi="Lucida Bright" w:cs="Calibri"/>
                <w:sz w:val="14"/>
                <w:szCs w:val="14"/>
                <w:lang w:val="es-ES"/>
              </w:rPr>
            </w:pPr>
            <w:r w:rsidRPr="00202455">
              <w:rPr>
                <w:rFonts w:ascii="Lucida Bright" w:hAnsi="Lucida Bright" w:cs="Calibri"/>
                <w:sz w:val="14"/>
                <w:szCs w:val="14"/>
                <w:lang w:val="es-ES"/>
              </w:rPr>
              <w:t xml:space="preserve">9.713,29 </w:t>
            </w:r>
          </w:p>
        </w:tc>
        <w:tc>
          <w:tcPr>
            <w:tcW w:w="380" w:type="pct"/>
            <w:tcBorders>
              <w:top w:val="nil"/>
              <w:left w:val="nil"/>
              <w:bottom w:val="single" w:sz="4" w:space="0" w:color="auto"/>
              <w:right w:val="single" w:sz="4" w:space="0" w:color="auto"/>
            </w:tcBorders>
            <w:shd w:val="clear" w:color="auto" w:fill="auto"/>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39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344"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sz w:val="14"/>
                <w:szCs w:val="14"/>
                <w:lang w:val="es-ES"/>
              </w:rPr>
            </w:pPr>
            <w:r w:rsidRPr="00202455">
              <w:rPr>
                <w:rFonts w:ascii="Lucida Bright" w:hAnsi="Lucida Bright" w:cs="Calibri"/>
                <w:sz w:val="14"/>
                <w:szCs w:val="14"/>
                <w:lang w:val="es-ES"/>
              </w:rPr>
              <w:t> </w:t>
            </w:r>
          </w:p>
        </w:tc>
        <w:tc>
          <w:tcPr>
            <w:tcW w:w="326" w:type="pct"/>
            <w:tcBorders>
              <w:top w:val="nil"/>
              <w:left w:val="nil"/>
              <w:bottom w:val="single" w:sz="4" w:space="0" w:color="auto"/>
              <w:right w:val="single" w:sz="4" w:space="0" w:color="auto"/>
            </w:tcBorders>
            <w:shd w:val="clear" w:color="auto" w:fill="auto"/>
            <w:noWrap/>
            <w:vAlign w:val="center"/>
            <w:hideMark/>
          </w:tcPr>
          <w:p w:rsidR="00202455" w:rsidRPr="00202455" w:rsidRDefault="00202455" w:rsidP="00202455">
            <w:pPr>
              <w:jc w:val="right"/>
              <w:rPr>
                <w:rFonts w:ascii="Lucida Bright" w:hAnsi="Lucida Bright" w:cs="Calibri"/>
                <w:sz w:val="14"/>
                <w:szCs w:val="14"/>
                <w:lang w:val="es-ES"/>
              </w:rPr>
            </w:pPr>
            <w:r w:rsidRPr="00202455">
              <w:rPr>
                <w:rFonts w:ascii="Lucida Bright" w:hAnsi="Lucida Bright" w:cs="Calibri"/>
                <w:sz w:val="14"/>
                <w:szCs w:val="14"/>
                <w:lang w:val="es-ES"/>
              </w:rPr>
              <w:t xml:space="preserve">9.713,29 </w:t>
            </w:r>
          </w:p>
        </w:tc>
      </w:tr>
      <w:tr w:rsidR="00202455" w:rsidRPr="00202455" w:rsidTr="001328BC">
        <w:trPr>
          <w:trHeight w:val="300"/>
        </w:trPr>
        <w:tc>
          <w:tcPr>
            <w:tcW w:w="1397" w:type="pct"/>
            <w:tcBorders>
              <w:top w:val="nil"/>
              <w:left w:val="single" w:sz="4" w:space="0" w:color="auto"/>
              <w:bottom w:val="single" w:sz="4" w:space="0" w:color="auto"/>
              <w:right w:val="nil"/>
            </w:tcBorders>
            <w:shd w:val="clear" w:color="000000" w:fill="FFFFFF"/>
            <w:noWrap/>
            <w:vAlign w:val="center"/>
            <w:hideMark/>
          </w:tcPr>
          <w:p w:rsidR="00202455" w:rsidRPr="00202455" w:rsidRDefault="00202455" w:rsidP="00202455">
            <w:pPr>
              <w:ind w:firstLineChars="100" w:firstLine="140"/>
              <w:rPr>
                <w:rFonts w:ascii="Lucida Bright" w:hAnsi="Lucida Bright" w:cs="Calibri"/>
                <w:i/>
                <w:iCs/>
                <w:sz w:val="14"/>
                <w:szCs w:val="14"/>
                <w:lang w:val="es-ES"/>
              </w:rPr>
            </w:pPr>
            <w:r w:rsidRPr="00202455">
              <w:rPr>
                <w:rFonts w:ascii="Lucida Bright" w:hAnsi="Lucida Bright" w:cs="Calibri"/>
                <w:i/>
                <w:iCs/>
                <w:sz w:val="14"/>
                <w:szCs w:val="14"/>
                <w:lang w:val="es-ES"/>
              </w:rPr>
              <w:t xml:space="preserve">a) Créditos a </w:t>
            </w:r>
            <w:proofErr w:type="spellStart"/>
            <w:r w:rsidRPr="00202455">
              <w:rPr>
                <w:rFonts w:ascii="Lucida Bright" w:hAnsi="Lucida Bright" w:cs="Calibri"/>
                <w:i/>
                <w:iCs/>
                <w:sz w:val="14"/>
                <w:szCs w:val="14"/>
                <w:lang w:val="es-ES"/>
              </w:rPr>
              <w:t>l.p</w:t>
            </w:r>
            <w:proofErr w:type="spellEnd"/>
            <w:r w:rsidRPr="00202455">
              <w:rPr>
                <w:rFonts w:ascii="Lucida Bright" w:hAnsi="Lucida Bright" w:cs="Calibri"/>
                <w:i/>
                <w:iCs/>
                <w:sz w:val="14"/>
                <w:szCs w:val="14"/>
                <w:lang w:val="es-ES"/>
              </w:rPr>
              <w:t>. a otras partes vinculadas</w:t>
            </w:r>
          </w:p>
        </w:tc>
        <w:tc>
          <w:tcPr>
            <w:tcW w:w="558" w:type="pct"/>
            <w:tcBorders>
              <w:top w:val="nil"/>
              <w:left w:val="nil"/>
              <w:bottom w:val="single" w:sz="4" w:space="0" w:color="auto"/>
              <w:right w:val="single" w:sz="4" w:space="0" w:color="auto"/>
            </w:tcBorders>
            <w:shd w:val="clear" w:color="000000" w:fill="FFFFFF"/>
            <w:noWrap/>
            <w:vAlign w:val="bottom"/>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525"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0"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9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44"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26" w:type="pct"/>
            <w:tcBorders>
              <w:top w:val="nil"/>
              <w:left w:val="nil"/>
              <w:bottom w:val="single" w:sz="4" w:space="0" w:color="auto"/>
              <w:right w:val="single" w:sz="4" w:space="0" w:color="auto"/>
            </w:tcBorders>
            <w:shd w:val="clear" w:color="auto" w:fill="auto"/>
            <w:noWrap/>
            <w:vAlign w:val="center"/>
            <w:hideMark/>
          </w:tcPr>
          <w:p w:rsidR="00202455" w:rsidRPr="00202455" w:rsidRDefault="00202455" w:rsidP="00202455">
            <w:pPr>
              <w:jc w:val="right"/>
              <w:rPr>
                <w:rFonts w:ascii="Lucida Bright" w:hAnsi="Lucida Bright" w:cs="Calibri"/>
                <w:i/>
                <w:iCs/>
                <w:sz w:val="14"/>
                <w:szCs w:val="14"/>
                <w:lang w:val="es-ES"/>
              </w:rPr>
            </w:pPr>
            <w:r w:rsidRPr="00202455">
              <w:rPr>
                <w:rFonts w:ascii="Lucida Bright" w:hAnsi="Lucida Bright" w:cs="Calibri"/>
                <w:i/>
                <w:iCs/>
                <w:sz w:val="14"/>
                <w:szCs w:val="14"/>
                <w:lang w:val="es-ES"/>
              </w:rPr>
              <w:t xml:space="preserve">- </w:t>
            </w:r>
          </w:p>
        </w:tc>
      </w:tr>
      <w:tr w:rsidR="00202455" w:rsidRPr="00202455" w:rsidTr="001328BC">
        <w:trPr>
          <w:trHeight w:val="300"/>
        </w:trPr>
        <w:tc>
          <w:tcPr>
            <w:tcW w:w="1955" w:type="pct"/>
            <w:gridSpan w:val="2"/>
            <w:tcBorders>
              <w:top w:val="single" w:sz="4" w:space="0" w:color="auto"/>
              <w:left w:val="single" w:sz="4" w:space="0" w:color="auto"/>
              <w:bottom w:val="nil"/>
              <w:right w:val="single" w:sz="4" w:space="0" w:color="000000"/>
            </w:tcBorders>
            <w:shd w:val="clear" w:color="000000" w:fill="FFFFFF"/>
            <w:noWrap/>
            <w:vAlign w:val="center"/>
            <w:hideMark/>
          </w:tcPr>
          <w:p w:rsidR="00202455" w:rsidRPr="00202455" w:rsidRDefault="00202455" w:rsidP="00202455">
            <w:pPr>
              <w:ind w:firstLineChars="100" w:firstLine="140"/>
              <w:rPr>
                <w:rFonts w:ascii="Lucida Bright" w:hAnsi="Lucida Bright" w:cs="Calibri"/>
                <w:i/>
                <w:iCs/>
                <w:sz w:val="14"/>
                <w:szCs w:val="14"/>
                <w:lang w:val="es-ES"/>
              </w:rPr>
            </w:pPr>
            <w:r w:rsidRPr="00202455">
              <w:rPr>
                <w:rFonts w:ascii="Lucida Bright" w:hAnsi="Lucida Bright" w:cs="Calibri"/>
                <w:i/>
                <w:iCs/>
                <w:sz w:val="14"/>
                <w:szCs w:val="14"/>
                <w:lang w:val="es-ES"/>
              </w:rPr>
              <w:t>b) Créditos a largo plazo</w:t>
            </w:r>
          </w:p>
        </w:tc>
        <w:tc>
          <w:tcPr>
            <w:tcW w:w="281" w:type="pct"/>
            <w:tcBorders>
              <w:top w:val="nil"/>
              <w:left w:val="nil"/>
              <w:bottom w:val="nil"/>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525" w:type="pct"/>
            <w:tcBorders>
              <w:top w:val="nil"/>
              <w:left w:val="nil"/>
              <w:bottom w:val="nil"/>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0" w:type="pct"/>
            <w:tcBorders>
              <w:top w:val="nil"/>
              <w:left w:val="nil"/>
              <w:bottom w:val="nil"/>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99" w:type="pct"/>
            <w:tcBorders>
              <w:top w:val="nil"/>
              <w:left w:val="nil"/>
              <w:bottom w:val="nil"/>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1" w:type="pct"/>
            <w:tcBorders>
              <w:top w:val="nil"/>
              <w:left w:val="nil"/>
              <w:bottom w:val="nil"/>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44" w:type="pct"/>
            <w:tcBorders>
              <w:top w:val="nil"/>
              <w:left w:val="nil"/>
              <w:bottom w:val="nil"/>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409" w:type="pct"/>
            <w:tcBorders>
              <w:top w:val="nil"/>
              <w:left w:val="nil"/>
              <w:bottom w:val="nil"/>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26" w:type="pct"/>
            <w:tcBorders>
              <w:top w:val="nil"/>
              <w:left w:val="nil"/>
              <w:bottom w:val="nil"/>
              <w:right w:val="single" w:sz="4" w:space="0" w:color="auto"/>
            </w:tcBorders>
            <w:shd w:val="clear" w:color="auto" w:fill="auto"/>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r>
      <w:tr w:rsidR="00202455" w:rsidRPr="00202455" w:rsidTr="001328BC">
        <w:trPr>
          <w:trHeight w:val="300"/>
        </w:trPr>
        <w:tc>
          <w:tcPr>
            <w:tcW w:w="195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2455" w:rsidRPr="00202455" w:rsidRDefault="00202455" w:rsidP="00202455">
            <w:pPr>
              <w:ind w:firstLineChars="100" w:firstLine="140"/>
              <w:rPr>
                <w:rFonts w:ascii="Lucida Bright" w:hAnsi="Lucida Bright" w:cs="Calibri"/>
                <w:i/>
                <w:iCs/>
                <w:sz w:val="14"/>
                <w:szCs w:val="14"/>
                <w:lang w:val="es-ES"/>
              </w:rPr>
            </w:pPr>
            <w:r w:rsidRPr="00202455">
              <w:rPr>
                <w:rFonts w:ascii="Lucida Bright" w:hAnsi="Lucida Bright" w:cs="Calibri"/>
                <w:i/>
                <w:iCs/>
                <w:sz w:val="14"/>
                <w:szCs w:val="14"/>
                <w:lang w:val="es-ES"/>
              </w:rPr>
              <w:t xml:space="preserve">c) </w:t>
            </w:r>
            <w:proofErr w:type="spellStart"/>
            <w:r w:rsidRPr="00202455">
              <w:rPr>
                <w:rFonts w:ascii="Lucida Bright" w:hAnsi="Lucida Bright" w:cs="Calibri"/>
                <w:i/>
                <w:iCs/>
                <w:sz w:val="14"/>
                <w:szCs w:val="14"/>
                <w:lang w:val="es-ES"/>
              </w:rPr>
              <w:t>Creditos</w:t>
            </w:r>
            <w:proofErr w:type="spellEnd"/>
            <w:r w:rsidRPr="00202455">
              <w:rPr>
                <w:rFonts w:ascii="Lucida Bright" w:hAnsi="Lucida Bright" w:cs="Calibri"/>
                <w:i/>
                <w:iCs/>
                <w:sz w:val="14"/>
                <w:szCs w:val="14"/>
                <w:lang w:val="es-ES"/>
              </w:rPr>
              <w:t xml:space="preserve"> a </w:t>
            </w:r>
            <w:proofErr w:type="spellStart"/>
            <w:r w:rsidRPr="00202455">
              <w:rPr>
                <w:rFonts w:ascii="Lucida Bright" w:hAnsi="Lucida Bright" w:cs="Calibri"/>
                <w:i/>
                <w:iCs/>
                <w:sz w:val="14"/>
                <w:szCs w:val="14"/>
                <w:lang w:val="es-ES"/>
              </w:rPr>
              <w:t>l.p</w:t>
            </w:r>
            <w:proofErr w:type="spellEnd"/>
            <w:r w:rsidRPr="00202455">
              <w:rPr>
                <w:rFonts w:ascii="Lucida Bright" w:hAnsi="Lucida Bright" w:cs="Calibri"/>
                <w:i/>
                <w:iCs/>
                <w:sz w:val="14"/>
                <w:szCs w:val="14"/>
                <w:lang w:val="es-ES"/>
              </w:rPr>
              <w:t>. por enajenación de inmovilizado</w:t>
            </w:r>
          </w:p>
        </w:tc>
        <w:tc>
          <w:tcPr>
            <w:tcW w:w="281"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0"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99"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1"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409" w:type="pct"/>
            <w:tcBorders>
              <w:top w:val="single" w:sz="4" w:space="0" w:color="auto"/>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r>
      <w:tr w:rsidR="00202455" w:rsidRPr="00202455" w:rsidTr="001328BC">
        <w:trPr>
          <w:trHeight w:val="300"/>
        </w:trPr>
        <w:tc>
          <w:tcPr>
            <w:tcW w:w="195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02455" w:rsidRPr="00202455" w:rsidRDefault="00202455" w:rsidP="00202455">
            <w:pPr>
              <w:ind w:firstLineChars="100" w:firstLine="140"/>
              <w:rPr>
                <w:rFonts w:ascii="Lucida Bright" w:hAnsi="Lucida Bright" w:cs="Calibri"/>
                <w:i/>
                <w:iCs/>
                <w:sz w:val="14"/>
                <w:szCs w:val="14"/>
                <w:lang w:val="es-ES"/>
              </w:rPr>
            </w:pPr>
            <w:r w:rsidRPr="00202455">
              <w:rPr>
                <w:rFonts w:ascii="Lucida Bright" w:hAnsi="Lucida Bright" w:cs="Calibri"/>
                <w:i/>
                <w:iCs/>
                <w:sz w:val="14"/>
                <w:szCs w:val="14"/>
                <w:lang w:val="es-ES"/>
              </w:rPr>
              <w:t>b) Créditos a largo plazo al personal</w:t>
            </w:r>
          </w:p>
        </w:tc>
        <w:tc>
          <w:tcPr>
            <w:tcW w:w="2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525"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i/>
                <w:iCs/>
                <w:sz w:val="14"/>
                <w:szCs w:val="14"/>
                <w:lang w:val="es-ES"/>
              </w:rPr>
            </w:pPr>
            <w:r w:rsidRPr="00202455">
              <w:rPr>
                <w:rFonts w:ascii="Lucida Bright" w:hAnsi="Lucida Bright" w:cs="Calibri"/>
                <w:i/>
                <w:iCs/>
                <w:sz w:val="14"/>
                <w:szCs w:val="14"/>
                <w:lang w:val="es-ES"/>
              </w:rPr>
              <w:t xml:space="preserve">9.713,29 </w:t>
            </w:r>
          </w:p>
        </w:tc>
        <w:tc>
          <w:tcPr>
            <w:tcW w:w="380"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9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44"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40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i/>
                <w:iCs/>
                <w:sz w:val="14"/>
                <w:szCs w:val="14"/>
                <w:lang w:val="es-ES"/>
              </w:rPr>
            </w:pPr>
            <w:r w:rsidRPr="00202455">
              <w:rPr>
                <w:rFonts w:ascii="Lucida Bright" w:hAnsi="Lucida Bright" w:cs="Calibri"/>
                <w:i/>
                <w:iCs/>
                <w:sz w:val="14"/>
                <w:szCs w:val="14"/>
                <w:lang w:val="es-ES"/>
              </w:rPr>
              <w:t> </w:t>
            </w:r>
          </w:p>
        </w:tc>
        <w:tc>
          <w:tcPr>
            <w:tcW w:w="326" w:type="pct"/>
            <w:tcBorders>
              <w:top w:val="nil"/>
              <w:left w:val="nil"/>
              <w:bottom w:val="single" w:sz="4" w:space="0" w:color="auto"/>
              <w:right w:val="single" w:sz="4" w:space="0" w:color="auto"/>
            </w:tcBorders>
            <w:shd w:val="clear" w:color="auto" w:fill="auto"/>
            <w:noWrap/>
            <w:vAlign w:val="center"/>
            <w:hideMark/>
          </w:tcPr>
          <w:p w:rsidR="00202455" w:rsidRPr="00202455" w:rsidRDefault="00202455" w:rsidP="00202455">
            <w:pPr>
              <w:jc w:val="right"/>
              <w:rPr>
                <w:rFonts w:ascii="Lucida Bright" w:hAnsi="Lucida Bright" w:cs="Calibri"/>
                <w:i/>
                <w:iCs/>
                <w:sz w:val="14"/>
                <w:szCs w:val="14"/>
                <w:lang w:val="es-ES"/>
              </w:rPr>
            </w:pPr>
            <w:r w:rsidRPr="00202455">
              <w:rPr>
                <w:rFonts w:ascii="Lucida Bright" w:hAnsi="Lucida Bright" w:cs="Calibri"/>
                <w:i/>
                <w:iCs/>
                <w:sz w:val="14"/>
                <w:szCs w:val="14"/>
                <w:lang w:val="es-ES"/>
              </w:rPr>
              <w:t xml:space="preserve">9.713,29 </w:t>
            </w:r>
          </w:p>
        </w:tc>
      </w:tr>
      <w:tr w:rsidR="00202455" w:rsidRPr="00202455" w:rsidTr="001328BC">
        <w:trPr>
          <w:trHeight w:val="300"/>
        </w:trPr>
        <w:tc>
          <w:tcPr>
            <w:tcW w:w="1397" w:type="pct"/>
            <w:tcBorders>
              <w:top w:val="nil"/>
              <w:left w:val="single" w:sz="4" w:space="0" w:color="auto"/>
              <w:bottom w:val="single" w:sz="4" w:space="0" w:color="auto"/>
              <w:right w:val="nil"/>
            </w:tcBorders>
            <w:shd w:val="clear" w:color="000000" w:fill="FFFFFF"/>
            <w:noWrap/>
            <w:vAlign w:val="center"/>
            <w:hideMark/>
          </w:tcPr>
          <w:p w:rsidR="00202455" w:rsidRPr="00202455" w:rsidRDefault="00202455" w:rsidP="00202455">
            <w:pPr>
              <w:jc w:val="center"/>
              <w:rPr>
                <w:rFonts w:ascii="Lucida Bright" w:hAnsi="Lucida Bright" w:cs="Calibri"/>
                <w:b/>
                <w:bCs/>
                <w:sz w:val="14"/>
                <w:szCs w:val="14"/>
                <w:lang w:val="es-ES"/>
              </w:rPr>
            </w:pPr>
            <w:r w:rsidRPr="00202455">
              <w:rPr>
                <w:rFonts w:ascii="Lucida Bright" w:hAnsi="Lucida Bright" w:cs="Calibri"/>
                <w:b/>
                <w:bCs/>
                <w:sz w:val="14"/>
                <w:szCs w:val="14"/>
                <w:lang w:val="es-ES"/>
              </w:rPr>
              <w:t>TOTAL</w:t>
            </w:r>
          </w:p>
        </w:tc>
        <w:tc>
          <w:tcPr>
            <w:tcW w:w="558"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rPr>
                <w:rFonts w:ascii="Lucida Bright" w:hAnsi="Lucida Bright" w:cs="Calibri"/>
                <w:b/>
                <w:bCs/>
                <w:sz w:val="14"/>
                <w:szCs w:val="14"/>
                <w:lang w:val="es-ES"/>
              </w:rPr>
            </w:pPr>
            <w:r w:rsidRPr="00202455">
              <w:rPr>
                <w:rFonts w:ascii="Lucida Bright" w:hAnsi="Lucida Bright" w:cs="Calibri"/>
                <w:b/>
                <w:bCs/>
                <w:sz w:val="14"/>
                <w:szCs w:val="14"/>
                <w:lang w:val="es-ES"/>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b/>
                <w:bCs/>
                <w:sz w:val="14"/>
                <w:szCs w:val="14"/>
                <w:lang w:val="es-ES"/>
              </w:rPr>
            </w:pPr>
            <w:r w:rsidRPr="00202455">
              <w:rPr>
                <w:rFonts w:ascii="Lucida Bright" w:hAnsi="Lucida Bright" w:cs="Calibri"/>
                <w:b/>
                <w:bCs/>
                <w:sz w:val="14"/>
                <w:szCs w:val="14"/>
                <w:lang w:val="es-ES"/>
              </w:rPr>
              <w:t xml:space="preserve">- </w:t>
            </w:r>
          </w:p>
        </w:tc>
        <w:tc>
          <w:tcPr>
            <w:tcW w:w="525"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b/>
                <w:bCs/>
                <w:sz w:val="14"/>
                <w:szCs w:val="14"/>
                <w:lang w:val="es-ES"/>
              </w:rPr>
            </w:pPr>
            <w:r w:rsidRPr="00202455">
              <w:rPr>
                <w:rFonts w:ascii="Lucida Bright" w:hAnsi="Lucida Bright" w:cs="Calibri"/>
                <w:b/>
                <w:bCs/>
                <w:sz w:val="14"/>
                <w:szCs w:val="14"/>
                <w:lang w:val="es-ES"/>
              </w:rPr>
              <w:t xml:space="preserve">9.713,29 </w:t>
            </w:r>
          </w:p>
        </w:tc>
        <w:tc>
          <w:tcPr>
            <w:tcW w:w="380"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b/>
                <w:bCs/>
                <w:sz w:val="14"/>
                <w:szCs w:val="14"/>
                <w:lang w:val="es-ES"/>
              </w:rPr>
            </w:pPr>
            <w:r w:rsidRPr="00202455">
              <w:rPr>
                <w:rFonts w:ascii="Lucida Bright" w:hAnsi="Lucida Bright" w:cs="Calibri"/>
                <w:b/>
                <w:bCs/>
                <w:sz w:val="14"/>
                <w:szCs w:val="14"/>
                <w:lang w:val="es-ES"/>
              </w:rPr>
              <w:t xml:space="preserve">- </w:t>
            </w:r>
          </w:p>
        </w:tc>
        <w:tc>
          <w:tcPr>
            <w:tcW w:w="39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b/>
                <w:bCs/>
                <w:sz w:val="14"/>
                <w:szCs w:val="14"/>
                <w:lang w:val="es-ES"/>
              </w:rPr>
            </w:pPr>
            <w:r w:rsidRPr="00202455">
              <w:rPr>
                <w:rFonts w:ascii="Lucida Bright" w:hAnsi="Lucida Bright" w:cs="Calibri"/>
                <w:b/>
                <w:bCs/>
                <w:sz w:val="14"/>
                <w:szCs w:val="14"/>
                <w:lang w:val="es-ES"/>
              </w:rPr>
              <w:t xml:space="preserve">- </w:t>
            </w:r>
          </w:p>
        </w:tc>
        <w:tc>
          <w:tcPr>
            <w:tcW w:w="381"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b/>
                <w:bCs/>
                <w:sz w:val="14"/>
                <w:szCs w:val="14"/>
                <w:lang w:val="es-ES"/>
              </w:rPr>
            </w:pPr>
            <w:r w:rsidRPr="00202455">
              <w:rPr>
                <w:rFonts w:ascii="Lucida Bright" w:hAnsi="Lucida Bright" w:cs="Calibri"/>
                <w:b/>
                <w:bCs/>
                <w:sz w:val="14"/>
                <w:szCs w:val="14"/>
                <w:lang w:val="es-ES"/>
              </w:rPr>
              <w:t xml:space="preserve">- </w:t>
            </w:r>
          </w:p>
        </w:tc>
        <w:tc>
          <w:tcPr>
            <w:tcW w:w="344"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b/>
                <w:bCs/>
                <w:sz w:val="14"/>
                <w:szCs w:val="14"/>
                <w:lang w:val="es-ES"/>
              </w:rPr>
            </w:pPr>
            <w:r w:rsidRPr="00202455">
              <w:rPr>
                <w:rFonts w:ascii="Lucida Bright" w:hAnsi="Lucida Bright" w:cs="Calibri"/>
                <w:b/>
                <w:bCs/>
                <w:sz w:val="14"/>
                <w:szCs w:val="14"/>
                <w:lang w:val="es-ES"/>
              </w:rPr>
              <w:t xml:space="preserve">- </w:t>
            </w:r>
          </w:p>
        </w:tc>
        <w:tc>
          <w:tcPr>
            <w:tcW w:w="409"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b/>
                <w:bCs/>
                <w:sz w:val="14"/>
                <w:szCs w:val="14"/>
                <w:lang w:val="es-ES"/>
              </w:rPr>
            </w:pPr>
            <w:r w:rsidRPr="00202455">
              <w:rPr>
                <w:rFonts w:ascii="Lucida Bright" w:hAnsi="Lucida Bright" w:cs="Calibri"/>
                <w:b/>
                <w:bCs/>
                <w:sz w:val="14"/>
                <w:szCs w:val="14"/>
                <w:lang w:val="es-ES"/>
              </w:rPr>
              <w:t xml:space="preserve">- </w:t>
            </w:r>
          </w:p>
        </w:tc>
        <w:tc>
          <w:tcPr>
            <w:tcW w:w="326" w:type="pct"/>
            <w:tcBorders>
              <w:top w:val="nil"/>
              <w:left w:val="nil"/>
              <w:bottom w:val="single" w:sz="4" w:space="0" w:color="auto"/>
              <w:right w:val="single" w:sz="4" w:space="0" w:color="auto"/>
            </w:tcBorders>
            <w:shd w:val="clear" w:color="000000" w:fill="FFFFFF"/>
            <w:noWrap/>
            <w:vAlign w:val="center"/>
            <w:hideMark/>
          </w:tcPr>
          <w:p w:rsidR="00202455" w:rsidRPr="00202455" w:rsidRDefault="00202455" w:rsidP="00202455">
            <w:pPr>
              <w:jc w:val="right"/>
              <w:rPr>
                <w:rFonts w:ascii="Lucida Bright" w:hAnsi="Lucida Bright" w:cs="Calibri"/>
                <w:b/>
                <w:bCs/>
                <w:sz w:val="14"/>
                <w:szCs w:val="14"/>
                <w:lang w:val="es-ES"/>
              </w:rPr>
            </w:pPr>
            <w:r w:rsidRPr="00202455">
              <w:rPr>
                <w:rFonts w:ascii="Lucida Bright" w:hAnsi="Lucida Bright" w:cs="Calibri"/>
                <w:b/>
                <w:bCs/>
                <w:sz w:val="14"/>
                <w:szCs w:val="14"/>
                <w:lang w:val="es-ES"/>
              </w:rPr>
              <w:t xml:space="preserve">9.713,29 </w:t>
            </w:r>
          </w:p>
        </w:tc>
      </w:tr>
    </w:tbl>
    <w:p w:rsidR="00077612" w:rsidRDefault="00077612">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pPr>
    </w:p>
    <w:p w:rsidR="00202455" w:rsidRDefault="00202455">
      <w:pPr>
        <w:tabs>
          <w:tab w:val="right" w:pos="8364"/>
        </w:tabs>
        <w:ind w:left="142" w:firstLine="425"/>
        <w:jc w:val="both"/>
        <w:rPr>
          <w:rFonts w:ascii="NewBaskerville" w:hAnsi="NewBaskerville"/>
        </w:rPr>
        <w:sectPr w:rsidR="00202455" w:rsidSect="00202455">
          <w:pgSz w:w="16840" w:h="11907" w:orient="landscape" w:code="9"/>
          <w:pgMar w:top="1985" w:right="1701" w:bottom="1418" w:left="1701" w:header="567" w:footer="720" w:gutter="0"/>
          <w:cols w:space="720"/>
          <w:docGrid w:linePitch="272"/>
        </w:sectPr>
      </w:pPr>
    </w:p>
    <w:p w:rsidR="00202455" w:rsidRDefault="00202455">
      <w:pPr>
        <w:tabs>
          <w:tab w:val="right" w:pos="8364"/>
        </w:tabs>
        <w:ind w:left="142" w:firstLine="425"/>
        <w:jc w:val="both"/>
        <w:rPr>
          <w:rFonts w:ascii="NewBaskerville" w:hAnsi="NewBaskerville"/>
        </w:rPr>
      </w:pPr>
    </w:p>
    <w:p w:rsidR="00077612" w:rsidRDefault="002C4355">
      <w:pPr>
        <w:tabs>
          <w:tab w:val="right" w:pos="8364"/>
        </w:tabs>
        <w:ind w:left="142" w:firstLine="425"/>
        <w:jc w:val="both"/>
        <w:rPr>
          <w:rFonts w:ascii="NewBaskerville" w:hAnsi="NewBaskerville"/>
        </w:rPr>
      </w:pPr>
      <w:r w:rsidRPr="00273586">
        <w:rPr>
          <w:rFonts w:ascii="NewBaskerville" w:hAnsi="NewBaskerville"/>
        </w:rPr>
        <w:t xml:space="preserve">Las </w:t>
      </w:r>
      <w:r w:rsidR="00E3178A" w:rsidRPr="00273586">
        <w:rPr>
          <w:rFonts w:ascii="NewBaskerville" w:hAnsi="NewBaskerville"/>
        </w:rPr>
        <w:t>“</w:t>
      </w:r>
      <w:r w:rsidR="00E3178A" w:rsidRPr="00273586">
        <w:rPr>
          <w:rFonts w:ascii="NewBaskerville" w:hAnsi="NewBaskerville"/>
          <w:b/>
        </w:rPr>
        <w:t>I</w:t>
      </w:r>
      <w:r w:rsidRPr="00273586">
        <w:rPr>
          <w:rFonts w:ascii="NewBaskerville" w:hAnsi="NewBaskerville"/>
          <w:b/>
        </w:rPr>
        <w:t>nversiones financieras a largo plazo</w:t>
      </w:r>
      <w:r w:rsidR="00E3178A" w:rsidRPr="00273586">
        <w:rPr>
          <w:rFonts w:ascii="NewBaskerville" w:hAnsi="NewBaskerville"/>
          <w:b/>
        </w:rPr>
        <w:t>”</w:t>
      </w:r>
      <w:r w:rsidR="00830179" w:rsidRPr="00273586">
        <w:rPr>
          <w:rFonts w:ascii="NewBaskerville" w:hAnsi="NewBaskerville"/>
        </w:rPr>
        <w:t xml:space="preserve"> se  </w:t>
      </w:r>
      <w:r w:rsidRPr="00273586">
        <w:rPr>
          <w:rFonts w:ascii="NewBaskerville" w:hAnsi="NewBaskerville"/>
        </w:rPr>
        <w:t>corresponden a</w:t>
      </w:r>
      <w:r w:rsidR="00077612">
        <w:rPr>
          <w:rFonts w:ascii="NewBaskerville" w:hAnsi="NewBaskerville"/>
        </w:rPr>
        <w:t>:</w:t>
      </w:r>
    </w:p>
    <w:p w:rsidR="00077612" w:rsidRDefault="00077612">
      <w:pPr>
        <w:tabs>
          <w:tab w:val="right" w:pos="8364"/>
        </w:tabs>
        <w:ind w:left="142" w:firstLine="425"/>
        <w:jc w:val="both"/>
        <w:rPr>
          <w:rFonts w:ascii="NewBaskerville" w:hAnsi="NewBaskerville"/>
        </w:rPr>
      </w:pPr>
    </w:p>
    <w:p w:rsidR="002C4355" w:rsidRDefault="00077612">
      <w:pPr>
        <w:tabs>
          <w:tab w:val="right" w:pos="8364"/>
        </w:tabs>
        <w:ind w:left="142" w:firstLine="425"/>
        <w:jc w:val="both"/>
        <w:rPr>
          <w:rFonts w:ascii="NewBaskerville" w:hAnsi="NewBaskerville"/>
        </w:rPr>
      </w:pPr>
      <w:r>
        <w:rPr>
          <w:rFonts w:ascii="NewBaskerville" w:hAnsi="NewBaskerville"/>
        </w:rPr>
        <w:t>C</w:t>
      </w:r>
      <w:r w:rsidR="002C4355" w:rsidRPr="00273586">
        <w:rPr>
          <w:rFonts w:ascii="NewBaskerville" w:hAnsi="NewBaskerville"/>
        </w:rPr>
        <w:t>réditos al personal</w:t>
      </w:r>
      <w:r>
        <w:rPr>
          <w:rFonts w:ascii="NewBaskerville" w:hAnsi="NewBaskerville"/>
        </w:rPr>
        <w:t>:</w:t>
      </w:r>
      <w:r w:rsidR="002C4355" w:rsidRPr="00273586">
        <w:rPr>
          <w:rFonts w:ascii="NewBaskerville" w:hAnsi="NewBaskerville"/>
        </w:rPr>
        <w:t xml:space="preserve"> que no se actualizan financieramente dado que el efecto de no actualizar estos flujos de efectivo no es signifi</w:t>
      </w:r>
      <w:r w:rsidR="00CD79D4" w:rsidRPr="00273586">
        <w:rPr>
          <w:rFonts w:ascii="NewBaskerville" w:hAnsi="NewBaskerville"/>
        </w:rPr>
        <w:t>c</w:t>
      </w:r>
      <w:r w:rsidR="0047248E" w:rsidRPr="00273586">
        <w:rPr>
          <w:rFonts w:ascii="NewBaskerville" w:hAnsi="NewBaskerville"/>
        </w:rPr>
        <w:t>ativo. Durante el ejercicio 202</w:t>
      </w:r>
      <w:r w:rsidR="00202455">
        <w:rPr>
          <w:rFonts w:ascii="NewBaskerville" w:hAnsi="NewBaskerville"/>
        </w:rPr>
        <w:t>3</w:t>
      </w:r>
      <w:r w:rsidR="002C4355" w:rsidRPr="00273586">
        <w:rPr>
          <w:rFonts w:ascii="NewBaskerville" w:hAnsi="NewBaskerville"/>
        </w:rPr>
        <w:t xml:space="preserve"> se han conce</w:t>
      </w:r>
      <w:r w:rsidR="00855AA4" w:rsidRPr="00273586">
        <w:rPr>
          <w:rFonts w:ascii="NewBaskerville" w:hAnsi="NewBaskerville"/>
        </w:rPr>
        <w:t xml:space="preserve">dido préstamos por importe de </w:t>
      </w:r>
      <w:r>
        <w:rPr>
          <w:rFonts w:ascii="NewBaskerville" w:hAnsi="NewBaskerville"/>
        </w:rPr>
        <w:t>3</w:t>
      </w:r>
      <w:r w:rsidR="001A586B">
        <w:rPr>
          <w:rFonts w:ascii="NewBaskerville" w:hAnsi="NewBaskerville"/>
        </w:rPr>
        <w:t>35</w:t>
      </w:r>
      <w:r w:rsidR="0047248E" w:rsidRPr="00273586">
        <w:rPr>
          <w:rFonts w:ascii="NewBaskerville" w:hAnsi="NewBaskerville"/>
        </w:rPr>
        <w:t>.</w:t>
      </w:r>
      <w:r w:rsidR="001A586B">
        <w:rPr>
          <w:rFonts w:ascii="NewBaskerville" w:hAnsi="NewBaskerville"/>
        </w:rPr>
        <w:t>266</w:t>
      </w:r>
      <w:r>
        <w:rPr>
          <w:rFonts w:ascii="NewBaskerville" w:hAnsi="NewBaskerville"/>
        </w:rPr>
        <w:t>,</w:t>
      </w:r>
      <w:r w:rsidR="001A586B">
        <w:rPr>
          <w:rFonts w:ascii="NewBaskerville" w:hAnsi="NewBaskerville"/>
        </w:rPr>
        <w:t>78</w:t>
      </w:r>
      <w:r w:rsidR="002C4355" w:rsidRPr="00273586">
        <w:rPr>
          <w:rFonts w:ascii="NewBaskerville" w:hAnsi="NewBaskerville"/>
        </w:rPr>
        <w:t xml:space="preserve"> euros y se han traspasado a corto plazo </w:t>
      </w:r>
      <w:r w:rsidR="0047248E" w:rsidRPr="00273586">
        <w:rPr>
          <w:rFonts w:ascii="NewBaskerville" w:hAnsi="NewBaskerville"/>
        </w:rPr>
        <w:t>2</w:t>
      </w:r>
      <w:r w:rsidR="001A586B">
        <w:rPr>
          <w:rFonts w:ascii="NewBaskerville" w:hAnsi="NewBaskerville"/>
        </w:rPr>
        <w:t>37</w:t>
      </w:r>
      <w:r w:rsidR="0047248E" w:rsidRPr="00273586">
        <w:rPr>
          <w:rFonts w:ascii="NewBaskerville" w:hAnsi="NewBaskerville"/>
        </w:rPr>
        <w:t>.</w:t>
      </w:r>
      <w:r w:rsidR="001A586B">
        <w:rPr>
          <w:rFonts w:ascii="NewBaskerville" w:hAnsi="NewBaskerville"/>
        </w:rPr>
        <w:t>355</w:t>
      </w:r>
      <w:r w:rsidR="0047248E" w:rsidRPr="00273586">
        <w:rPr>
          <w:rFonts w:ascii="NewBaskerville" w:hAnsi="NewBaskerville"/>
        </w:rPr>
        <w:t>,</w:t>
      </w:r>
      <w:r w:rsidR="001A586B">
        <w:rPr>
          <w:rFonts w:ascii="NewBaskerville" w:hAnsi="NewBaskerville"/>
        </w:rPr>
        <w:t>75</w:t>
      </w:r>
      <w:r w:rsidR="002C4355" w:rsidRPr="00273586">
        <w:rPr>
          <w:rFonts w:ascii="NewBaskerville" w:hAnsi="NewBaskerville"/>
        </w:rPr>
        <w:t xml:space="preserve"> euros. En el ejercicio 20</w:t>
      </w:r>
      <w:r w:rsidR="0047248E" w:rsidRPr="00273586">
        <w:rPr>
          <w:rFonts w:ascii="NewBaskerville" w:hAnsi="NewBaskerville"/>
        </w:rPr>
        <w:t>2</w:t>
      </w:r>
      <w:r w:rsidR="001A586B">
        <w:rPr>
          <w:rFonts w:ascii="NewBaskerville" w:hAnsi="NewBaskerville"/>
        </w:rPr>
        <w:t>2</w:t>
      </w:r>
      <w:r w:rsidR="0047248E" w:rsidRPr="00273586">
        <w:rPr>
          <w:rFonts w:ascii="NewBaskerville" w:hAnsi="NewBaskerville"/>
        </w:rPr>
        <w:t xml:space="preserve"> </w:t>
      </w:r>
      <w:r w:rsidR="002C4355" w:rsidRPr="00273586">
        <w:rPr>
          <w:rFonts w:ascii="NewBaskerville" w:hAnsi="NewBaskerville"/>
        </w:rPr>
        <w:t xml:space="preserve">se concedieron préstamos por importe de </w:t>
      </w:r>
      <w:r w:rsidR="00441ADC">
        <w:rPr>
          <w:rFonts w:ascii="NewBaskerville" w:hAnsi="NewBaskerville"/>
        </w:rPr>
        <w:t>239</w:t>
      </w:r>
      <w:r w:rsidR="0047248E" w:rsidRPr="00273586">
        <w:rPr>
          <w:rFonts w:ascii="NewBaskerville" w:hAnsi="NewBaskerville"/>
        </w:rPr>
        <w:t>.</w:t>
      </w:r>
      <w:r w:rsidR="00441ADC">
        <w:rPr>
          <w:rFonts w:ascii="NewBaskerville" w:hAnsi="NewBaskerville"/>
        </w:rPr>
        <w:t>0</w:t>
      </w:r>
      <w:r>
        <w:rPr>
          <w:rFonts w:ascii="NewBaskerville" w:hAnsi="NewBaskerville"/>
        </w:rPr>
        <w:t>00</w:t>
      </w:r>
      <w:r w:rsidR="0047248E" w:rsidRPr="00273586">
        <w:rPr>
          <w:rFonts w:ascii="NewBaskerville" w:hAnsi="NewBaskerville"/>
        </w:rPr>
        <w:t>,</w:t>
      </w:r>
      <w:r>
        <w:rPr>
          <w:rFonts w:ascii="NewBaskerville" w:hAnsi="NewBaskerville"/>
        </w:rPr>
        <w:t>00</w:t>
      </w:r>
      <w:r w:rsidR="00D358AD" w:rsidRPr="00273586">
        <w:rPr>
          <w:rFonts w:ascii="NewBaskerville" w:hAnsi="NewBaskerville"/>
        </w:rPr>
        <w:t xml:space="preserve"> </w:t>
      </w:r>
      <w:r w:rsidR="00BA6314" w:rsidRPr="00273586">
        <w:rPr>
          <w:rFonts w:ascii="NewBaskerville" w:hAnsi="NewBaskerville"/>
        </w:rPr>
        <w:t>euros</w:t>
      </w:r>
      <w:r w:rsidR="002C4355" w:rsidRPr="00273586">
        <w:rPr>
          <w:rFonts w:ascii="NewBaskerville" w:hAnsi="NewBaskerville"/>
        </w:rPr>
        <w:t xml:space="preserve"> y se traspasaron a corto plazo  </w:t>
      </w:r>
      <w:r w:rsidR="0047248E" w:rsidRPr="00273586">
        <w:rPr>
          <w:rFonts w:ascii="NewBaskerville" w:hAnsi="NewBaskerville"/>
        </w:rPr>
        <w:t>2</w:t>
      </w:r>
      <w:r w:rsidR="00441ADC">
        <w:rPr>
          <w:rFonts w:ascii="NewBaskerville" w:hAnsi="NewBaskerville"/>
        </w:rPr>
        <w:t>54</w:t>
      </w:r>
      <w:r w:rsidR="0047248E" w:rsidRPr="00273586">
        <w:rPr>
          <w:rFonts w:ascii="NewBaskerville" w:hAnsi="NewBaskerville"/>
        </w:rPr>
        <w:t>.</w:t>
      </w:r>
      <w:r w:rsidR="00441ADC">
        <w:rPr>
          <w:rFonts w:ascii="NewBaskerville" w:hAnsi="NewBaskerville"/>
        </w:rPr>
        <w:t>133</w:t>
      </w:r>
      <w:r w:rsidR="0047248E" w:rsidRPr="00273586">
        <w:rPr>
          <w:rFonts w:ascii="NewBaskerville" w:hAnsi="NewBaskerville"/>
        </w:rPr>
        <w:t>,</w:t>
      </w:r>
      <w:r w:rsidR="00441ADC">
        <w:rPr>
          <w:rFonts w:ascii="NewBaskerville" w:hAnsi="NewBaskerville"/>
        </w:rPr>
        <w:t>93</w:t>
      </w:r>
      <w:r w:rsidR="00D358AD" w:rsidRPr="00273586">
        <w:rPr>
          <w:rFonts w:ascii="NewBaskerville" w:hAnsi="NewBaskerville"/>
        </w:rPr>
        <w:t xml:space="preserve"> </w:t>
      </w:r>
      <w:r w:rsidR="002C4355" w:rsidRPr="00273586">
        <w:rPr>
          <w:rFonts w:ascii="NewBaskerville" w:hAnsi="NewBaskerville"/>
        </w:rPr>
        <w:t>euros.</w:t>
      </w:r>
      <w:r w:rsidR="00EB094C">
        <w:rPr>
          <w:rFonts w:ascii="NewBaskerville" w:hAnsi="NewBaskerville"/>
        </w:rPr>
        <w:t xml:space="preserve"> A fecha de cierre se ha efectuado una corrección valorativa por importe de 9.713,29 euros, correspondiente al saldo vivo de un anticipo reintegrable (crédito al personal) de un trabajador de la Entidad fallecido, no </w:t>
      </w:r>
      <w:r w:rsidR="009B06A7">
        <w:rPr>
          <w:rFonts w:ascii="NewBaskerville" w:hAnsi="NewBaskerville"/>
        </w:rPr>
        <w:t>estando</w:t>
      </w:r>
      <w:r w:rsidR="00EB094C">
        <w:rPr>
          <w:rFonts w:ascii="NewBaskerville" w:hAnsi="NewBaskerville"/>
        </w:rPr>
        <w:t xml:space="preserve"> asegurada la amortización del crédito por dicha contingencia.   </w:t>
      </w:r>
    </w:p>
    <w:p w:rsidR="00077612" w:rsidRDefault="00077612">
      <w:pPr>
        <w:tabs>
          <w:tab w:val="right" w:pos="8364"/>
        </w:tabs>
        <w:ind w:left="142" w:firstLine="425"/>
        <w:jc w:val="both"/>
        <w:rPr>
          <w:rFonts w:ascii="NewBaskerville" w:hAnsi="NewBaskerville"/>
        </w:rPr>
      </w:pPr>
    </w:p>
    <w:p w:rsidR="00644C2C" w:rsidRDefault="00077612">
      <w:pPr>
        <w:tabs>
          <w:tab w:val="right" w:pos="8364"/>
        </w:tabs>
        <w:ind w:left="142" w:firstLine="425"/>
        <w:jc w:val="both"/>
        <w:rPr>
          <w:rFonts w:ascii="NewBaskerville" w:hAnsi="NewBaskerville"/>
        </w:rPr>
      </w:pPr>
      <w:r>
        <w:rPr>
          <w:rFonts w:ascii="NewBaskerville" w:hAnsi="NewBaskerville"/>
        </w:rPr>
        <w:t xml:space="preserve">Créditos a l/p: Se corresponden a la asistencia financiera </w:t>
      </w:r>
      <w:r w:rsidR="00644C2C">
        <w:rPr>
          <w:rFonts w:ascii="NewBaskerville" w:hAnsi="NewBaskerville"/>
        </w:rPr>
        <w:t xml:space="preserve">para la defensa jurídica de miembros del Consejo de Administración de la APB, según </w:t>
      </w:r>
      <w:r w:rsidR="009B06A7">
        <w:rPr>
          <w:rFonts w:ascii="NewBaskerville" w:hAnsi="NewBaskerville"/>
        </w:rPr>
        <w:t xml:space="preserve">sendos </w:t>
      </w:r>
      <w:r w:rsidR="00644C2C">
        <w:rPr>
          <w:rFonts w:ascii="NewBaskerville" w:hAnsi="NewBaskerville"/>
        </w:rPr>
        <w:t>acuerdo</w:t>
      </w:r>
      <w:r w:rsidR="009B06A7">
        <w:rPr>
          <w:rFonts w:ascii="NewBaskerville" w:hAnsi="NewBaskerville"/>
        </w:rPr>
        <w:t>s</w:t>
      </w:r>
      <w:r w:rsidR="00644C2C">
        <w:rPr>
          <w:rFonts w:ascii="NewBaskerville" w:hAnsi="NewBaskerville"/>
        </w:rPr>
        <w:t xml:space="preserve"> de 27/07/2022</w:t>
      </w:r>
      <w:r w:rsidR="009B06A7">
        <w:rPr>
          <w:rFonts w:ascii="NewBaskerville" w:hAnsi="NewBaskerville"/>
        </w:rPr>
        <w:t xml:space="preserve"> y 28/06/2023</w:t>
      </w:r>
      <w:r w:rsidR="00644C2C">
        <w:rPr>
          <w:rFonts w:ascii="NewBaskerville" w:hAnsi="NewBaskerville"/>
        </w:rPr>
        <w:t xml:space="preserve">. </w:t>
      </w:r>
      <w:r w:rsidR="009B06A7">
        <w:rPr>
          <w:rFonts w:ascii="NewBaskerville" w:hAnsi="NewBaskerville"/>
        </w:rPr>
        <w:t xml:space="preserve">El </w:t>
      </w:r>
      <w:r w:rsidR="00644C2C">
        <w:rPr>
          <w:rFonts w:ascii="NewBaskerville" w:hAnsi="NewBaskerville"/>
        </w:rPr>
        <w:t xml:space="preserve">importe </w:t>
      </w:r>
      <w:r w:rsidR="00C86371">
        <w:rPr>
          <w:rFonts w:ascii="NewBaskerville" w:hAnsi="NewBaskerville"/>
        </w:rPr>
        <w:t>concedido</w:t>
      </w:r>
      <w:r w:rsidR="009B06A7">
        <w:rPr>
          <w:rFonts w:ascii="NewBaskerville" w:hAnsi="NewBaskerville"/>
        </w:rPr>
        <w:t xml:space="preserve"> en el 2023 es</w:t>
      </w:r>
      <w:r w:rsidR="00644C2C">
        <w:rPr>
          <w:rFonts w:ascii="NewBaskerville" w:hAnsi="NewBaskerville"/>
        </w:rPr>
        <w:t xml:space="preserve"> de </w:t>
      </w:r>
      <w:r w:rsidR="009B06A7">
        <w:rPr>
          <w:rFonts w:ascii="NewBaskerville" w:hAnsi="NewBaskerville"/>
        </w:rPr>
        <w:t xml:space="preserve">16.050,00 euros, en el 2022 ascendió a </w:t>
      </w:r>
      <w:r w:rsidR="00644C2C">
        <w:rPr>
          <w:rFonts w:ascii="NewBaskerville" w:hAnsi="NewBaskerville"/>
        </w:rPr>
        <w:t>135.520,00 euros. Dicho importe no se actualiza al no ser significativo su efecto.</w:t>
      </w:r>
    </w:p>
    <w:p w:rsidR="00644C2C" w:rsidRDefault="00644C2C">
      <w:pPr>
        <w:tabs>
          <w:tab w:val="right" w:pos="8364"/>
        </w:tabs>
        <w:ind w:left="142" w:firstLine="425"/>
        <w:jc w:val="both"/>
        <w:rPr>
          <w:rFonts w:ascii="NewBaskerville" w:hAnsi="NewBaskerville"/>
        </w:rPr>
      </w:pPr>
    </w:p>
    <w:p w:rsidR="00077612" w:rsidRPr="00273586" w:rsidRDefault="00644C2C">
      <w:pPr>
        <w:tabs>
          <w:tab w:val="right" w:pos="8364"/>
        </w:tabs>
        <w:ind w:left="142" w:firstLine="425"/>
        <w:jc w:val="both"/>
        <w:rPr>
          <w:rFonts w:ascii="NewBaskerville" w:hAnsi="NewBaskerville"/>
        </w:rPr>
      </w:pPr>
      <w:r>
        <w:rPr>
          <w:rFonts w:ascii="NewBaskerville" w:hAnsi="NewBaskerville"/>
        </w:rPr>
        <w:t>Depósitos judiciales constituidos a l/p:</w:t>
      </w:r>
      <w:r w:rsidR="00280B87">
        <w:rPr>
          <w:rFonts w:ascii="NewBaskerville" w:hAnsi="NewBaskerville"/>
        </w:rPr>
        <w:t xml:space="preserve"> El importe de 1.244.438,00 euros</w:t>
      </w:r>
      <w:r>
        <w:rPr>
          <w:rFonts w:ascii="NewBaskerville" w:hAnsi="NewBaskerville"/>
        </w:rPr>
        <w:t xml:space="preserve"> </w:t>
      </w:r>
      <w:r w:rsidR="00280B87">
        <w:rPr>
          <w:rFonts w:ascii="NewBaskerville" w:hAnsi="NewBaskerville"/>
        </w:rPr>
        <w:t>s</w:t>
      </w:r>
      <w:r w:rsidR="009B06A7">
        <w:rPr>
          <w:rFonts w:ascii="NewBaskerville" w:hAnsi="NewBaskerville"/>
        </w:rPr>
        <w:t>e corresponde a la consignación efectuada en el ejercicio 2022</w:t>
      </w:r>
      <w:r>
        <w:rPr>
          <w:rFonts w:ascii="NewBaskerville" w:hAnsi="NewBaskerville"/>
        </w:rPr>
        <w:t xml:space="preserve"> </w:t>
      </w:r>
      <w:r w:rsidR="009B06A7">
        <w:rPr>
          <w:rFonts w:ascii="NewBaskerville" w:hAnsi="NewBaskerville"/>
        </w:rPr>
        <w:t>ante</w:t>
      </w:r>
      <w:r>
        <w:rPr>
          <w:rFonts w:ascii="NewBaskerville" w:hAnsi="NewBaskerville"/>
        </w:rPr>
        <w:t xml:space="preserve"> el Juzgado de Primera Instancia nº 18 de Palma de Mallorca </w:t>
      </w:r>
      <w:r w:rsidR="009B06A7">
        <w:rPr>
          <w:rFonts w:ascii="NewBaskerville" w:hAnsi="NewBaskerville"/>
        </w:rPr>
        <w:t>por</w:t>
      </w:r>
      <w:r>
        <w:rPr>
          <w:rFonts w:ascii="NewBaskerville" w:hAnsi="NewBaskerville"/>
        </w:rPr>
        <w:t xml:space="preserve"> la ejecución provisional </w:t>
      </w:r>
      <w:r w:rsidR="004C0EC1">
        <w:rPr>
          <w:rFonts w:ascii="NewBaskerville" w:hAnsi="NewBaskerville"/>
        </w:rPr>
        <w:t xml:space="preserve">260/2022 de la demanda de presentada por la UTE ATRAQUES GRANDES BUQUES. El importe </w:t>
      </w:r>
      <w:r w:rsidR="009B06A7">
        <w:rPr>
          <w:rFonts w:ascii="NewBaskerville" w:hAnsi="NewBaskerville"/>
        </w:rPr>
        <w:t xml:space="preserve">figura </w:t>
      </w:r>
      <w:r w:rsidR="004C0EC1">
        <w:rPr>
          <w:rFonts w:ascii="NewBaskerville" w:hAnsi="NewBaskerville"/>
        </w:rPr>
        <w:t>por su valor nominal.</w:t>
      </w:r>
      <w:r>
        <w:rPr>
          <w:rFonts w:ascii="NewBaskerville" w:hAnsi="NewBaskerville"/>
        </w:rPr>
        <w:t xml:space="preserve">  </w:t>
      </w:r>
      <w:r w:rsidR="00077612">
        <w:rPr>
          <w:rFonts w:ascii="NewBaskerville" w:hAnsi="NewBaskerville"/>
        </w:rPr>
        <w:t xml:space="preserve"> </w:t>
      </w:r>
    </w:p>
    <w:p w:rsidR="00830179" w:rsidRPr="00CF32FF" w:rsidRDefault="00830179">
      <w:pPr>
        <w:tabs>
          <w:tab w:val="right" w:pos="8364"/>
        </w:tabs>
        <w:ind w:left="142" w:firstLine="425"/>
        <w:jc w:val="both"/>
      </w:pPr>
    </w:p>
    <w:p w:rsidR="007B1941" w:rsidRDefault="007B1941" w:rsidP="007B1941">
      <w:pPr>
        <w:tabs>
          <w:tab w:val="right" w:pos="8364"/>
        </w:tabs>
        <w:ind w:left="142" w:firstLine="425"/>
        <w:jc w:val="both"/>
        <w:rPr>
          <w:rFonts w:ascii="NewBaskerville" w:hAnsi="NewBaskerville"/>
        </w:rPr>
      </w:pPr>
      <w:r w:rsidRPr="00DE41A1">
        <w:rPr>
          <w:rFonts w:ascii="NewBaskerville" w:hAnsi="NewBaskerville"/>
        </w:rPr>
        <w:t xml:space="preserve">Los saldos registrados en el epígrafe de </w:t>
      </w:r>
      <w:r w:rsidRPr="00DE41A1">
        <w:rPr>
          <w:rFonts w:ascii="NewBaskerville" w:hAnsi="NewBaskerville"/>
          <w:b/>
        </w:rPr>
        <w:t>“Deudores comerciales y otras cuentas a cobrar</w:t>
      </w:r>
      <w:r w:rsidRPr="00DE41A1">
        <w:rPr>
          <w:rFonts w:ascii="NewBaskerville" w:hAnsi="NewBaskerville"/>
        </w:rPr>
        <w:t>” corresponden a partidas a cobrar originadas por operaciones comerciales</w:t>
      </w:r>
      <w:r w:rsidR="00DE41A1">
        <w:rPr>
          <w:rFonts w:ascii="NewBaskerville" w:hAnsi="NewBaskerville"/>
        </w:rPr>
        <w:t>, y no comerciales,</w:t>
      </w:r>
      <w:r w:rsidRPr="00DE41A1">
        <w:rPr>
          <w:rFonts w:ascii="NewBaskerville" w:hAnsi="NewBaskerville"/>
        </w:rPr>
        <w:t xml:space="preserve"> pendientes de cobro.</w:t>
      </w:r>
      <w:r w:rsidR="009F7ED9">
        <w:rPr>
          <w:rFonts w:ascii="NewBaskerville" w:hAnsi="NewBaskerville"/>
        </w:rPr>
        <w:t xml:space="preserve"> Correspondiéndose a activos financieros a corto plazo:</w:t>
      </w:r>
    </w:p>
    <w:p w:rsidR="004172A5" w:rsidRPr="00DE41A1" w:rsidRDefault="004172A5" w:rsidP="007B1941">
      <w:pPr>
        <w:tabs>
          <w:tab w:val="right" w:pos="8364"/>
        </w:tabs>
        <w:ind w:left="142" w:firstLine="425"/>
        <w:jc w:val="both"/>
        <w:rPr>
          <w:rFonts w:ascii="NewBaskerville" w:hAnsi="NewBaskerville"/>
        </w:rPr>
      </w:pPr>
    </w:p>
    <w:tbl>
      <w:tblPr>
        <w:tblW w:w="6620" w:type="dxa"/>
        <w:tblInd w:w="70" w:type="dxa"/>
        <w:tblCellMar>
          <w:left w:w="70" w:type="dxa"/>
          <w:right w:w="70" w:type="dxa"/>
        </w:tblCellMar>
        <w:tblLook w:val="04A0" w:firstRow="1" w:lastRow="0" w:firstColumn="1" w:lastColumn="0" w:noHBand="0" w:noVBand="1"/>
      </w:tblPr>
      <w:tblGrid>
        <w:gridCol w:w="4060"/>
        <w:gridCol w:w="1300"/>
        <w:gridCol w:w="1260"/>
      </w:tblGrid>
      <w:tr w:rsidR="00552C82" w:rsidRPr="00552C82" w:rsidTr="00552C82">
        <w:trPr>
          <w:trHeight w:val="300"/>
        </w:trPr>
        <w:tc>
          <w:tcPr>
            <w:tcW w:w="4060" w:type="dxa"/>
            <w:tcBorders>
              <w:top w:val="nil"/>
              <w:left w:val="nil"/>
              <w:bottom w:val="nil"/>
              <w:right w:val="nil"/>
            </w:tcBorders>
            <w:shd w:val="clear" w:color="auto" w:fill="auto"/>
            <w:noWrap/>
            <w:vAlign w:val="bottom"/>
            <w:hideMark/>
          </w:tcPr>
          <w:p w:rsidR="00552C82" w:rsidRPr="00552C82" w:rsidRDefault="00552C82" w:rsidP="00552C82">
            <w:pPr>
              <w:rPr>
                <w:rFonts w:ascii="Calibri" w:hAnsi="Calibri" w:cs="Calibri"/>
                <w:color w:val="000000"/>
                <w:sz w:val="22"/>
                <w:szCs w:val="22"/>
                <w:lang w:val="es-ES"/>
              </w:rPr>
            </w:pPr>
          </w:p>
        </w:tc>
        <w:tc>
          <w:tcPr>
            <w:tcW w:w="13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552C82" w:rsidRPr="00552C82" w:rsidRDefault="00552C82" w:rsidP="00552C82">
            <w:pPr>
              <w:jc w:val="center"/>
              <w:rPr>
                <w:rFonts w:ascii="Lucida Bright" w:hAnsi="Lucida Bright" w:cs="Calibri"/>
                <w:b/>
                <w:bCs/>
                <w:color w:val="000000"/>
                <w:sz w:val="14"/>
                <w:szCs w:val="14"/>
                <w:lang w:val="es-ES"/>
              </w:rPr>
            </w:pPr>
            <w:r w:rsidRPr="00552C82">
              <w:rPr>
                <w:rFonts w:ascii="Lucida Bright" w:hAnsi="Lucida Bright" w:cs="Calibri"/>
                <w:b/>
                <w:bCs/>
                <w:color w:val="000000"/>
                <w:sz w:val="14"/>
                <w:szCs w:val="14"/>
                <w:lang w:val="es-ES"/>
              </w:rPr>
              <w:t>2023</w:t>
            </w:r>
          </w:p>
        </w:tc>
        <w:tc>
          <w:tcPr>
            <w:tcW w:w="1260" w:type="dxa"/>
            <w:tcBorders>
              <w:top w:val="single" w:sz="4" w:space="0" w:color="auto"/>
              <w:left w:val="nil"/>
              <w:bottom w:val="single" w:sz="4" w:space="0" w:color="auto"/>
              <w:right w:val="single" w:sz="4" w:space="0" w:color="auto"/>
            </w:tcBorders>
            <w:shd w:val="clear" w:color="000000" w:fill="CCFFCC"/>
            <w:noWrap/>
            <w:vAlign w:val="center"/>
            <w:hideMark/>
          </w:tcPr>
          <w:p w:rsidR="00552C82" w:rsidRPr="00552C82" w:rsidRDefault="00552C82" w:rsidP="00552C82">
            <w:pPr>
              <w:jc w:val="center"/>
              <w:rPr>
                <w:rFonts w:ascii="Lucida Bright" w:hAnsi="Lucida Bright" w:cs="Calibri"/>
                <w:b/>
                <w:bCs/>
                <w:color w:val="000000"/>
                <w:sz w:val="14"/>
                <w:szCs w:val="14"/>
                <w:lang w:val="es-ES"/>
              </w:rPr>
            </w:pPr>
            <w:r w:rsidRPr="00552C82">
              <w:rPr>
                <w:rFonts w:ascii="Lucida Bright" w:hAnsi="Lucida Bright" w:cs="Calibri"/>
                <w:b/>
                <w:bCs/>
                <w:color w:val="000000"/>
                <w:sz w:val="14"/>
                <w:szCs w:val="14"/>
                <w:lang w:val="es-ES"/>
              </w:rPr>
              <w:t>2022</w:t>
            </w:r>
          </w:p>
        </w:tc>
      </w:tr>
      <w:tr w:rsidR="00552C82" w:rsidRPr="00552C82" w:rsidTr="00552C82">
        <w:trPr>
          <w:trHeight w:val="300"/>
        </w:trPr>
        <w:tc>
          <w:tcPr>
            <w:tcW w:w="406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552C82" w:rsidRPr="00552C82" w:rsidRDefault="00552C82" w:rsidP="00552C82">
            <w:pPr>
              <w:rPr>
                <w:rFonts w:ascii="Lucida Bright" w:hAnsi="Lucida Bright" w:cs="Calibri"/>
                <w:b/>
                <w:bCs/>
                <w:sz w:val="14"/>
                <w:szCs w:val="14"/>
                <w:lang w:val="es-ES"/>
              </w:rPr>
            </w:pPr>
            <w:r w:rsidRPr="00552C82">
              <w:rPr>
                <w:rFonts w:ascii="Lucida Bright" w:hAnsi="Lucida Bright" w:cs="Calibri"/>
                <w:b/>
                <w:bCs/>
                <w:sz w:val="14"/>
                <w:szCs w:val="14"/>
                <w:lang w:val="es-ES"/>
              </w:rPr>
              <w:t>III. Deudores comerciales y otras cuentas a cobrar</w:t>
            </w:r>
          </w:p>
        </w:tc>
        <w:tc>
          <w:tcPr>
            <w:tcW w:w="1300" w:type="dxa"/>
            <w:tcBorders>
              <w:top w:val="nil"/>
              <w:left w:val="nil"/>
              <w:bottom w:val="single" w:sz="4" w:space="0" w:color="auto"/>
              <w:right w:val="single" w:sz="4" w:space="0" w:color="auto"/>
            </w:tcBorders>
            <w:shd w:val="clear" w:color="000000" w:fill="CCFFCC"/>
            <w:noWrap/>
            <w:vAlign w:val="bottom"/>
            <w:hideMark/>
          </w:tcPr>
          <w:p w:rsidR="00552C82" w:rsidRPr="00552C82" w:rsidRDefault="00552C82" w:rsidP="00552C82">
            <w:pPr>
              <w:jc w:val="right"/>
              <w:rPr>
                <w:rFonts w:ascii="Lucida Bright" w:hAnsi="Lucida Bright" w:cs="Calibri"/>
                <w:b/>
                <w:bCs/>
                <w:sz w:val="14"/>
                <w:szCs w:val="14"/>
                <w:lang w:val="es-ES"/>
              </w:rPr>
            </w:pPr>
            <w:r w:rsidRPr="00552C82">
              <w:rPr>
                <w:rFonts w:ascii="Lucida Bright" w:hAnsi="Lucida Bright" w:cs="Calibri"/>
                <w:b/>
                <w:bCs/>
                <w:sz w:val="14"/>
                <w:szCs w:val="14"/>
                <w:lang w:val="es-ES"/>
              </w:rPr>
              <w:t xml:space="preserve">16.036.203,30 </w:t>
            </w:r>
          </w:p>
        </w:tc>
        <w:tc>
          <w:tcPr>
            <w:tcW w:w="1260" w:type="dxa"/>
            <w:tcBorders>
              <w:top w:val="nil"/>
              <w:left w:val="nil"/>
              <w:bottom w:val="single" w:sz="4" w:space="0" w:color="auto"/>
              <w:right w:val="single" w:sz="4" w:space="0" w:color="auto"/>
            </w:tcBorders>
            <w:shd w:val="clear" w:color="000000" w:fill="CCFFCC"/>
            <w:noWrap/>
            <w:vAlign w:val="bottom"/>
            <w:hideMark/>
          </w:tcPr>
          <w:p w:rsidR="00552C82" w:rsidRPr="00552C82" w:rsidRDefault="00552C82" w:rsidP="00552C82">
            <w:pPr>
              <w:jc w:val="right"/>
              <w:rPr>
                <w:rFonts w:ascii="Lucida Bright" w:hAnsi="Lucida Bright" w:cs="Calibri"/>
                <w:b/>
                <w:bCs/>
                <w:sz w:val="14"/>
                <w:szCs w:val="14"/>
                <w:lang w:val="es-ES"/>
              </w:rPr>
            </w:pPr>
            <w:r w:rsidRPr="00552C82">
              <w:rPr>
                <w:rFonts w:ascii="Lucida Bright" w:hAnsi="Lucida Bright" w:cs="Calibri"/>
                <w:b/>
                <w:bCs/>
                <w:sz w:val="14"/>
                <w:szCs w:val="14"/>
                <w:lang w:val="es-ES"/>
              </w:rPr>
              <w:t xml:space="preserve">14.499.673,73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center"/>
            <w:hideMark/>
          </w:tcPr>
          <w:p w:rsidR="00552C82" w:rsidRPr="00552C82" w:rsidRDefault="00552C82" w:rsidP="00552C82">
            <w:pPr>
              <w:rPr>
                <w:rFonts w:ascii="Lucida Bright" w:hAnsi="Lucida Bright" w:cs="Calibri"/>
                <w:b/>
                <w:bCs/>
                <w:sz w:val="14"/>
                <w:szCs w:val="14"/>
                <w:lang w:val="es-ES"/>
              </w:rPr>
            </w:pPr>
            <w:r w:rsidRPr="00552C82">
              <w:rPr>
                <w:rFonts w:ascii="Lucida Bright" w:hAnsi="Lucida Bright" w:cs="Calibri"/>
                <w:b/>
                <w:bCs/>
                <w:sz w:val="14"/>
                <w:szCs w:val="14"/>
                <w:lang w:val="es-ES"/>
              </w:rPr>
              <w:t>1. Clientes por ventas y prestaciones de servicios</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b/>
                <w:bCs/>
                <w:sz w:val="14"/>
                <w:szCs w:val="14"/>
                <w:lang w:val="es-ES"/>
              </w:rPr>
            </w:pPr>
            <w:r w:rsidRPr="00552C82">
              <w:rPr>
                <w:rFonts w:ascii="Lucida Bright" w:hAnsi="Lucida Bright" w:cs="Calibri"/>
                <w:b/>
                <w:bCs/>
                <w:sz w:val="14"/>
                <w:szCs w:val="14"/>
                <w:lang w:val="es-ES"/>
              </w:rPr>
              <w:t xml:space="preserve">15.713.146,85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b/>
                <w:bCs/>
                <w:sz w:val="14"/>
                <w:szCs w:val="14"/>
                <w:lang w:val="es-ES"/>
              </w:rPr>
            </w:pPr>
            <w:r w:rsidRPr="00552C82">
              <w:rPr>
                <w:rFonts w:ascii="Lucida Bright" w:hAnsi="Lucida Bright" w:cs="Calibri"/>
                <w:b/>
                <w:bCs/>
                <w:sz w:val="14"/>
                <w:szCs w:val="14"/>
                <w:lang w:val="es-ES"/>
              </w:rPr>
              <w:t xml:space="preserve">14.037.138,48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552C82" w:rsidRPr="00552C82" w:rsidRDefault="00552C82" w:rsidP="00552C82">
            <w:pPr>
              <w:rPr>
                <w:rFonts w:ascii="Lucida Bright" w:hAnsi="Lucida Bright" w:cs="Calibri"/>
                <w:sz w:val="14"/>
                <w:szCs w:val="14"/>
                <w:lang w:val="es-ES"/>
              </w:rPr>
            </w:pPr>
            <w:r w:rsidRPr="00552C82">
              <w:rPr>
                <w:rFonts w:ascii="Lucida Bright" w:hAnsi="Lucida Bright" w:cs="Calibri"/>
                <w:sz w:val="14"/>
                <w:szCs w:val="14"/>
                <w:lang w:val="es-ES"/>
              </w:rPr>
              <w:t>Clientes</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16.715.453,88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15.004.431,10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552C82" w:rsidRPr="00552C82" w:rsidRDefault="00552C82" w:rsidP="00552C82">
            <w:pPr>
              <w:rPr>
                <w:rFonts w:ascii="Lucida Bright" w:hAnsi="Lucida Bright" w:cs="Calibri"/>
                <w:sz w:val="14"/>
                <w:szCs w:val="14"/>
                <w:lang w:val="es-ES"/>
              </w:rPr>
            </w:pPr>
            <w:r w:rsidRPr="00552C82">
              <w:rPr>
                <w:rFonts w:ascii="Lucida Bright" w:hAnsi="Lucida Bright" w:cs="Calibri"/>
                <w:sz w:val="14"/>
                <w:szCs w:val="14"/>
                <w:lang w:val="es-ES"/>
              </w:rPr>
              <w:t>Deterioro de valor</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(1.002.307,03)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(967.292,62)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center"/>
            <w:hideMark/>
          </w:tcPr>
          <w:p w:rsidR="00552C82" w:rsidRPr="00552C82" w:rsidRDefault="00552C82" w:rsidP="00552C82">
            <w:pPr>
              <w:rPr>
                <w:rFonts w:ascii="Lucida Bright" w:hAnsi="Lucida Bright" w:cs="Calibri"/>
                <w:b/>
                <w:bCs/>
                <w:sz w:val="14"/>
                <w:szCs w:val="14"/>
                <w:lang w:val="es-ES"/>
              </w:rPr>
            </w:pPr>
            <w:r w:rsidRPr="00552C82">
              <w:rPr>
                <w:rFonts w:ascii="Lucida Bright" w:hAnsi="Lucida Bright" w:cs="Calibri"/>
                <w:b/>
                <w:bCs/>
                <w:sz w:val="14"/>
                <w:szCs w:val="14"/>
                <w:lang w:val="es-ES"/>
              </w:rPr>
              <w:t xml:space="preserve">2. Clientes y deudores, </w:t>
            </w:r>
            <w:proofErr w:type="spellStart"/>
            <w:r w:rsidRPr="00552C82">
              <w:rPr>
                <w:rFonts w:ascii="Lucida Bright" w:hAnsi="Lucida Bright" w:cs="Calibri"/>
                <w:b/>
                <w:bCs/>
                <w:sz w:val="14"/>
                <w:szCs w:val="14"/>
                <w:lang w:val="es-ES"/>
              </w:rPr>
              <w:t>empr</w:t>
            </w:r>
            <w:proofErr w:type="spellEnd"/>
            <w:r w:rsidRPr="00552C82">
              <w:rPr>
                <w:rFonts w:ascii="Lucida Bright" w:hAnsi="Lucida Bright" w:cs="Calibri"/>
                <w:b/>
                <w:bCs/>
                <w:sz w:val="14"/>
                <w:szCs w:val="14"/>
                <w:lang w:val="es-ES"/>
              </w:rPr>
              <w:t>. del grupo y asociadas</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b/>
                <w:bCs/>
                <w:sz w:val="14"/>
                <w:szCs w:val="14"/>
                <w:lang w:val="es-ES"/>
              </w:rPr>
            </w:pPr>
            <w:r w:rsidRPr="00552C82">
              <w:rPr>
                <w:rFonts w:ascii="Lucida Bright" w:hAnsi="Lucida Bright" w:cs="Calibri"/>
                <w:b/>
                <w:bCs/>
                <w:sz w:val="14"/>
                <w:szCs w:val="14"/>
                <w:lang w:val="es-ES"/>
              </w:rPr>
              <w:t xml:space="preserve">-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b/>
                <w:bCs/>
                <w:sz w:val="14"/>
                <w:szCs w:val="14"/>
                <w:lang w:val="es-ES"/>
              </w:rPr>
            </w:pPr>
            <w:r w:rsidRPr="00552C82">
              <w:rPr>
                <w:rFonts w:ascii="Lucida Bright" w:hAnsi="Lucida Bright" w:cs="Calibri"/>
                <w:b/>
                <w:bCs/>
                <w:sz w:val="14"/>
                <w:szCs w:val="14"/>
                <w:lang w:val="es-ES"/>
              </w:rPr>
              <w:t xml:space="preserve">150.282,79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552C82" w:rsidRPr="00552C82" w:rsidRDefault="00552C82" w:rsidP="00552C82">
            <w:pPr>
              <w:rPr>
                <w:rFonts w:ascii="Lucida Bright" w:hAnsi="Lucida Bright" w:cs="Calibri"/>
                <w:sz w:val="14"/>
                <w:szCs w:val="14"/>
                <w:lang w:val="es-ES"/>
              </w:rPr>
            </w:pPr>
            <w:r w:rsidRPr="00552C82">
              <w:rPr>
                <w:rFonts w:ascii="Lucida Bright" w:hAnsi="Lucida Bright" w:cs="Calibri"/>
                <w:sz w:val="14"/>
                <w:szCs w:val="14"/>
                <w:lang w:val="es-ES"/>
              </w:rPr>
              <w:t>OPPE - deudor principales e intereses litigios tarifarios</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rPr>
                <w:rFonts w:ascii="Lucida Bright" w:hAnsi="Lucida Bright" w:cs="Calibri"/>
                <w:sz w:val="14"/>
                <w:szCs w:val="14"/>
                <w:lang w:val="es-ES"/>
              </w:rPr>
            </w:pPr>
            <w:r w:rsidRPr="00552C82">
              <w:rPr>
                <w:rFonts w:ascii="Lucida Bright" w:hAnsi="Lucida Bright" w:cs="Calibri"/>
                <w:sz w:val="14"/>
                <w:szCs w:val="14"/>
                <w:lang w:val="es-E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150.282,79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vAlign w:val="center"/>
            <w:hideMark/>
          </w:tcPr>
          <w:p w:rsidR="00552C82" w:rsidRPr="00552C82" w:rsidRDefault="00552C82" w:rsidP="00552C82">
            <w:pPr>
              <w:rPr>
                <w:rFonts w:ascii="Lucida Bright" w:hAnsi="Lucida Bright" w:cs="Calibri"/>
                <w:b/>
                <w:bCs/>
                <w:sz w:val="14"/>
                <w:szCs w:val="14"/>
                <w:lang w:val="es-ES"/>
              </w:rPr>
            </w:pPr>
            <w:r w:rsidRPr="00552C82">
              <w:rPr>
                <w:rFonts w:ascii="Lucida Bright" w:hAnsi="Lucida Bright" w:cs="Calibri"/>
                <w:b/>
                <w:bCs/>
                <w:sz w:val="14"/>
                <w:szCs w:val="14"/>
                <w:lang w:val="es-ES"/>
              </w:rPr>
              <w:t>3. Deudores varios</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b/>
                <w:bCs/>
                <w:sz w:val="14"/>
                <w:szCs w:val="14"/>
                <w:lang w:val="es-ES"/>
              </w:rPr>
            </w:pPr>
            <w:r w:rsidRPr="00552C82">
              <w:rPr>
                <w:rFonts w:ascii="Lucida Bright" w:hAnsi="Lucida Bright" w:cs="Calibri"/>
                <w:b/>
                <w:bCs/>
                <w:sz w:val="14"/>
                <w:szCs w:val="14"/>
                <w:lang w:val="es-ES"/>
              </w:rPr>
              <w:t xml:space="preserve">323.056,45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b/>
                <w:bCs/>
                <w:sz w:val="14"/>
                <w:szCs w:val="14"/>
                <w:lang w:val="es-ES"/>
              </w:rPr>
            </w:pPr>
            <w:r w:rsidRPr="00552C82">
              <w:rPr>
                <w:rFonts w:ascii="Lucida Bright" w:hAnsi="Lucida Bright" w:cs="Calibri"/>
                <w:b/>
                <w:bCs/>
                <w:sz w:val="14"/>
                <w:szCs w:val="14"/>
                <w:lang w:val="es-ES"/>
              </w:rPr>
              <w:t xml:space="preserve">312.252,46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552C82" w:rsidRPr="00552C82" w:rsidRDefault="00552C82" w:rsidP="00552C82">
            <w:pPr>
              <w:rPr>
                <w:rFonts w:ascii="Lucida Bright" w:hAnsi="Lucida Bright" w:cs="Calibri"/>
                <w:sz w:val="14"/>
                <w:szCs w:val="14"/>
                <w:lang w:val="es-ES"/>
              </w:rPr>
            </w:pPr>
            <w:r w:rsidRPr="00552C82">
              <w:rPr>
                <w:rFonts w:ascii="Lucida Bright" w:hAnsi="Lucida Bright" w:cs="Calibri"/>
                <w:sz w:val="14"/>
                <w:szCs w:val="14"/>
                <w:lang w:val="es-ES"/>
              </w:rPr>
              <w:t>Deudores varios</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113.333,33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113.144,29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552C82" w:rsidRPr="00552C82" w:rsidRDefault="00552C82" w:rsidP="00552C82">
            <w:pPr>
              <w:rPr>
                <w:rFonts w:ascii="Lucida Bright" w:hAnsi="Lucida Bright" w:cs="Calibri"/>
                <w:sz w:val="14"/>
                <w:szCs w:val="14"/>
                <w:lang w:val="es-ES"/>
              </w:rPr>
            </w:pPr>
            <w:r w:rsidRPr="00552C82">
              <w:rPr>
                <w:rFonts w:ascii="Lucida Bright" w:hAnsi="Lucida Bright" w:cs="Calibri"/>
                <w:sz w:val="14"/>
                <w:szCs w:val="14"/>
                <w:lang w:val="es-ES"/>
              </w:rPr>
              <w:t>Anticipos a acreedores</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2.049,45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1.269,52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552C82" w:rsidRPr="00552C82" w:rsidRDefault="00552C82" w:rsidP="00552C82">
            <w:pPr>
              <w:rPr>
                <w:rFonts w:ascii="Lucida Bright" w:hAnsi="Lucida Bright" w:cs="Calibri"/>
                <w:sz w:val="14"/>
                <w:szCs w:val="14"/>
                <w:lang w:val="es-ES"/>
              </w:rPr>
            </w:pPr>
            <w:r w:rsidRPr="00552C82">
              <w:rPr>
                <w:rFonts w:ascii="Lucida Bright" w:hAnsi="Lucida Bright" w:cs="Calibri"/>
                <w:sz w:val="14"/>
                <w:szCs w:val="14"/>
                <w:lang w:val="es-ES"/>
              </w:rPr>
              <w:t>Créditos al personal</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205.531,59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196.858,19 </w:t>
            </w:r>
          </w:p>
        </w:tc>
      </w:tr>
      <w:tr w:rsidR="00552C82" w:rsidRPr="00552C82" w:rsidTr="00552C82">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552C82" w:rsidRPr="00552C82" w:rsidRDefault="00552C82" w:rsidP="00552C82">
            <w:pPr>
              <w:rPr>
                <w:rFonts w:ascii="Lucida Bright" w:hAnsi="Lucida Bright" w:cs="Calibri"/>
                <w:sz w:val="14"/>
                <w:szCs w:val="14"/>
                <w:lang w:val="es-ES"/>
              </w:rPr>
            </w:pPr>
            <w:r w:rsidRPr="00552C82">
              <w:rPr>
                <w:rFonts w:ascii="Lucida Bright" w:hAnsi="Lucida Bright" w:cs="Calibri"/>
                <w:sz w:val="14"/>
                <w:szCs w:val="14"/>
                <w:lang w:val="es-ES"/>
              </w:rPr>
              <w:t>Anticipos remuneraciones</w:t>
            </w:r>
          </w:p>
        </w:tc>
        <w:tc>
          <w:tcPr>
            <w:tcW w:w="130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2.142,08 </w:t>
            </w:r>
          </w:p>
        </w:tc>
        <w:tc>
          <w:tcPr>
            <w:tcW w:w="1260" w:type="dxa"/>
            <w:tcBorders>
              <w:top w:val="nil"/>
              <w:left w:val="nil"/>
              <w:bottom w:val="single" w:sz="4" w:space="0" w:color="auto"/>
              <w:right w:val="single" w:sz="4" w:space="0" w:color="auto"/>
            </w:tcBorders>
            <w:shd w:val="clear" w:color="000000" w:fill="FFFFFF"/>
            <w:noWrap/>
            <w:vAlign w:val="bottom"/>
            <w:hideMark/>
          </w:tcPr>
          <w:p w:rsidR="00552C82" w:rsidRPr="00552C82" w:rsidRDefault="00552C82" w:rsidP="00552C82">
            <w:pPr>
              <w:jc w:val="right"/>
              <w:rPr>
                <w:rFonts w:ascii="Lucida Bright" w:hAnsi="Lucida Bright" w:cs="Calibri"/>
                <w:sz w:val="14"/>
                <w:szCs w:val="14"/>
                <w:lang w:val="es-ES"/>
              </w:rPr>
            </w:pPr>
            <w:r w:rsidRPr="00552C82">
              <w:rPr>
                <w:rFonts w:ascii="Lucida Bright" w:hAnsi="Lucida Bright" w:cs="Calibri"/>
                <w:sz w:val="14"/>
                <w:szCs w:val="14"/>
                <w:lang w:val="es-ES"/>
              </w:rPr>
              <w:t xml:space="preserve">980,46 </w:t>
            </w:r>
          </w:p>
        </w:tc>
      </w:tr>
    </w:tbl>
    <w:p w:rsidR="00D71A08" w:rsidRDefault="00D71A08" w:rsidP="007B1941">
      <w:pPr>
        <w:tabs>
          <w:tab w:val="right" w:pos="8364"/>
        </w:tabs>
        <w:ind w:left="142" w:firstLine="425"/>
        <w:jc w:val="both"/>
      </w:pPr>
    </w:p>
    <w:p w:rsidR="00552C82" w:rsidRDefault="00552C82" w:rsidP="007B1941">
      <w:pPr>
        <w:tabs>
          <w:tab w:val="right" w:pos="8364"/>
        </w:tabs>
        <w:ind w:left="142" w:firstLine="425"/>
        <w:jc w:val="both"/>
      </w:pPr>
    </w:p>
    <w:p w:rsidR="007B1941" w:rsidRPr="00F52C8E" w:rsidRDefault="007B1941" w:rsidP="007B1941">
      <w:pPr>
        <w:tabs>
          <w:tab w:val="right" w:pos="8364"/>
        </w:tabs>
        <w:ind w:left="142" w:firstLine="425"/>
        <w:jc w:val="both"/>
        <w:rPr>
          <w:rFonts w:ascii="NewBaskerville" w:hAnsi="NewBaskerville"/>
        </w:rPr>
      </w:pPr>
      <w:r w:rsidRPr="00F52C8E">
        <w:rPr>
          <w:rFonts w:ascii="NewBaskerville" w:hAnsi="NewBaskerville"/>
        </w:rPr>
        <w:t xml:space="preserve">Criterios aplicados para calcular las correcciones relativas a deudores </w:t>
      </w:r>
      <w:r w:rsidR="008155BC" w:rsidRPr="00F52C8E">
        <w:rPr>
          <w:rFonts w:ascii="NewBaskerville" w:hAnsi="NewBaskerville"/>
        </w:rPr>
        <w:t>comerciales:</w:t>
      </w:r>
      <w:r w:rsidR="00BA6314" w:rsidRPr="00F52C8E">
        <w:rPr>
          <w:rFonts w:ascii="NewBaskerville" w:hAnsi="NewBaskerville"/>
        </w:rPr>
        <w:t xml:space="preserve"> e</w:t>
      </w:r>
      <w:r w:rsidRPr="00F52C8E">
        <w:rPr>
          <w:rFonts w:ascii="NewBaskerville" w:hAnsi="NewBaskerville"/>
        </w:rPr>
        <w:t>l riesgo de fallidos existentes en los saldos de clientes se calculan por el método de la dotación específica, por el que se estima el importe de la provisión mediante un sistema individualizado de análisis y seguimiento de saldos de dudoso cobro, sobre el que se aplican porcentajes de dotación en función de la antigüedad de la deuda desde el vencimiento.</w:t>
      </w:r>
    </w:p>
    <w:p w:rsidR="00C82D5D" w:rsidRPr="00F52C8E" w:rsidRDefault="00C82D5D" w:rsidP="007B1941">
      <w:pPr>
        <w:tabs>
          <w:tab w:val="right" w:pos="8364"/>
        </w:tabs>
        <w:ind w:left="142" w:firstLine="425"/>
        <w:jc w:val="both"/>
        <w:rPr>
          <w:rFonts w:ascii="NewBaskerville" w:hAnsi="NewBaskerville"/>
        </w:rPr>
      </w:pPr>
    </w:p>
    <w:p w:rsidR="007B1941" w:rsidRPr="00F52C8E" w:rsidRDefault="007B1941" w:rsidP="007B1941">
      <w:pPr>
        <w:tabs>
          <w:tab w:val="center" w:pos="1843"/>
          <w:tab w:val="center" w:pos="5671"/>
          <w:tab w:val="center" w:pos="7797"/>
        </w:tabs>
        <w:spacing w:after="120"/>
        <w:ind w:left="709" w:hanging="142"/>
        <w:jc w:val="both"/>
        <w:rPr>
          <w:rFonts w:ascii="NewBaskerville" w:hAnsi="NewBaskerville"/>
          <w:b/>
        </w:rPr>
      </w:pPr>
      <w:r w:rsidRPr="00F52C8E">
        <w:rPr>
          <w:rFonts w:ascii="NewBaskerville" w:hAnsi="NewBaskerville"/>
        </w:rPr>
        <w:t xml:space="preserve">- </w:t>
      </w:r>
      <w:r w:rsidRPr="00F52C8E">
        <w:rPr>
          <w:rFonts w:ascii="NewBaskerville" w:hAnsi="NewBaskerville"/>
        </w:rPr>
        <w:tab/>
        <w:t xml:space="preserve">Ingresos de naturaleza privada </w:t>
      </w:r>
    </w:p>
    <w:p w:rsidR="007B1941" w:rsidRPr="00F52C8E" w:rsidRDefault="007B1941" w:rsidP="007B1941">
      <w:pPr>
        <w:tabs>
          <w:tab w:val="decimal" w:pos="3828"/>
          <w:tab w:val="center" w:pos="5671"/>
          <w:tab w:val="center" w:pos="7797"/>
        </w:tabs>
        <w:ind w:left="1134" w:hanging="425"/>
        <w:jc w:val="both"/>
        <w:rPr>
          <w:rFonts w:ascii="NewBaskerville" w:hAnsi="NewBaskerville"/>
        </w:rPr>
      </w:pPr>
      <w:r w:rsidRPr="00F52C8E">
        <w:rPr>
          <w:rFonts w:ascii="NewBaskerville" w:hAnsi="NewBaskerville"/>
        </w:rPr>
        <w:t>1. -</w:t>
      </w:r>
      <w:r w:rsidRPr="00F52C8E">
        <w:rPr>
          <w:rFonts w:ascii="NewBaskerville" w:hAnsi="NewBaskerville"/>
        </w:rPr>
        <w:tab/>
        <w:t xml:space="preserve">Entre 0 y 6 meses:           </w:t>
      </w:r>
      <w:r w:rsidR="00B06355" w:rsidRPr="00F52C8E">
        <w:rPr>
          <w:rFonts w:ascii="NewBaskerville" w:hAnsi="NewBaskerville"/>
        </w:rPr>
        <w:tab/>
      </w:r>
      <w:r w:rsidRPr="00F52C8E">
        <w:rPr>
          <w:rFonts w:ascii="NewBaskerville" w:hAnsi="NewBaskerville"/>
        </w:rPr>
        <w:t>0%</w:t>
      </w:r>
    </w:p>
    <w:p w:rsidR="007B1941" w:rsidRPr="00F52C8E" w:rsidRDefault="007B1941" w:rsidP="007B1941">
      <w:pPr>
        <w:tabs>
          <w:tab w:val="decimal" w:pos="3828"/>
          <w:tab w:val="center" w:pos="5671"/>
          <w:tab w:val="center" w:pos="7797"/>
        </w:tabs>
        <w:ind w:left="1134" w:hanging="425"/>
        <w:jc w:val="both"/>
        <w:rPr>
          <w:rFonts w:ascii="NewBaskerville" w:hAnsi="NewBaskerville"/>
        </w:rPr>
      </w:pPr>
      <w:r w:rsidRPr="00F52C8E">
        <w:rPr>
          <w:rFonts w:ascii="NewBaskerville" w:hAnsi="NewBaskerville"/>
        </w:rPr>
        <w:t>2. -</w:t>
      </w:r>
      <w:r w:rsidRPr="00F52C8E">
        <w:rPr>
          <w:rFonts w:ascii="NewBaskerville" w:hAnsi="NewBaskerville"/>
        </w:rPr>
        <w:tab/>
      </w:r>
      <w:r w:rsidR="008155BC" w:rsidRPr="00F52C8E">
        <w:rPr>
          <w:rFonts w:ascii="NewBaskerville" w:hAnsi="NewBaskerville"/>
        </w:rPr>
        <w:t>Más</w:t>
      </w:r>
      <w:r w:rsidRPr="00F52C8E">
        <w:rPr>
          <w:rFonts w:ascii="NewBaskerville" w:hAnsi="NewBaskerville"/>
        </w:rPr>
        <w:t xml:space="preserve"> de 6 meses:</w:t>
      </w:r>
      <w:r w:rsidRPr="00F52C8E">
        <w:rPr>
          <w:rFonts w:ascii="NewBaskerville" w:hAnsi="NewBaskerville"/>
        </w:rPr>
        <w:tab/>
        <w:t>100%</w:t>
      </w:r>
    </w:p>
    <w:p w:rsidR="00AB0BEB" w:rsidRPr="00F52C8E" w:rsidRDefault="00AB0BEB" w:rsidP="007B1941">
      <w:pPr>
        <w:tabs>
          <w:tab w:val="decimal" w:pos="3828"/>
          <w:tab w:val="center" w:pos="5671"/>
          <w:tab w:val="center" w:pos="7797"/>
        </w:tabs>
        <w:ind w:left="1134" w:hanging="425"/>
        <w:jc w:val="both"/>
        <w:rPr>
          <w:rFonts w:ascii="NewBaskerville" w:hAnsi="NewBaskerville"/>
        </w:rPr>
      </w:pPr>
    </w:p>
    <w:p w:rsidR="007B1941" w:rsidRPr="00F52C8E" w:rsidRDefault="007B1941" w:rsidP="007B1941">
      <w:pPr>
        <w:tabs>
          <w:tab w:val="center" w:pos="5671"/>
          <w:tab w:val="center" w:pos="7797"/>
        </w:tabs>
        <w:spacing w:before="120"/>
        <w:ind w:left="709" w:hanging="141"/>
        <w:jc w:val="both"/>
        <w:rPr>
          <w:rFonts w:ascii="NewBaskerville" w:hAnsi="NewBaskerville"/>
        </w:rPr>
      </w:pPr>
      <w:r w:rsidRPr="00F52C8E">
        <w:rPr>
          <w:rFonts w:ascii="NewBaskerville" w:hAnsi="NewBaskerville"/>
        </w:rPr>
        <w:t>-</w:t>
      </w:r>
      <w:r w:rsidRPr="00F52C8E">
        <w:rPr>
          <w:rFonts w:ascii="NewBaskerville" w:hAnsi="NewBaskerville"/>
        </w:rPr>
        <w:tab/>
        <w:t>Ingresos de naturaleza pública</w:t>
      </w:r>
    </w:p>
    <w:p w:rsidR="007B1941" w:rsidRPr="00F52C8E" w:rsidRDefault="007B1941" w:rsidP="007B1941">
      <w:pPr>
        <w:tabs>
          <w:tab w:val="decimal" w:pos="3828"/>
          <w:tab w:val="center" w:pos="5671"/>
          <w:tab w:val="center" w:pos="7797"/>
        </w:tabs>
        <w:spacing w:before="120"/>
        <w:ind w:left="1134" w:hanging="425"/>
        <w:jc w:val="both"/>
        <w:rPr>
          <w:rFonts w:ascii="NewBaskerville" w:hAnsi="NewBaskerville"/>
        </w:rPr>
      </w:pPr>
      <w:r w:rsidRPr="00F52C8E">
        <w:rPr>
          <w:rFonts w:ascii="NewBaskerville" w:hAnsi="NewBaskerville"/>
        </w:rPr>
        <w:t>1. -</w:t>
      </w:r>
      <w:r w:rsidRPr="00F52C8E">
        <w:rPr>
          <w:rFonts w:ascii="NewBaskerville" w:hAnsi="NewBaskerville"/>
        </w:rPr>
        <w:tab/>
        <w:t xml:space="preserve">de 0 a 12 meses:        </w:t>
      </w:r>
      <w:r w:rsidR="00B06355" w:rsidRPr="00F52C8E">
        <w:rPr>
          <w:rFonts w:ascii="NewBaskerville" w:hAnsi="NewBaskerville"/>
        </w:rPr>
        <w:tab/>
      </w:r>
      <w:r w:rsidRPr="00F52C8E">
        <w:rPr>
          <w:rFonts w:ascii="NewBaskerville" w:hAnsi="NewBaskerville"/>
        </w:rPr>
        <w:t xml:space="preserve">       0%</w:t>
      </w:r>
    </w:p>
    <w:p w:rsidR="007B1941" w:rsidRPr="00F52C8E" w:rsidRDefault="007B1941" w:rsidP="007B1941">
      <w:pPr>
        <w:tabs>
          <w:tab w:val="decimal" w:pos="3828"/>
          <w:tab w:val="center" w:pos="5671"/>
          <w:tab w:val="center" w:pos="7797"/>
        </w:tabs>
        <w:ind w:left="1134" w:hanging="425"/>
        <w:jc w:val="both"/>
        <w:rPr>
          <w:rFonts w:ascii="NewBaskerville" w:hAnsi="NewBaskerville"/>
        </w:rPr>
      </w:pPr>
      <w:r w:rsidRPr="00F52C8E">
        <w:rPr>
          <w:rFonts w:ascii="NewBaskerville" w:hAnsi="NewBaskerville"/>
        </w:rPr>
        <w:t>2. -</w:t>
      </w:r>
      <w:r w:rsidRPr="00F52C8E">
        <w:rPr>
          <w:rFonts w:ascii="NewBaskerville" w:hAnsi="NewBaskerville"/>
        </w:rPr>
        <w:tab/>
        <w:t>de 12 a 24 meses:</w:t>
      </w:r>
      <w:r w:rsidRPr="00F52C8E">
        <w:rPr>
          <w:rFonts w:ascii="NewBaskerville" w:hAnsi="NewBaskerville"/>
        </w:rPr>
        <w:tab/>
        <w:t>50%</w:t>
      </w:r>
    </w:p>
    <w:p w:rsidR="007B1941" w:rsidRPr="00F52C8E" w:rsidRDefault="007B1941" w:rsidP="007B1941">
      <w:pPr>
        <w:tabs>
          <w:tab w:val="decimal" w:pos="3828"/>
          <w:tab w:val="center" w:pos="5671"/>
          <w:tab w:val="center" w:pos="7797"/>
        </w:tabs>
        <w:ind w:left="1134" w:hanging="425"/>
        <w:jc w:val="both"/>
        <w:rPr>
          <w:rFonts w:ascii="NewBaskerville" w:hAnsi="NewBaskerville"/>
        </w:rPr>
      </w:pPr>
      <w:r w:rsidRPr="00F52C8E">
        <w:rPr>
          <w:rFonts w:ascii="NewBaskerville" w:hAnsi="NewBaskerville"/>
        </w:rPr>
        <w:t>3. -</w:t>
      </w:r>
      <w:r w:rsidRPr="00F52C8E">
        <w:rPr>
          <w:rFonts w:ascii="NewBaskerville" w:hAnsi="NewBaskerville"/>
        </w:rPr>
        <w:tab/>
        <w:t>de más de 24 meses:</w:t>
      </w:r>
      <w:r w:rsidRPr="00F52C8E">
        <w:rPr>
          <w:rFonts w:ascii="NewBaskerville" w:hAnsi="NewBaskerville"/>
        </w:rPr>
        <w:tab/>
        <w:t>100%</w:t>
      </w:r>
    </w:p>
    <w:p w:rsidR="007B1941" w:rsidRPr="00F52C8E" w:rsidRDefault="007B1941" w:rsidP="007B1941">
      <w:pPr>
        <w:tabs>
          <w:tab w:val="decimal" w:pos="3828"/>
          <w:tab w:val="center" w:pos="5671"/>
          <w:tab w:val="center" w:pos="7797"/>
        </w:tabs>
        <w:jc w:val="both"/>
        <w:rPr>
          <w:rFonts w:ascii="NewBaskerville" w:hAnsi="NewBaskerville"/>
        </w:rPr>
      </w:pPr>
    </w:p>
    <w:p w:rsidR="007B1941" w:rsidRPr="00CF32FF" w:rsidRDefault="007B1941" w:rsidP="007B1941">
      <w:pPr>
        <w:tabs>
          <w:tab w:val="decimal" w:pos="3828"/>
          <w:tab w:val="center" w:pos="5671"/>
          <w:tab w:val="center" w:pos="7797"/>
        </w:tabs>
        <w:spacing w:before="120"/>
        <w:ind w:firstLine="540"/>
        <w:jc w:val="both"/>
        <w:rPr>
          <w:b/>
          <w:bCs/>
        </w:rPr>
      </w:pPr>
      <w:r w:rsidRPr="00F52C8E">
        <w:rPr>
          <w:rFonts w:ascii="NewBaskerville" w:hAnsi="NewBaskerville"/>
        </w:rPr>
        <w:t>Este cálculo se considera mínimo por lo que en el caso de que se tenga conocimiento de que una empresa ha presentado solicitud de concurso de acreedores o haya riesgo importante de impago se ha optado por incrementar la provisión por el importe de la totalidad de lo adeudado.</w:t>
      </w:r>
    </w:p>
    <w:p w:rsidR="007B1941" w:rsidRPr="00CF32FF" w:rsidRDefault="007B1941" w:rsidP="007B1941">
      <w:pPr>
        <w:tabs>
          <w:tab w:val="right" w:pos="8364"/>
        </w:tabs>
        <w:jc w:val="both"/>
        <w:rPr>
          <w:b/>
          <w:bCs/>
        </w:rPr>
      </w:pPr>
    </w:p>
    <w:p w:rsidR="00F52C8E" w:rsidRDefault="00F52C8E">
      <w:pPr>
        <w:tabs>
          <w:tab w:val="right" w:pos="8364"/>
        </w:tabs>
        <w:ind w:left="142" w:firstLine="425"/>
        <w:jc w:val="both"/>
      </w:pPr>
    </w:p>
    <w:p w:rsidR="00F52C8E" w:rsidRDefault="006E51A7">
      <w:pPr>
        <w:tabs>
          <w:tab w:val="right" w:pos="8364"/>
        </w:tabs>
        <w:ind w:left="142" w:firstLine="425"/>
        <w:jc w:val="both"/>
        <w:rPr>
          <w:rFonts w:ascii="NewBaskerville" w:hAnsi="NewBaskerville"/>
        </w:rPr>
      </w:pPr>
      <w:r>
        <w:rPr>
          <w:rFonts w:ascii="NewBaskerville" w:hAnsi="NewBaskerville"/>
        </w:rPr>
        <w:t xml:space="preserve">En el epígrafe de </w:t>
      </w:r>
      <w:r>
        <w:rPr>
          <w:rFonts w:ascii="NewBaskerville" w:hAnsi="NewBaskerville"/>
          <w:b/>
        </w:rPr>
        <w:t xml:space="preserve">“Inversiones en empresas del grupo y asociadas a corto plazo” </w:t>
      </w:r>
      <w:r>
        <w:rPr>
          <w:rFonts w:ascii="NewBaskerville" w:hAnsi="NewBaskerville"/>
        </w:rPr>
        <w:t>se han registrado los saldos a corto plazo del FFATP, siendo:</w:t>
      </w:r>
    </w:p>
    <w:p w:rsidR="004172A5" w:rsidRDefault="004172A5">
      <w:pPr>
        <w:tabs>
          <w:tab w:val="right" w:pos="8364"/>
        </w:tabs>
        <w:ind w:left="142" w:firstLine="425"/>
        <w:jc w:val="both"/>
        <w:rPr>
          <w:rFonts w:ascii="NewBaskerville" w:hAnsi="NewBaskerville"/>
        </w:rPr>
      </w:pPr>
    </w:p>
    <w:tbl>
      <w:tblPr>
        <w:tblW w:w="6460" w:type="dxa"/>
        <w:tblInd w:w="70" w:type="dxa"/>
        <w:tblCellMar>
          <w:left w:w="70" w:type="dxa"/>
          <w:right w:w="70" w:type="dxa"/>
        </w:tblCellMar>
        <w:tblLook w:val="04A0" w:firstRow="1" w:lastRow="0" w:firstColumn="1" w:lastColumn="0" w:noHBand="0" w:noVBand="1"/>
      </w:tblPr>
      <w:tblGrid>
        <w:gridCol w:w="4060"/>
        <w:gridCol w:w="1200"/>
        <w:gridCol w:w="1200"/>
      </w:tblGrid>
      <w:tr w:rsidR="004172A5" w:rsidRPr="004172A5" w:rsidTr="004172A5">
        <w:trPr>
          <w:trHeight w:val="300"/>
        </w:trPr>
        <w:tc>
          <w:tcPr>
            <w:tcW w:w="4060" w:type="dxa"/>
            <w:tcBorders>
              <w:top w:val="nil"/>
              <w:left w:val="nil"/>
              <w:bottom w:val="nil"/>
              <w:right w:val="nil"/>
            </w:tcBorders>
            <w:shd w:val="clear" w:color="auto" w:fill="auto"/>
            <w:noWrap/>
            <w:vAlign w:val="bottom"/>
            <w:hideMark/>
          </w:tcPr>
          <w:p w:rsidR="004172A5" w:rsidRPr="004172A5" w:rsidRDefault="004172A5" w:rsidP="004172A5">
            <w:pPr>
              <w:rPr>
                <w:rFonts w:ascii="Calibri" w:hAnsi="Calibri" w:cs="Calibri"/>
                <w:color w:val="000000"/>
                <w:sz w:val="22"/>
                <w:szCs w:val="22"/>
                <w:lang w:val="es-ES"/>
              </w:rPr>
            </w:pPr>
          </w:p>
        </w:tc>
        <w:tc>
          <w:tcPr>
            <w:tcW w:w="12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4172A5" w:rsidRPr="004172A5" w:rsidRDefault="004172A5" w:rsidP="004172A5">
            <w:pPr>
              <w:jc w:val="center"/>
              <w:rPr>
                <w:rFonts w:ascii="Lucida Bright" w:hAnsi="Lucida Bright" w:cs="Calibri"/>
                <w:b/>
                <w:bCs/>
                <w:color w:val="000000"/>
                <w:sz w:val="14"/>
                <w:szCs w:val="14"/>
                <w:lang w:val="es-ES"/>
              </w:rPr>
            </w:pPr>
            <w:r w:rsidRPr="004172A5">
              <w:rPr>
                <w:rFonts w:ascii="Lucida Bright" w:hAnsi="Lucida Bright" w:cs="Calibri"/>
                <w:b/>
                <w:bCs/>
                <w:color w:val="000000"/>
                <w:sz w:val="14"/>
                <w:szCs w:val="14"/>
                <w:lang w:val="es-ES"/>
              </w:rPr>
              <w:t>2023</w:t>
            </w:r>
          </w:p>
        </w:tc>
        <w:tc>
          <w:tcPr>
            <w:tcW w:w="1200" w:type="dxa"/>
            <w:tcBorders>
              <w:top w:val="single" w:sz="4" w:space="0" w:color="auto"/>
              <w:left w:val="nil"/>
              <w:bottom w:val="single" w:sz="4" w:space="0" w:color="auto"/>
              <w:right w:val="single" w:sz="4" w:space="0" w:color="auto"/>
            </w:tcBorders>
            <w:shd w:val="clear" w:color="000000" w:fill="CCFFCC"/>
            <w:noWrap/>
            <w:vAlign w:val="center"/>
            <w:hideMark/>
          </w:tcPr>
          <w:p w:rsidR="004172A5" w:rsidRPr="004172A5" w:rsidRDefault="004172A5" w:rsidP="004172A5">
            <w:pPr>
              <w:jc w:val="center"/>
              <w:rPr>
                <w:rFonts w:ascii="Lucida Bright" w:hAnsi="Lucida Bright" w:cs="Calibri"/>
                <w:b/>
                <w:bCs/>
                <w:color w:val="000000"/>
                <w:sz w:val="14"/>
                <w:szCs w:val="14"/>
                <w:lang w:val="es-ES"/>
              </w:rPr>
            </w:pPr>
            <w:r w:rsidRPr="004172A5">
              <w:rPr>
                <w:rFonts w:ascii="Lucida Bright" w:hAnsi="Lucida Bright" w:cs="Calibri"/>
                <w:b/>
                <w:bCs/>
                <w:color w:val="000000"/>
                <w:sz w:val="14"/>
                <w:szCs w:val="14"/>
                <w:lang w:val="es-ES"/>
              </w:rPr>
              <w:t>2022</w:t>
            </w:r>
          </w:p>
        </w:tc>
      </w:tr>
      <w:tr w:rsidR="004172A5" w:rsidRPr="004172A5" w:rsidTr="004172A5">
        <w:trPr>
          <w:trHeight w:val="300"/>
        </w:trPr>
        <w:tc>
          <w:tcPr>
            <w:tcW w:w="406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4172A5" w:rsidRPr="004172A5" w:rsidRDefault="004172A5" w:rsidP="004172A5">
            <w:pPr>
              <w:rPr>
                <w:rFonts w:ascii="Lucida Bright" w:hAnsi="Lucida Bright" w:cs="Calibri"/>
                <w:b/>
                <w:bCs/>
                <w:sz w:val="14"/>
                <w:szCs w:val="14"/>
                <w:lang w:val="es-ES"/>
              </w:rPr>
            </w:pPr>
            <w:r w:rsidRPr="004172A5">
              <w:rPr>
                <w:rFonts w:ascii="Lucida Bright" w:hAnsi="Lucida Bright" w:cs="Calibri"/>
                <w:b/>
                <w:bCs/>
                <w:sz w:val="14"/>
                <w:szCs w:val="14"/>
                <w:lang w:val="es-ES"/>
              </w:rPr>
              <w:t xml:space="preserve">IV. Inversiones en </w:t>
            </w:r>
            <w:proofErr w:type="spellStart"/>
            <w:r w:rsidRPr="004172A5">
              <w:rPr>
                <w:rFonts w:ascii="Lucida Bright" w:hAnsi="Lucida Bright" w:cs="Calibri"/>
                <w:b/>
                <w:bCs/>
                <w:sz w:val="14"/>
                <w:szCs w:val="14"/>
                <w:lang w:val="es-ES"/>
              </w:rPr>
              <w:t>empr</w:t>
            </w:r>
            <w:proofErr w:type="spellEnd"/>
            <w:r w:rsidRPr="004172A5">
              <w:rPr>
                <w:rFonts w:ascii="Lucida Bright" w:hAnsi="Lucida Bright" w:cs="Calibri"/>
                <w:b/>
                <w:bCs/>
                <w:sz w:val="14"/>
                <w:szCs w:val="14"/>
                <w:lang w:val="es-ES"/>
              </w:rPr>
              <w:t xml:space="preserve">. del grupo y asociadas a </w:t>
            </w:r>
            <w:proofErr w:type="spellStart"/>
            <w:r w:rsidRPr="004172A5">
              <w:rPr>
                <w:rFonts w:ascii="Lucida Bright" w:hAnsi="Lucida Bright" w:cs="Calibri"/>
                <w:b/>
                <w:bCs/>
                <w:sz w:val="14"/>
                <w:szCs w:val="14"/>
                <w:lang w:val="es-ES"/>
              </w:rPr>
              <w:t>c.p.</w:t>
            </w:r>
            <w:proofErr w:type="spellEnd"/>
          </w:p>
        </w:tc>
        <w:tc>
          <w:tcPr>
            <w:tcW w:w="1200" w:type="dxa"/>
            <w:tcBorders>
              <w:top w:val="nil"/>
              <w:left w:val="nil"/>
              <w:bottom w:val="single" w:sz="4" w:space="0" w:color="auto"/>
              <w:right w:val="single" w:sz="4" w:space="0" w:color="auto"/>
            </w:tcBorders>
            <w:shd w:val="clear" w:color="000000" w:fill="CCFFCC"/>
            <w:noWrap/>
            <w:vAlign w:val="bottom"/>
            <w:hideMark/>
          </w:tcPr>
          <w:p w:rsidR="004172A5" w:rsidRPr="004172A5" w:rsidRDefault="004172A5" w:rsidP="004172A5">
            <w:pPr>
              <w:jc w:val="right"/>
              <w:rPr>
                <w:rFonts w:ascii="Lucida Bright" w:hAnsi="Lucida Bright" w:cs="Calibri"/>
                <w:b/>
                <w:bCs/>
                <w:sz w:val="14"/>
                <w:szCs w:val="14"/>
                <w:lang w:val="es-ES"/>
              </w:rPr>
            </w:pPr>
            <w:r w:rsidRPr="004172A5">
              <w:rPr>
                <w:rFonts w:ascii="Lucida Bright" w:hAnsi="Lucida Bright" w:cs="Calibri"/>
                <w:b/>
                <w:bCs/>
                <w:sz w:val="14"/>
                <w:szCs w:val="14"/>
                <w:lang w:val="es-ES"/>
              </w:rPr>
              <w:t xml:space="preserve">110.571,99 </w:t>
            </w:r>
          </w:p>
        </w:tc>
        <w:tc>
          <w:tcPr>
            <w:tcW w:w="1200" w:type="dxa"/>
            <w:tcBorders>
              <w:top w:val="nil"/>
              <w:left w:val="nil"/>
              <w:bottom w:val="single" w:sz="4" w:space="0" w:color="auto"/>
              <w:right w:val="single" w:sz="4" w:space="0" w:color="auto"/>
            </w:tcBorders>
            <w:shd w:val="clear" w:color="000000" w:fill="CCFFCC"/>
            <w:noWrap/>
            <w:vAlign w:val="bottom"/>
            <w:hideMark/>
          </w:tcPr>
          <w:p w:rsidR="004172A5" w:rsidRPr="004172A5" w:rsidRDefault="004172A5" w:rsidP="004172A5">
            <w:pPr>
              <w:jc w:val="right"/>
              <w:rPr>
                <w:rFonts w:ascii="Lucida Bright" w:hAnsi="Lucida Bright" w:cs="Calibri"/>
                <w:b/>
                <w:bCs/>
                <w:sz w:val="14"/>
                <w:szCs w:val="14"/>
                <w:lang w:val="es-ES"/>
              </w:rPr>
            </w:pPr>
            <w:r w:rsidRPr="004172A5">
              <w:rPr>
                <w:rFonts w:ascii="Lucida Bright" w:hAnsi="Lucida Bright" w:cs="Calibri"/>
                <w:b/>
                <w:bCs/>
                <w:sz w:val="14"/>
                <w:szCs w:val="14"/>
                <w:lang w:val="es-ES"/>
              </w:rPr>
              <w:t xml:space="preserve">30.612,32 </w:t>
            </w:r>
          </w:p>
        </w:tc>
      </w:tr>
      <w:tr w:rsidR="004172A5" w:rsidRPr="004172A5" w:rsidTr="004172A5">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4172A5" w:rsidRPr="004172A5" w:rsidRDefault="004172A5" w:rsidP="004172A5">
            <w:pPr>
              <w:rPr>
                <w:rFonts w:ascii="Lucida Bright" w:hAnsi="Lucida Bright" w:cs="Calibri"/>
                <w:sz w:val="14"/>
                <w:szCs w:val="14"/>
                <w:lang w:val="es-ES"/>
              </w:rPr>
            </w:pPr>
            <w:r w:rsidRPr="004172A5">
              <w:rPr>
                <w:rFonts w:ascii="Lucida Bright" w:hAnsi="Lucida Bright" w:cs="Calibri"/>
                <w:sz w:val="14"/>
                <w:szCs w:val="14"/>
                <w:lang w:val="es-ES"/>
              </w:rPr>
              <w:t xml:space="preserve">Préstamos a </w:t>
            </w:r>
            <w:proofErr w:type="spellStart"/>
            <w:r w:rsidRPr="004172A5">
              <w:rPr>
                <w:rFonts w:ascii="Lucida Bright" w:hAnsi="Lucida Bright" w:cs="Calibri"/>
                <w:sz w:val="14"/>
                <w:szCs w:val="14"/>
                <w:lang w:val="es-ES"/>
              </w:rPr>
              <w:t>c.p.</w:t>
            </w:r>
            <w:proofErr w:type="spellEnd"/>
            <w:r w:rsidRPr="004172A5">
              <w:rPr>
                <w:rFonts w:ascii="Lucida Bright" w:hAnsi="Lucida Bright" w:cs="Calibri"/>
                <w:sz w:val="14"/>
                <w:szCs w:val="14"/>
                <w:lang w:val="es-ES"/>
              </w:rPr>
              <w:t xml:space="preserve"> concedidos al FFATP</w:t>
            </w:r>
          </w:p>
        </w:tc>
        <w:tc>
          <w:tcPr>
            <w:tcW w:w="1200" w:type="dxa"/>
            <w:tcBorders>
              <w:top w:val="nil"/>
              <w:left w:val="nil"/>
              <w:bottom w:val="single" w:sz="4" w:space="0" w:color="auto"/>
              <w:right w:val="single" w:sz="4" w:space="0" w:color="auto"/>
            </w:tcBorders>
            <w:shd w:val="clear" w:color="000000" w:fill="FFFFFF"/>
            <w:noWrap/>
            <w:vAlign w:val="bottom"/>
            <w:hideMark/>
          </w:tcPr>
          <w:p w:rsidR="004172A5" w:rsidRPr="004172A5" w:rsidRDefault="004172A5" w:rsidP="004172A5">
            <w:pPr>
              <w:jc w:val="right"/>
              <w:rPr>
                <w:rFonts w:ascii="Lucida Bright" w:hAnsi="Lucida Bright" w:cs="Calibri"/>
                <w:sz w:val="14"/>
                <w:szCs w:val="14"/>
                <w:lang w:val="es-ES"/>
              </w:rPr>
            </w:pPr>
            <w:r w:rsidRPr="004172A5">
              <w:rPr>
                <w:rFonts w:ascii="Lucida Bright" w:hAnsi="Lucida Bright" w:cs="Calibri"/>
                <w:sz w:val="14"/>
                <w:szCs w:val="14"/>
                <w:lang w:val="es-ES"/>
              </w:rPr>
              <w:t xml:space="preserve">101.000,01 </w:t>
            </w:r>
          </w:p>
        </w:tc>
        <w:tc>
          <w:tcPr>
            <w:tcW w:w="1200" w:type="dxa"/>
            <w:tcBorders>
              <w:top w:val="nil"/>
              <w:left w:val="nil"/>
              <w:bottom w:val="single" w:sz="4" w:space="0" w:color="auto"/>
              <w:right w:val="single" w:sz="4" w:space="0" w:color="auto"/>
            </w:tcBorders>
            <w:shd w:val="clear" w:color="000000" w:fill="FFFFFF"/>
            <w:noWrap/>
            <w:vAlign w:val="bottom"/>
            <w:hideMark/>
          </w:tcPr>
          <w:p w:rsidR="004172A5" w:rsidRPr="004172A5" w:rsidRDefault="004172A5" w:rsidP="004172A5">
            <w:pPr>
              <w:jc w:val="right"/>
              <w:rPr>
                <w:rFonts w:ascii="Lucida Bright" w:hAnsi="Lucida Bright" w:cs="Calibri"/>
                <w:sz w:val="14"/>
                <w:szCs w:val="14"/>
                <w:lang w:val="es-ES"/>
              </w:rPr>
            </w:pPr>
            <w:r w:rsidRPr="004172A5">
              <w:rPr>
                <w:rFonts w:ascii="Lucida Bright" w:hAnsi="Lucida Bright" w:cs="Calibri"/>
                <w:sz w:val="14"/>
                <w:szCs w:val="14"/>
                <w:lang w:val="es-ES"/>
              </w:rPr>
              <w:t xml:space="preserve">27.882,36 </w:t>
            </w:r>
          </w:p>
        </w:tc>
      </w:tr>
      <w:tr w:rsidR="004172A5" w:rsidRPr="004172A5" w:rsidTr="004172A5">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4172A5" w:rsidRPr="004172A5" w:rsidRDefault="004172A5" w:rsidP="004172A5">
            <w:pPr>
              <w:rPr>
                <w:rFonts w:ascii="Lucida Bright" w:hAnsi="Lucida Bright" w:cs="Calibri"/>
                <w:color w:val="000000"/>
                <w:sz w:val="14"/>
                <w:szCs w:val="14"/>
                <w:lang w:val="es-ES"/>
              </w:rPr>
            </w:pPr>
            <w:r w:rsidRPr="004172A5">
              <w:rPr>
                <w:rFonts w:ascii="Lucida Bright" w:hAnsi="Lucida Bright" w:cs="Calibri"/>
                <w:color w:val="000000"/>
                <w:sz w:val="14"/>
                <w:szCs w:val="14"/>
                <w:lang w:val="es-ES"/>
              </w:rPr>
              <w:t xml:space="preserve">Intereses a </w:t>
            </w:r>
            <w:proofErr w:type="spellStart"/>
            <w:r w:rsidRPr="004172A5">
              <w:rPr>
                <w:rFonts w:ascii="Lucida Bright" w:hAnsi="Lucida Bright" w:cs="Calibri"/>
                <w:color w:val="000000"/>
                <w:sz w:val="14"/>
                <w:szCs w:val="14"/>
                <w:lang w:val="es-ES"/>
              </w:rPr>
              <w:t>c.p.</w:t>
            </w:r>
            <w:proofErr w:type="spellEnd"/>
            <w:r w:rsidRPr="004172A5">
              <w:rPr>
                <w:rFonts w:ascii="Lucida Bright" w:hAnsi="Lucida Bright" w:cs="Calibri"/>
                <w:color w:val="000000"/>
                <w:sz w:val="14"/>
                <w:szCs w:val="14"/>
                <w:lang w:val="es-ES"/>
              </w:rPr>
              <w:t xml:space="preserve"> de préstamos concedidos al FFATP</w:t>
            </w:r>
          </w:p>
        </w:tc>
        <w:tc>
          <w:tcPr>
            <w:tcW w:w="1200" w:type="dxa"/>
            <w:tcBorders>
              <w:top w:val="nil"/>
              <w:left w:val="nil"/>
              <w:bottom w:val="single" w:sz="4" w:space="0" w:color="auto"/>
              <w:right w:val="single" w:sz="4" w:space="0" w:color="auto"/>
            </w:tcBorders>
            <w:shd w:val="clear" w:color="auto" w:fill="auto"/>
            <w:noWrap/>
            <w:vAlign w:val="bottom"/>
            <w:hideMark/>
          </w:tcPr>
          <w:p w:rsidR="004172A5" w:rsidRPr="004172A5" w:rsidRDefault="004172A5" w:rsidP="004172A5">
            <w:pPr>
              <w:jc w:val="right"/>
              <w:rPr>
                <w:rFonts w:ascii="Lucida Bright" w:hAnsi="Lucida Bright" w:cs="Calibri"/>
                <w:color w:val="000000"/>
                <w:sz w:val="14"/>
                <w:szCs w:val="14"/>
                <w:lang w:val="es-ES"/>
              </w:rPr>
            </w:pPr>
            <w:r w:rsidRPr="004172A5">
              <w:rPr>
                <w:rFonts w:ascii="Lucida Bright" w:hAnsi="Lucida Bright" w:cs="Calibri"/>
                <w:color w:val="000000"/>
                <w:sz w:val="14"/>
                <w:szCs w:val="14"/>
                <w:lang w:val="es-ES"/>
              </w:rPr>
              <w:t>9.571,98</w:t>
            </w:r>
          </w:p>
        </w:tc>
        <w:tc>
          <w:tcPr>
            <w:tcW w:w="1200" w:type="dxa"/>
            <w:tcBorders>
              <w:top w:val="nil"/>
              <w:left w:val="nil"/>
              <w:bottom w:val="single" w:sz="4" w:space="0" w:color="auto"/>
              <w:right w:val="single" w:sz="4" w:space="0" w:color="auto"/>
            </w:tcBorders>
            <w:shd w:val="clear" w:color="auto" w:fill="auto"/>
            <w:noWrap/>
            <w:vAlign w:val="bottom"/>
            <w:hideMark/>
          </w:tcPr>
          <w:p w:rsidR="004172A5" w:rsidRPr="004172A5" w:rsidRDefault="004172A5" w:rsidP="004172A5">
            <w:pPr>
              <w:jc w:val="right"/>
              <w:rPr>
                <w:rFonts w:ascii="Lucida Bright" w:hAnsi="Lucida Bright" w:cs="Calibri"/>
                <w:color w:val="000000"/>
                <w:sz w:val="14"/>
                <w:szCs w:val="14"/>
                <w:lang w:val="es-ES"/>
              </w:rPr>
            </w:pPr>
            <w:r w:rsidRPr="004172A5">
              <w:rPr>
                <w:rFonts w:ascii="Lucida Bright" w:hAnsi="Lucida Bright" w:cs="Calibri"/>
                <w:color w:val="000000"/>
                <w:sz w:val="14"/>
                <w:szCs w:val="14"/>
                <w:lang w:val="es-ES"/>
              </w:rPr>
              <w:t>2.729,96</w:t>
            </w:r>
          </w:p>
        </w:tc>
      </w:tr>
    </w:tbl>
    <w:p w:rsidR="006E51A7" w:rsidRPr="006E51A7" w:rsidRDefault="006E51A7">
      <w:pPr>
        <w:tabs>
          <w:tab w:val="right" w:pos="8364"/>
        </w:tabs>
        <w:ind w:left="142" w:firstLine="425"/>
        <w:jc w:val="both"/>
        <w:rPr>
          <w:rFonts w:ascii="NewBaskerville" w:hAnsi="NewBaskerville"/>
        </w:rPr>
      </w:pPr>
    </w:p>
    <w:p w:rsidR="00F52C8E" w:rsidRDefault="00F52C8E">
      <w:pPr>
        <w:tabs>
          <w:tab w:val="right" w:pos="8364"/>
        </w:tabs>
        <w:ind w:left="142" w:firstLine="425"/>
        <w:jc w:val="both"/>
      </w:pPr>
    </w:p>
    <w:p w:rsidR="002C4355" w:rsidRPr="00C84DA4" w:rsidRDefault="002C4355">
      <w:pPr>
        <w:tabs>
          <w:tab w:val="right" w:pos="8364"/>
        </w:tabs>
        <w:ind w:left="142" w:firstLine="425"/>
        <w:jc w:val="both"/>
        <w:rPr>
          <w:rFonts w:ascii="NewBaskerville" w:hAnsi="NewBaskerville"/>
        </w:rPr>
      </w:pPr>
      <w:r w:rsidRPr="00C84DA4">
        <w:rPr>
          <w:rFonts w:ascii="NewBaskerville" w:hAnsi="NewBaskerville"/>
        </w:rPr>
        <w:t xml:space="preserve">El saldo reflejado en el epígrafe </w:t>
      </w:r>
      <w:r w:rsidRPr="00C84DA4">
        <w:rPr>
          <w:rFonts w:ascii="NewBaskerville" w:hAnsi="NewBaskerville"/>
          <w:b/>
        </w:rPr>
        <w:t>“Inversiones Financieras a corto plazo</w:t>
      </w:r>
      <w:r w:rsidRPr="00C84DA4">
        <w:rPr>
          <w:rFonts w:ascii="NewBaskerville" w:hAnsi="NewBaskerville"/>
        </w:rPr>
        <w:t>” corresponde a imposiciones a corto plazo en</w:t>
      </w:r>
      <w:r w:rsidR="00C84DA4">
        <w:rPr>
          <w:rFonts w:ascii="NewBaskerville" w:hAnsi="NewBaskerville"/>
        </w:rPr>
        <w:t xml:space="preserve"> depósitos bancarios, el devengo de intereses de los mismos, y depósitos y fianzas constituidos a corto plazo.</w:t>
      </w:r>
    </w:p>
    <w:tbl>
      <w:tblPr>
        <w:tblW w:w="6480" w:type="dxa"/>
        <w:tblInd w:w="70" w:type="dxa"/>
        <w:tblCellMar>
          <w:left w:w="70" w:type="dxa"/>
          <w:right w:w="70" w:type="dxa"/>
        </w:tblCellMar>
        <w:tblLook w:val="04A0" w:firstRow="1" w:lastRow="0" w:firstColumn="1" w:lastColumn="0" w:noHBand="0" w:noVBand="1"/>
      </w:tblPr>
      <w:tblGrid>
        <w:gridCol w:w="4060"/>
        <w:gridCol w:w="1240"/>
        <w:gridCol w:w="1180"/>
      </w:tblGrid>
      <w:tr w:rsidR="004172A5" w:rsidRPr="004172A5" w:rsidTr="004172A5">
        <w:trPr>
          <w:trHeight w:val="300"/>
        </w:trPr>
        <w:tc>
          <w:tcPr>
            <w:tcW w:w="4060" w:type="dxa"/>
            <w:tcBorders>
              <w:top w:val="nil"/>
              <w:left w:val="nil"/>
              <w:bottom w:val="nil"/>
              <w:right w:val="nil"/>
            </w:tcBorders>
            <w:shd w:val="clear" w:color="auto" w:fill="auto"/>
            <w:noWrap/>
            <w:vAlign w:val="bottom"/>
            <w:hideMark/>
          </w:tcPr>
          <w:p w:rsidR="004172A5" w:rsidRPr="004172A5" w:rsidRDefault="004172A5" w:rsidP="004172A5">
            <w:pPr>
              <w:rPr>
                <w:rFonts w:ascii="Calibri" w:hAnsi="Calibri" w:cs="Calibri"/>
                <w:color w:val="000000"/>
                <w:sz w:val="22"/>
                <w:szCs w:val="22"/>
                <w:lang w:val="es-ES"/>
              </w:rPr>
            </w:pPr>
          </w:p>
        </w:tc>
        <w:tc>
          <w:tcPr>
            <w:tcW w:w="12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4172A5" w:rsidRPr="004172A5" w:rsidRDefault="004172A5" w:rsidP="004172A5">
            <w:pPr>
              <w:jc w:val="center"/>
              <w:rPr>
                <w:rFonts w:ascii="Lucida Bright" w:hAnsi="Lucida Bright" w:cs="Calibri"/>
                <w:b/>
                <w:bCs/>
                <w:color w:val="000000"/>
                <w:sz w:val="14"/>
                <w:szCs w:val="14"/>
                <w:lang w:val="es-ES"/>
              </w:rPr>
            </w:pPr>
            <w:r w:rsidRPr="004172A5">
              <w:rPr>
                <w:rFonts w:ascii="Lucida Bright" w:hAnsi="Lucida Bright" w:cs="Calibri"/>
                <w:b/>
                <w:bCs/>
                <w:color w:val="000000"/>
                <w:sz w:val="14"/>
                <w:szCs w:val="14"/>
                <w:lang w:val="es-ES"/>
              </w:rPr>
              <w:t>2023</w:t>
            </w:r>
          </w:p>
        </w:tc>
        <w:tc>
          <w:tcPr>
            <w:tcW w:w="1180" w:type="dxa"/>
            <w:tcBorders>
              <w:top w:val="single" w:sz="4" w:space="0" w:color="auto"/>
              <w:left w:val="nil"/>
              <w:bottom w:val="single" w:sz="4" w:space="0" w:color="auto"/>
              <w:right w:val="single" w:sz="4" w:space="0" w:color="auto"/>
            </w:tcBorders>
            <w:shd w:val="clear" w:color="000000" w:fill="CCFFCC"/>
            <w:noWrap/>
            <w:vAlign w:val="center"/>
            <w:hideMark/>
          </w:tcPr>
          <w:p w:rsidR="004172A5" w:rsidRPr="004172A5" w:rsidRDefault="004172A5" w:rsidP="004172A5">
            <w:pPr>
              <w:jc w:val="center"/>
              <w:rPr>
                <w:rFonts w:ascii="Lucida Bright" w:hAnsi="Lucida Bright" w:cs="Calibri"/>
                <w:b/>
                <w:bCs/>
                <w:color w:val="000000"/>
                <w:sz w:val="14"/>
                <w:szCs w:val="14"/>
                <w:lang w:val="es-ES"/>
              </w:rPr>
            </w:pPr>
            <w:r w:rsidRPr="004172A5">
              <w:rPr>
                <w:rFonts w:ascii="Lucida Bright" w:hAnsi="Lucida Bright" w:cs="Calibri"/>
                <w:b/>
                <w:bCs/>
                <w:color w:val="000000"/>
                <w:sz w:val="14"/>
                <w:szCs w:val="14"/>
                <w:lang w:val="es-ES"/>
              </w:rPr>
              <w:t>2022</w:t>
            </w:r>
          </w:p>
        </w:tc>
      </w:tr>
      <w:tr w:rsidR="004172A5" w:rsidRPr="004172A5" w:rsidTr="004172A5">
        <w:trPr>
          <w:trHeight w:val="300"/>
        </w:trPr>
        <w:tc>
          <w:tcPr>
            <w:tcW w:w="406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4172A5" w:rsidRPr="004172A5" w:rsidRDefault="004172A5" w:rsidP="004172A5">
            <w:pPr>
              <w:rPr>
                <w:rFonts w:ascii="Lucida Bright" w:hAnsi="Lucida Bright" w:cs="Calibri"/>
                <w:b/>
                <w:bCs/>
                <w:sz w:val="14"/>
                <w:szCs w:val="14"/>
                <w:lang w:val="es-ES"/>
              </w:rPr>
            </w:pPr>
            <w:r w:rsidRPr="004172A5">
              <w:rPr>
                <w:rFonts w:ascii="Lucida Bright" w:hAnsi="Lucida Bright" w:cs="Calibri"/>
                <w:b/>
                <w:bCs/>
                <w:sz w:val="14"/>
                <w:szCs w:val="14"/>
                <w:lang w:val="es-ES"/>
              </w:rPr>
              <w:t>V. Inversiones financieras a corto plazo.</w:t>
            </w:r>
          </w:p>
        </w:tc>
        <w:tc>
          <w:tcPr>
            <w:tcW w:w="1240" w:type="dxa"/>
            <w:tcBorders>
              <w:top w:val="nil"/>
              <w:left w:val="nil"/>
              <w:bottom w:val="single" w:sz="4" w:space="0" w:color="auto"/>
              <w:right w:val="single" w:sz="4" w:space="0" w:color="auto"/>
            </w:tcBorders>
            <w:shd w:val="clear" w:color="000000" w:fill="CCFFCC"/>
            <w:noWrap/>
            <w:vAlign w:val="bottom"/>
            <w:hideMark/>
          </w:tcPr>
          <w:p w:rsidR="004172A5" w:rsidRPr="004172A5" w:rsidRDefault="004172A5" w:rsidP="004172A5">
            <w:pPr>
              <w:jc w:val="right"/>
              <w:rPr>
                <w:rFonts w:ascii="Lucida Bright" w:hAnsi="Lucida Bright" w:cs="Calibri"/>
                <w:b/>
                <w:bCs/>
                <w:sz w:val="14"/>
                <w:szCs w:val="14"/>
                <w:lang w:val="es-ES"/>
              </w:rPr>
            </w:pPr>
            <w:r w:rsidRPr="004172A5">
              <w:rPr>
                <w:rFonts w:ascii="Lucida Bright" w:hAnsi="Lucida Bright" w:cs="Calibri"/>
                <w:b/>
                <w:bCs/>
                <w:sz w:val="14"/>
                <w:szCs w:val="14"/>
                <w:lang w:val="es-ES"/>
              </w:rPr>
              <w:t xml:space="preserve">131.695.220,44 </w:t>
            </w:r>
          </w:p>
        </w:tc>
        <w:tc>
          <w:tcPr>
            <w:tcW w:w="1180" w:type="dxa"/>
            <w:tcBorders>
              <w:top w:val="nil"/>
              <w:left w:val="nil"/>
              <w:bottom w:val="single" w:sz="4" w:space="0" w:color="auto"/>
              <w:right w:val="single" w:sz="4" w:space="0" w:color="auto"/>
            </w:tcBorders>
            <w:shd w:val="clear" w:color="000000" w:fill="CCFFCC"/>
            <w:noWrap/>
            <w:vAlign w:val="bottom"/>
            <w:hideMark/>
          </w:tcPr>
          <w:p w:rsidR="004172A5" w:rsidRPr="004172A5" w:rsidRDefault="004172A5" w:rsidP="004172A5">
            <w:pPr>
              <w:jc w:val="right"/>
              <w:rPr>
                <w:rFonts w:ascii="Lucida Bright" w:hAnsi="Lucida Bright" w:cs="Calibri"/>
                <w:b/>
                <w:bCs/>
                <w:sz w:val="14"/>
                <w:szCs w:val="14"/>
                <w:lang w:val="es-ES"/>
              </w:rPr>
            </w:pPr>
            <w:r w:rsidRPr="004172A5">
              <w:rPr>
                <w:rFonts w:ascii="Lucida Bright" w:hAnsi="Lucida Bright" w:cs="Calibri"/>
                <w:b/>
                <w:bCs/>
                <w:sz w:val="14"/>
                <w:szCs w:val="14"/>
                <w:lang w:val="es-ES"/>
              </w:rPr>
              <w:t xml:space="preserve">80.058.020,48 </w:t>
            </w:r>
          </w:p>
        </w:tc>
      </w:tr>
      <w:tr w:rsidR="004172A5" w:rsidRPr="004172A5" w:rsidTr="004172A5">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center"/>
            <w:hideMark/>
          </w:tcPr>
          <w:p w:rsidR="004172A5" w:rsidRPr="004172A5" w:rsidRDefault="004172A5" w:rsidP="004172A5">
            <w:pPr>
              <w:rPr>
                <w:rFonts w:ascii="Lucida Bright" w:hAnsi="Lucida Bright" w:cs="Calibri"/>
                <w:b/>
                <w:bCs/>
                <w:sz w:val="14"/>
                <w:szCs w:val="14"/>
                <w:lang w:val="es-ES"/>
              </w:rPr>
            </w:pPr>
            <w:r w:rsidRPr="004172A5">
              <w:rPr>
                <w:rFonts w:ascii="Lucida Bright" w:hAnsi="Lucida Bright" w:cs="Calibri"/>
                <w:b/>
                <w:bCs/>
                <w:sz w:val="14"/>
                <w:szCs w:val="14"/>
                <w:lang w:val="es-ES"/>
              </w:rPr>
              <w:t>3. Otros activos financieros</w:t>
            </w:r>
          </w:p>
        </w:tc>
        <w:tc>
          <w:tcPr>
            <w:tcW w:w="1240" w:type="dxa"/>
            <w:tcBorders>
              <w:top w:val="nil"/>
              <w:left w:val="nil"/>
              <w:bottom w:val="single" w:sz="4" w:space="0" w:color="auto"/>
              <w:right w:val="single" w:sz="4" w:space="0" w:color="auto"/>
            </w:tcBorders>
            <w:shd w:val="clear" w:color="auto" w:fill="auto"/>
            <w:noWrap/>
            <w:vAlign w:val="bottom"/>
            <w:hideMark/>
          </w:tcPr>
          <w:p w:rsidR="004172A5" w:rsidRPr="004172A5" w:rsidRDefault="004172A5" w:rsidP="004172A5">
            <w:pPr>
              <w:jc w:val="right"/>
              <w:rPr>
                <w:rFonts w:ascii="Lucida Bright" w:hAnsi="Lucida Bright" w:cs="Calibri"/>
                <w:b/>
                <w:bCs/>
                <w:sz w:val="14"/>
                <w:szCs w:val="14"/>
                <w:lang w:val="es-ES"/>
              </w:rPr>
            </w:pPr>
            <w:r w:rsidRPr="004172A5">
              <w:rPr>
                <w:rFonts w:ascii="Lucida Bright" w:hAnsi="Lucida Bright" w:cs="Calibri"/>
                <w:b/>
                <w:bCs/>
                <w:sz w:val="14"/>
                <w:szCs w:val="14"/>
                <w:lang w:val="es-ES"/>
              </w:rPr>
              <w:t xml:space="preserve">131.695.220,44 </w:t>
            </w:r>
          </w:p>
        </w:tc>
        <w:tc>
          <w:tcPr>
            <w:tcW w:w="1180" w:type="dxa"/>
            <w:tcBorders>
              <w:top w:val="nil"/>
              <w:left w:val="nil"/>
              <w:bottom w:val="single" w:sz="4" w:space="0" w:color="auto"/>
              <w:right w:val="single" w:sz="4" w:space="0" w:color="auto"/>
            </w:tcBorders>
            <w:shd w:val="clear" w:color="000000" w:fill="FFFFFF"/>
            <w:noWrap/>
            <w:vAlign w:val="bottom"/>
            <w:hideMark/>
          </w:tcPr>
          <w:p w:rsidR="004172A5" w:rsidRPr="004172A5" w:rsidRDefault="004172A5" w:rsidP="004172A5">
            <w:pPr>
              <w:jc w:val="right"/>
              <w:rPr>
                <w:rFonts w:ascii="Lucida Bright" w:hAnsi="Lucida Bright" w:cs="Calibri"/>
                <w:b/>
                <w:bCs/>
                <w:sz w:val="14"/>
                <w:szCs w:val="14"/>
                <w:lang w:val="es-ES"/>
              </w:rPr>
            </w:pPr>
            <w:r w:rsidRPr="004172A5">
              <w:rPr>
                <w:rFonts w:ascii="Lucida Bright" w:hAnsi="Lucida Bright" w:cs="Calibri"/>
                <w:b/>
                <w:bCs/>
                <w:sz w:val="14"/>
                <w:szCs w:val="14"/>
                <w:lang w:val="es-ES"/>
              </w:rPr>
              <w:t xml:space="preserve">80.058.020,48 </w:t>
            </w:r>
          </w:p>
        </w:tc>
      </w:tr>
      <w:tr w:rsidR="004172A5" w:rsidRPr="004172A5" w:rsidTr="004172A5">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4172A5" w:rsidRPr="004172A5" w:rsidRDefault="004172A5" w:rsidP="004172A5">
            <w:pPr>
              <w:rPr>
                <w:rFonts w:ascii="Lucida Bright" w:hAnsi="Lucida Bright" w:cs="Calibri"/>
                <w:sz w:val="14"/>
                <w:szCs w:val="14"/>
                <w:lang w:val="es-ES"/>
              </w:rPr>
            </w:pPr>
            <w:r w:rsidRPr="004172A5">
              <w:rPr>
                <w:rFonts w:ascii="Lucida Bright" w:hAnsi="Lucida Bright" w:cs="Calibri"/>
                <w:sz w:val="14"/>
                <w:szCs w:val="14"/>
                <w:lang w:val="es-ES"/>
              </w:rPr>
              <w:t xml:space="preserve">Imposiciones a </w:t>
            </w:r>
            <w:proofErr w:type="spellStart"/>
            <w:r w:rsidRPr="004172A5">
              <w:rPr>
                <w:rFonts w:ascii="Lucida Bright" w:hAnsi="Lucida Bright" w:cs="Calibri"/>
                <w:sz w:val="14"/>
                <w:szCs w:val="14"/>
                <w:lang w:val="es-ES"/>
              </w:rPr>
              <w:t>c.p.</w:t>
            </w:r>
            <w:proofErr w:type="spellEnd"/>
          </w:p>
        </w:tc>
        <w:tc>
          <w:tcPr>
            <w:tcW w:w="1240" w:type="dxa"/>
            <w:tcBorders>
              <w:top w:val="nil"/>
              <w:left w:val="nil"/>
              <w:bottom w:val="single" w:sz="4" w:space="0" w:color="auto"/>
              <w:right w:val="single" w:sz="4" w:space="0" w:color="auto"/>
            </w:tcBorders>
            <w:shd w:val="clear" w:color="000000" w:fill="FFFFFF"/>
            <w:noWrap/>
            <w:vAlign w:val="bottom"/>
            <w:hideMark/>
          </w:tcPr>
          <w:p w:rsidR="004172A5" w:rsidRPr="004172A5" w:rsidRDefault="004172A5" w:rsidP="004172A5">
            <w:pPr>
              <w:jc w:val="right"/>
              <w:rPr>
                <w:rFonts w:ascii="Lucida Bright" w:hAnsi="Lucida Bright" w:cs="Calibri"/>
                <w:sz w:val="14"/>
                <w:szCs w:val="14"/>
                <w:lang w:val="es-ES"/>
              </w:rPr>
            </w:pPr>
            <w:r w:rsidRPr="004172A5">
              <w:rPr>
                <w:rFonts w:ascii="Lucida Bright" w:hAnsi="Lucida Bright" w:cs="Calibri"/>
                <w:sz w:val="14"/>
                <w:szCs w:val="14"/>
                <w:lang w:val="es-ES"/>
              </w:rPr>
              <w:t xml:space="preserve">130.000.000,00 </w:t>
            </w:r>
          </w:p>
        </w:tc>
        <w:tc>
          <w:tcPr>
            <w:tcW w:w="1180" w:type="dxa"/>
            <w:tcBorders>
              <w:top w:val="nil"/>
              <w:left w:val="nil"/>
              <w:bottom w:val="single" w:sz="4" w:space="0" w:color="auto"/>
              <w:right w:val="single" w:sz="4" w:space="0" w:color="auto"/>
            </w:tcBorders>
            <w:shd w:val="clear" w:color="000000" w:fill="FFFFFF"/>
            <w:noWrap/>
            <w:vAlign w:val="bottom"/>
            <w:hideMark/>
          </w:tcPr>
          <w:p w:rsidR="004172A5" w:rsidRPr="004172A5" w:rsidRDefault="004172A5" w:rsidP="004172A5">
            <w:pPr>
              <w:jc w:val="right"/>
              <w:rPr>
                <w:rFonts w:ascii="Lucida Bright" w:hAnsi="Lucida Bright" w:cs="Calibri"/>
                <w:sz w:val="14"/>
                <w:szCs w:val="14"/>
                <w:lang w:val="es-ES"/>
              </w:rPr>
            </w:pPr>
            <w:r w:rsidRPr="004172A5">
              <w:rPr>
                <w:rFonts w:ascii="Lucida Bright" w:hAnsi="Lucida Bright" w:cs="Calibri"/>
                <w:sz w:val="14"/>
                <w:szCs w:val="14"/>
                <w:lang w:val="es-ES"/>
              </w:rPr>
              <w:t xml:space="preserve">80.000.000,00 </w:t>
            </w:r>
          </w:p>
        </w:tc>
      </w:tr>
      <w:tr w:rsidR="004172A5" w:rsidRPr="004172A5" w:rsidTr="004172A5">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4172A5" w:rsidRPr="004172A5" w:rsidRDefault="004172A5" w:rsidP="004172A5">
            <w:pPr>
              <w:rPr>
                <w:rFonts w:ascii="Lucida Bright" w:hAnsi="Lucida Bright" w:cs="Calibri"/>
                <w:sz w:val="14"/>
                <w:szCs w:val="14"/>
                <w:lang w:val="es-ES"/>
              </w:rPr>
            </w:pPr>
            <w:r w:rsidRPr="004172A5">
              <w:rPr>
                <w:rFonts w:ascii="Lucida Bright" w:hAnsi="Lucida Bright" w:cs="Calibri"/>
                <w:sz w:val="14"/>
                <w:szCs w:val="14"/>
                <w:lang w:val="es-ES"/>
              </w:rPr>
              <w:t xml:space="preserve">Intereses a </w:t>
            </w:r>
            <w:proofErr w:type="spellStart"/>
            <w:r w:rsidRPr="004172A5">
              <w:rPr>
                <w:rFonts w:ascii="Lucida Bright" w:hAnsi="Lucida Bright" w:cs="Calibri"/>
                <w:sz w:val="14"/>
                <w:szCs w:val="14"/>
                <w:lang w:val="es-ES"/>
              </w:rPr>
              <w:t>c.p.</w:t>
            </w:r>
            <w:proofErr w:type="spellEnd"/>
          </w:p>
        </w:tc>
        <w:tc>
          <w:tcPr>
            <w:tcW w:w="1240" w:type="dxa"/>
            <w:tcBorders>
              <w:top w:val="nil"/>
              <w:left w:val="nil"/>
              <w:bottom w:val="single" w:sz="4" w:space="0" w:color="auto"/>
              <w:right w:val="single" w:sz="4" w:space="0" w:color="auto"/>
            </w:tcBorders>
            <w:shd w:val="clear" w:color="000000" w:fill="FFFFFF"/>
            <w:noWrap/>
            <w:vAlign w:val="bottom"/>
            <w:hideMark/>
          </w:tcPr>
          <w:p w:rsidR="004172A5" w:rsidRPr="004172A5" w:rsidRDefault="004172A5" w:rsidP="004172A5">
            <w:pPr>
              <w:jc w:val="right"/>
              <w:rPr>
                <w:rFonts w:ascii="Lucida Bright" w:hAnsi="Lucida Bright" w:cs="Calibri"/>
                <w:sz w:val="14"/>
                <w:szCs w:val="14"/>
                <w:lang w:val="es-ES"/>
              </w:rPr>
            </w:pPr>
            <w:r w:rsidRPr="004172A5">
              <w:rPr>
                <w:rFonts w:ascii="Lucida Bright" w:hAnsi="Lucida Bright" w:cs="Calibri"/>
                <w:sz w:val="14"/>
                <w:szCs w:val="14"/>
                <w:lang w:val="es-ES"/>
              </w:rPr>
              <w:t xml:space="preserve">1.643.344,19 </w:t>
            </w:r>
          </w:p>
        </w:tc>
        <w:tc>
          <w:tcPr>
            <w:tcW w:w="1180" w:type="dxa"/>
            <w:tcBorders>
              <w:top w:val="nil"/>
              <w:left w:val="nil"/>
              <w:bottom w:val="single" w:sz="4" w:space="0" w:color="auto"/>
              <w:right w:val="single" w:sz="4" w:space="0" w:color="auto"/>
            </w:tcBorders>
            <w:shd w:val="clear" w:color="000000" w:fill="FFFFFF"/>
            <w:noWrap/>
            <w:vAlign w:val="bottom"/>
            <w:hideMark/>
          </w:tcPr>
          <w:p w:rsidR="004172A5" w:rsidRPr="004172A5" w:rsidRDefault="004172A5" w:rsidP="004172A5">
            <w:pPr>
              <w:jc w:val="right"/>
              <w:rPr>
                <w:rFonts w:ascii="Lucida Bright" w:hAnsi="Lucida Bright" w:cs="Calibri"/>
                <w:sz w:val="14"/>
                <w:szCs w:val="14"/>
                <w:lang w:val="es-ES"/>
              </w:rPr>
            </w:pPr>
            <w:r w:rsidRPr="004172A5">
              <w:rPr>
                <w:rFonts w:ascii="Lucida Bright" w:hAnsi="Lucida Bright" w:cs="Calibri"/>
                <w:sz w:val="14"/>
                <w:szCs w:val="14"/>
                <w:lang w:val="es-ES"/>
              </w:rPr>
              <w:t xml:space="preserve">6.144,23 </w:t>
            </w:r>
          </w:p>
        </w:tc>
      </w:tr>
      <w:tr w:rsidR="004172A5" w:rsidRPr="004172A5" w:rsidTr="004172A5">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4172A5" w:rsidRPr="004172A5" w:rsidRDefault="004172A5" w:rsidP="004172A5">
            <w:pPr>
              <w:rPr>
                <w:rFonts w:ascii="Lucida Bright" w:hAnsi="Lucida Bright" w:cs="Calibri"/>
                <w:sz w:val="14"/>
                <w:szCs w:val="14"/>
                <w:lang w:val="es-ES"/>
              </w:rPr>
            </w:pPr>
            <w:r w:rsidRPr="004172A5">
              <w:rPr>
                <w:rFonts w:ascii="Lucida Bright" w:hAnsi="Lucida Bright" w:cs="Calibri"/>
                <w:sz w:val="14"/>
                <w:szCs w:val="14"/>
                <w:lang w:val="es-ES"/>
              </w:rPr>
              <w:t xml:space="preserve">Fianzas y depósitos constituidas a </w:t>
            </w:r>
            <w:proofErr w:type="spellStart"/>
            <w:r w:rsidRPr="004172A5">
              <w:rPr>
                <w:rFonts w:ascii="Lucida Bright" w:hAnsi="Lucida Bright" w:cs="Calibri"/>
                <w:sz w:val="14"/>
                <w:szCs w:val="14"/>
                <w:lang w:val="es-ES"/>
              </w:rPr>
              <w:t>c.p.</w:t>
            </w:r>
            <w:proofErr w:type="spellEnd"/>
          </w:p>
        </w:tc>
        <w:tc>
          <w:tcPr>
            <w:tcW w:w="1240" w:type="dxa"/>
            <w:tcBorders>
              <w:top w:val="nil"/>
              <w:left w:val="nil"/>
              <w:bottom w:val="single" w:sz="4" w:space="0" w:color="auto"/>
              <w:right w:val="single" w:sz="4" w:space="0" w:color="auto"/>
            </w:tcBorders>
            <w:shd w:val="clear" w:color="000000" w:fill="FFFFFF"/>
            <w:noWrap/>
            <w:vAlign w:val="bottom"/>
            <w:hideMark/>
          </w:tcPr>
          <w:p w:rsidR="004172A5" w:rsidRPr="004172A5" w:rsidRDefault="004172A5" w:rsidP="004172A5">
            <w:pPr>
              <w:jc w:val="right"/>
              <w:rPr>
                <w:rFonts w:ascii="Lucida Bright" w:hAnsi="Lucida Bright" w:cs="Calibri"/>
                <w:sz w:val="14"/>
                <w:szCs w:val="14"/>
                <w:lang w:val="es-ES"/>
              </w:rPr>
            </w:pPr>
            <w:r w:rsidRPr="004172A5">
              <w:rPr>
                <w:rFonts w:ascii="Lucida Bright" w:hAnsi="Lucida Bright" w:cs="Calibri"/>
                <w:sz w:val="14"/>
                <w:szCs w:val="14"/>
                <w:lang w:val="es-ES"/>
              </w:rPr>
              <w:t xml:space="preserve">51.876,25 </w:t>
            </w:r>
          </w:p>
        </w:tc>
        <w:tc>
          <w:tcPr>
            <w:tcW w:w="1180" w:type="dxa"/>
            <w:tcBorders>
              <w:top w:val="nil"/>
              <w:left w:val="nil"/>
              <w:bottom w:val="single" w:sz="4" w:space="0" w:color="auto"/>
              <w:right w:val="single" w:sz="4" w:space="0" w:color="auto"/>
            </w:tcBorders>
            <w:shd w:val="clear" w:color="000000" w:fill="FFFFFF"/>
            <w:noWrap/>
            <w:vAlign w:val="bottom"/>
            <w:hideMark/>
          </w:tcPr>
          <w:p w:rsidR="004172A5" w:rsidRPr="004172A5" w:rsidRDefault="004172A5" w:rsidP="004172A5">
            <w:pPr>
              <w:jc w:val="right"/>
              <w:rPr>
                <w:rFonts w:ascii="Lucida Bright" w:hAnsi="Lucida Bright" w:cs="Calibri"/>
                <w:sz w:val="14"/>
                <w:szCs w:val="14"/>
                <w:lang w:val="es-ES"/>
              </w:rPr>
            </w:pPr>
            <w:r w:rsidRPr="004172A5">
              <w:rPr>
                <w:rFonts w:ascii="Lucida Bright" w:hAnsi="Lucida Bright" w:cs="Calibri"/>
                <w:sz w:val="14"/>
                <w:szCs w:val="14"/>
                <w:lang w:val="es-ES"/>
              </w:rPr>
              <w:t xml:space="preserve">51.876,25 </w:t>
            </w:r>
          </w:p>
        </w:tc>
      </w:tr>
    </w:tbl>
    <w:p w:rsidR="00C84DA4" w:rsidRDefault="00C84DA4" w:rsidP="003930DB">
      <w:pPr>
        <w:tabs>
          <w:tab w:val="right" w:pos="8364"/>
        </w:tabs>
        <w:jc w:val="both"/>
        <w:rPr>
          <w:sz w:val="24"/>
        </w:rPr>
      </w:pPr>
    </w:p>
    <w:p w:rsidR="00C84DA4" w:rsidRDefault="00C84DA4" w:rsidP="003930DB">
      <w:pPr>
        <w:tabs>
          <w:tab w:val="right" w:pos="8364"/>
        </w:tabs>
        <w:jc w:val="both"/>
        <w:rPr>
          <w:sz w:val="24"/>
        </w:rPr>
      </w:pPr>
    </w:p>
    <w:p w:rsidR="00456615" w:rsidRDefault="00456615" w:rsidP="003930DB">
      <w:pPr>
        <w:tabs>
          <w:tab w:val="right" w:pos="8364"/>
        </w:tabs>
        <w:jc w:val="both"/>
        <w:rPr>
          <w:sz w:val="24"/>
        </w:rPr>
      </w:pPr>
    </w:p>
    <w:p w:rsidR="00FF21A0" w:rsidRPr="00E867B3" w:rsidRDefault="00F706A9" w:rsidP="00D85649">
      <w:pPr>
        <w:tabs>
          <w:tab w:val="right" w:pos="8364"/>
        </w:tabs>
        <w:ind w:left="120"/>
        <w:jc w:val="both"/>
        <w:rPr>
          <w:rFonts w:ascii="NewBaskerville" w:hAnsi="NewBaskerville"/>
        </w:rPr>
      </w:pPr>
      <w:r w:rsidRPr="00E867B3">
        <w:rPr>
          <w:rFonts w:ascii="NewBaskerville" w:hAnsi="NewBaskerville"/>
        </w:rPr>
        <w:t>9</w:t>
      </w:r>
      <w:r w:rsidR="00F348FE" w:rsidRPr="00E867B3">
        <w:rPr>
          <w:rFonts w:ascii="NewBaskerville" w:hAnsi="NewBaskerville"/>
        </w:rPr>
        <w:t xml:space="preserve">.2 </w:t>
      </w:r>
      <w:r w:rsidR="00FF21A0" w:rsidRPr="00E867B3">
        <w:rPr>
          <w:rFonts w:ascii="NewBaskerville" w:hAnsi="NewBaskerville"/>
        </w:rPr>
        <w:t xml:space="preserve">Pasivos financieros </w:t>
      </w:r>
    </w:p>
    <w:p w:rsidR="00D41560" w:rsidRPr="00E867B3" w:rsidRDefault="00D41560" w:rsidP="00D41560">
      <w:pPr>
        <w:ind w:left="360"/>
        <w:jc w:val="both"/>
        <w:rPr>
          <w:rFonts w:ascii="NewBaskerville" w:hAnsi="NewBaskerville"/>
        </w:rPr>
      </w:pPr>
    </w:p>
    <w:p w:rsidR="00FF21A0" w:rsidRPr="00E867B3" w:rsidRDefault="00FF21A0" w:rsidP="00FF21A0">
      <w:pPr>
        <w:pStyle w:val="Ttulo5"/>
        <w:rPr>
          <w:rFonts w:ascii="NewBaskerville" w:hAnsi="NewBaskerville"/>
          <w:sz w:val="20"/>
        </w:rPr>
      </w:pPr>
      <w:r w:rsidRPr="00E867B3">
        <w:rPr>
          <w:rFonts w:ascii="NewBaskerville" w:hAnsi="NewBaskerville"/>
          <w:sz w:val="20"/>
        </w:rPr>
        <w:t xml:space="preserve">Los instrumentos financieros a </w:t>
      </w:r>
      <w:r w:rsidRPr="00E867B3">
        <w:rPr>
          <w:rFonts w:ascii="NewBaskerville" w:hAnsi="NewBaskerville"/>
          <w:b/>
          <w:sz w:val="20"/>
        </w:rPr>
        <w:t>largo plazo</w:t>
      </w:r>
      <w:r w:rsidRPr="00E867B3">
        <w:rPr>
          <w:rFonts w:ascii="NewBaskerville" w:hAnsi="NewBaskerville"/>
          <w:sz w:val="20"/>
        </w:rPr>
        <w:t xml:space="preserve"> corresponden a fianzas y depósitos recibidos como consecuencia de </w:t>
      </w:r>
      <w:r w:rsidR="00E867B3">
        <w:rPr>
          <w:rFonts w:ascii="NewBaskerville" w:hAnsi="NewBaskerville"/>
          <w:sz w:val="20"/>
        </w:rPr>
        <w:t>las concesiones,</w:t>
      </w:r>
      <w:r w:rsidR="009C5EF6" w:rsidRPr="00E867B3">
        <w:rPr>
          <w:rFonts w:ascii="NewBaskerville" w:hAnsi="NewBaskerville"/>
          <w:sz w:val="20"/>
        </w:rPr>
        <w:t xml:space="preserve"> </w:t>
      </w:r>
      <w:r w:rsidR="00E867B3">
        <w:rPr>
          <w:rFonts w:ascii="NewBaskerville" w:hAnsi="NewBaskerville"/>
          <w:sz w:val="20"/>
        </w:rPr>
        <w:t>a</w:t>
      </w:r>
      <w:r w:rsidR="009C5EF6" w:rsidRPr="00E867B3">
        <w:rPr>
          <w:rFonts w:ascii="NewBaskerville" w:hAnsi="NewBaskerville"/>
          <w:sz w:val="20"/>
        </w:rPr>
        <w:t>utorizaciones temporales, contratos</w:t>
      </w:r>
      <w:r w:rsidR="00223769" w:rsidRPr="00E867B3">
        <w:rPr>
          <w:rFonts w:ascii="NewBaskerville" w:hAnsi="NewBaskerville"/>
          <w:sz w:val="20"/>
        </w:rPr>
        <w:t xml:space="preserve"> formalizados por la Entidad</w:t>
      </w:r>
      <w:r w:rsidR="009C5EF6" w:rsidRPr="00E867B3">
        <w:rPr>
          <w:rFonts w:ascii="NewBaskerville" w:hAnsi="NewBaskerville"/>
          <w:sz w:val="20"/>
        </w:rPr>
        <w:t xml:space="preserve"> y por otras prestaciones realizadas; no se actualizan </w:t>
      </w:r>
      <w:r w:rsidR="008155BC" w:rsidRPr="00E867B3">
        <w:rPr>
          <w:rFonts w:ascii="NewBaskerville" w:hAnsi="NewBaskerville"/>
          <w:sz w:val="20"/>
        </w:rPr>
        <w:t>financieramente</w:t>
      </w:r>
      <w:r w:rsidR="009C5EF6" w:rsidRPr="00E867B3">
        <w:rPr>
          <w:rFonts w:ascii="NewBaskerville" w:hAnsi="NewBaskerville"/>
          <w:sz w:val="20"/>
        </w:rPr>
        <w:t xml:space="preserve"> debido</w:t>
      </w:r>
      <w:r w:rsidR="001A0434" w:rsidRPr="00E867B3">
        <w:rPr>
          <w:rFonts w:ascii="NewBaskerville" w:hAnsi="NewBaskerville"/>
          <w:sz w:val="20"/>
        </w:rPr>
        <w:t xml:space="preserve"> a que</w:t>
      </w:r>
      <w:r w:rsidRPr="00E867B3">
        <w:rPr>
          <w:rFonts w:ascii="NewBaskerville" w:hAnsi="NewBaskerville"/>
          <w:sz w:val="20"/>
        </w:rPr>
        <w:t xml:space="preserve"> el efecto de no actualizar los flujos de efectivo no es significativo. Durante el ejercicio </w:t>
      </w:r>
      <w:r w:rsidR="00446E23" w:rsidRPr="00E867B3">
        <w:rPr>
          <w:rFonts w:ascii="NewBaskerville" w:hAnsi="NewBaskerville"/>
          <w:sz w:val="20"/>
        </w:rPr>
        <w:t>202</w:t>
      </w:r>
      <w:r w:rsidR="0082306C">
        <w:rPr>
          <w:rFonts w:ascii="NewBaskerville" w:hAnsi="NewBaskerville"/>
          <w:sz w:val="20"/>
        </w:rPr>
        <w:t>3</w:t>
      </w:r>
      <w:r w:rsidRPr="00E867B3">
        <w:rPr>
          <w:rFonts w:ascii="NewBaskerville" w:hAnsi="NewBaskerville"/>
          <w:sz w:val="20"/>
        </w:rPr>
        <w:t xml:space="preserve"> se han recibido en concepto depósitos y fianzas un total de </w:t>
      </w:r>
      <w:r w:rsidR="00E867B3">
        <w:rPr>
          <w:rFonts w:ascii="NewBaskerville" w:hAnsi="NewBaskerville"/>
          <w:sz w:val="20"/>
        </w:rPr>
        <w:t>3.</w:t>
      </w:r>
      <w:r w:rsidR="0082306C">
        <w:rPr>
          <w:rFonts w:ascii="NewBaskerville" w:hAnsi="NewBaskerville"/>
          <w:sz w:val="20"/>
        </w:rPr>
        <w:t>501</w:t>
      </w:r>
      <w:r w:rsidR="00E867B3">
        <w:rPr>
          <w:rFonts w:ascii="NewBaskerville" w:hAnsi="NewBaskerville"/>
          <w:sz w:val="20"/>
        </w:rPr>
        <w:t>.</w:t>
      </w:r>
      <w:r w:rsidR="0082306C">
        <w:rPr>
          <w:rFonts w:ascii="NewBaskerville" w:hAnsi="NewBaskerville"/>
          <w:sz w:val="20"/>
        </w:rPr>
        <w:t>199</w:t>
      </w:r>
      <w:r w:rsidR="00E867B3">
        <w:rPr>
          <w:rFonts w:ascii="NewBaskerville" w:hAnsi="NewBaskerville"/>
          <w:sz w:val="20"/>
        </w:rPr>
        <w:t>,</w:t>
      </w:r>
      <w:r w:rsidR="0082306C">
        <w:rPr>
          <w:rFonts w:ascii="NewBaskerville" w:hAnsi="NewBaskerville"/>
          <w:sz w:val="20"/>
        </w:rPr>
        <w:t>48</w:t>
      </w:r>
      <w:r w:rsidRPr="00E867B3">
        <w:rPr>
          <w:rFonts w:ascii="NewBaskerville" w:hAnsi="NewBaskerville"/>
          <w:sz w:val="20"/>
        </w:rPr>
        <w:t xml:space="preserve"> euros y se han cancelado por este mismo concepto un total de </w:t>
      </w:r>
      <w:r w:rsidR="0082306C">
        <w:rPr>
          <w:rFonts w:ascii="NewBaskerville" w:hAnsi="NewBaskerville"/>
          <w:sz w:val="20"/>
        </w:rPr>
        <w:t>2.014.173</w:t>
      </w:r>
      <w:r w:rsidR="00E867B3">
        <w:rPr>
          <w:rFonts w:ascii="NewBaskerville" w:hAnsi="NewBaskerville"/>
          <w:sz w:val="20"/>
        </w:rPr>
        <w:t>,</w:t>
      </w:r>
      <w:r w:rsidR="0082306C">
        <w:rPr>
          <w:rFonts w:ascii="NewBaskerville" w:hAnsi="NewBaskerville"/>
          <w:sz w:val="20"/>
        </w:rPr>
        <w:t>36</w:t>
      </w:r>
      <w:r w:rsidR="007064F8" w:rsidRPr="00E867B3">
        <w:rPr>
          <w:rFonts w:ascii="NewBaskerville" w:hAnsi="NewBaskerville"/>
          <w:sz w:val="20"/>
        </w:rPr>
        <w:t xml:space="preserve"> </w:t>
      </w:r>
      <w:r w:rsidR="00446E23" w:rsidRPr="00E867B3">
        <w:rPr>
          <w:rFonts w:ascii="NewBaskerville" w:hAnsi="NewBaskerville"/>
          <w:sz w:val="20"/>
        </w:rPr>
        <w:t>euros. Durante el ejercicio 202</w:t>
      </w:r>
      <w:r w:rsidR="0082306C">
        <w:rPr>
          <w:rFonts w:ascii="NewBaskerville" w:hAnsi="NewBaskerville"/>
          <w:sz w:val="20"/>
        </w:rPr>
        <w:t>2</w:t>
      </w:r>
      <w:r w:rsidRPr="00E867B3">
        <w:rPr>
          <w:rFonts w:ascii="NewBaskerville" w:hAnsi="NewBaskerville"/>
          <w:sz w:val="20"/>
        </w:rPr>
        <w:t xml:space="preserve"> se constituyeron en concepto de depósitos y fianzas un total de </w:t>
      </w:r>
      <w:r w:rsidR="0082306C">
        <w:rPr>
          <w:rFonts w:ascii="NewBaskerville" w:hAnsi="NewBaskerville"/>
          <w:sz w:val="20"/>
        </w:rPr>
        <w:t>3.674.896,87</w:t>
      </w:r>
      <w:r w:rsidR="007064F8" w:rsidRPr="00E867B3">
        <w:rPr>
          <w:rFonts w:ascii="NewBaskerville" w:hAnsi="NewBaskerville"/>
          <w:sz w:val="20"/>
        </w:rPr>
        <w:t xml:space="preserve"> </w:t>
      </w:r>
      <w:r w:rsidRPr="00E867B3">
        <w:rPr>
          <w:rFonts w:ascii="NewBaskerville" w:hAnsi="NewBaskerville"/>
          <w:sz w:val="20"/>
        </w:rPr>
        <w:t xml:space="preserve">euros mientras que en ese mismo ejercicio se cancelaron depósitos y fianzas por importe de </w:t>
      </w:r>
      <w:r w:rsidR="0082306C">
        <w:rPr>
          <w:rFonts w:ascii="NewBaskerville" w:hAnsi="NewBaskerville"/>
          <w:sz w:val="20"/>
        </w:rPr>
        <w:t>1.657.910,22</w:t>
      </w:r>
      <w:r w:rsidR="00446E23" w:rsidRPr="00E867B3">
        <w:rPr>
          <w:rFonts w:ascii="NewBaskerville" w:hAnsi="NewBaskerville"/>
          <w:sz w:val="20"/>
        </w:rPr>
        <w:t xml:space="preserve"> </w:t>
      </w:r>
      <w:r w:rsidRPr="00E867B3">
        <w:rPr>
          <w:rFonts w:ascii="NewBaskerville" w:hAnsi="NewBaskerville"/>
          <w:sz w:val="20"/>
        </w:rPr>
        <w:t>euros.</w:t>
      </w:r>
    </w:p>
    <w:p w:rsidR="00FF21A0" w:rsidRPr="00CF32FF" w:rsidRDefault="00FF21A0" w:rsidP="00FF21A0">
      <w:pPr>
        <w:tabs>
          <w:tab w:val="right" w:pos="8364"/>
        </w:tabs>
        <w:ind w:left="120" w:firstLine="420"/>
        <w:jc w:val="both"/>
      </w:pPr>
    </w:p>
    <w:p w:rsidR="00E90A55" w:rsidRDefault="00FF21A0" w:rsidP="00E90A55">
      <w:pPr>
        <w:pStyle w:val="Sangra2detindependiente"/>
        <w:tabs>
          <w:tab w:val="right" w:pos="8364"/>
        </w:tabs>
        <w:rPr>
          <w:rFonts w:ascii="NewBaskerville" w:hAnsi="NewBaskerville"/>
          <w:sz w:val="20"/>
        </w:rPr>
      </w:pPr>
      <w:r w:rsidRPr="00E867B3">
        <w:rPr>
          <w:rFonts w:ascii="NewBaskerville" w:hAnsi="NewBaskerville"/>
          <w:sz w:val="20"/>
        </w:rPr>
        <w:t xml:space="preserve">Los instrumentos financieros a </w:t>
      </w:r>
      <w:r w:rsidRPr="00E867B3">
        <w:rPr>
          <w:rFonts w:ascii="NewBaskerville" w:hAnsi="NewBaskerville"/>
          <w:b/>
          <w:sz w:val="20"/>
        </w:rPr>
        <w:t>corto plazo</w:t>
      </w:r>
      <w:r w:rsidRPr="00E867B3">
        <w:rPr>
          <w:rFonts w:ascii="NewBaskerville" w:hAnsi="NewBaskerville"/>
          <w:sz w:val="20"/>
        </w:rPr>
        <w:t xml:space="preserve"> corresponden a acreedores comerciales</w:t>
      </w:r>
      <w:r w:rsidR="00E867B3">
        <w:rPr>
          <w:rFonts w:ascii="NewBaskerville" w:hAnsi="NewBaskerville"/>
          <w:sz w:val="20"/>
        </w:rPr>
        <w:t xml:space="preserve"> y no comerciales</w:t>
      </w:r>
      <w:r w:rsidRPr="00E867B3">
        <w:rPr>
          <w:rFonts w:ascii="NewBaskerville" w:hAnsi="NewBaskerville"/>
          <w:sz w:val="20"/>
        </w:rPr>
        <w:t>, a proveedores de inmovilizado, a fianzas y depósitos recibidos a corto plazo.</w:t>
      </w:r>
      <w:r w:rsidR="00E90A55" w:rsidRPr="00E867B3">
        <w:rPr>
          <w:rFonts w:ascii="NewBaskerville" w:hAnsi="NewBaskerville"/>
          <w:sz w:val="20"/>
        </w:rPr>
        <w:t xml:space="preserve"> No hay ningún tipo de deuda con vencimiento superior a cinco años n</w:t>
      </w:r>
      <w:r w:rsidR="00484FB9" w:rsidRPr="00E867B3">
        <w:rPr>
          <w:rFonts w:ascii="NewBaskerville" w:hAnsi="NewBaskerville"/>
          <w:sz w:val="20"/>
        </w:rPr>
        <w:t>i avalada con garantías reales.</w:t>
      </w:r>
    </w:p>
    <w:p w:rsidR="00456615" w:rsidRDefault="00456615" w:rsidP="00E90A55">
      <w:pPr>
        <w:pStyle w:val="Sangra2detindependiente"/>
        <w:tabs>
          <w:tab w:val="right" w:pos="8364"/>
        </w:tabs>
        <w:rPr>
          <w:rFonts w:ascii="NewBaskerville" w:hAnsi="NewBaskerville"/>
          <w:sz w:val="20"/>
        </w:rPr>
      </w:pPr>
    </w:p>
    <w:p w:rsidR="00456615" w:rsidRPr="00E867B3" w:rsidRDefault="002E0773" w:rsidP="00E90A55">
      <w:pPr>
        <w:pStyle w:val="Sangra2detindependiente"/>
        <w:tabs>
          <w:tab w:val="right" w:pos="8364"/>
        </w:tabs>
        <w:rPr>
          <w:rFonts w:ascii="NewBaskerville" w:hAnsi="NewBaskerville"/>
          <w:sz w:val="20"/>
        </w:rPr>
      </w:pPr>
      <w:r>
        <w:rPr>
          <w:rFonts w:ascii="NewBaskerville" w:hAnsi="NewBaskerville"/>
          <w:sz w:val="20"/>
        </w:rPr>
        <w:t>Seguidamente se relacionan por epígrafes los pasivos financieros a corto plazo registrados:</w:t>
      </w:r>
    </w:p>
    <w:tbl>
      <w:tblPr>
        <w:tblW w:w="6120" w:type="dxa"/>
        <w:tblInd w:w="70" w:type="dxa"/>
        <w:tblCellMar>
          <w:left w:w="70" w:type="dxa"/>
          <w:right w:w="70" w:type="dxa"/>
        </w:tblCellMar>
        <w:tblLook w:val="04A0" w:firstRow="1" w:lastRow="0" w:firstColumn="1" w:lastColumn="0" w:noHBand="0" w:noVBand="1"/>
      </w:tblPr>
      <w:tblGrid>
        <w:gridCol w:w="4111"/>
        <w:gridCol w:w="1038"/>
        <w:gridCol w:w="1280"/>
      </w:tblGrid>
      <w:tr w:rsidR="009845D8" w:rsidRPr="009845D8" w:rsidTr="009845D8">
        <w:trPr>
          <w:trHeight w:val="300"/>
        </w:trPr>
        <w:tc>
          <w:tcPr>
            <w:tcW w:w="4111" w:type="dxa"/>
            <w:tcBorders>
              <w:top w:val="nil"/>
              <w:left w:val="nil"/>
              <w:bottom w:val="nil"/>
              <w:right w:val="nil"/>
            </w:tcBorders>
            <w:shd w:val="clear" w:color="auto" w:fill="auto"/>
            <w:noWrap/>
            <w:vAlign w:val="bottom"/>
            <w:hideMark/>
          </w:tcPr>
          <w:p w:rsidR="009845D8" w:rsidRPr="009845D8" w:rsidRDefault="009845D8" w:rsidP="009845D8">
            <w:pPr>
              <w:rPr>
                <w:rFonts w:ascii="Calibri" w:hAnsi="Calibri" w:cs="Calibri"/>
                <w:color w:val="000000"/>
                <w:sz w:val="22"/>
                <w:szCs w:val="22"/>
                <w:lang w:val="es-ES"/>
              </w:rPr>
            </w:pPr>
          </w:p>
        </w:tc>
        <w:tc>
          <w:tcPr>
            <w:tcW w:w="72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9845D8" w:rsidRPr="009845D8" w:rsidRDefault="009845D8" w:rsidP="009845D8">
            <w:pPr>
              <w:jc w:val="center"/>
              <w:rPr>
                <w:rFonts w:ascii="Lucida Bright" w:hAnsi="Lucida Bright" w:cs="Calibri"/>
                <w:b/>
                <w:bCs/>
                <w:color w:val="000000"/>
                <w:sz w:val="14"/>
                <w:szCs w:val="14"/>
                <w:lang w:val="es-ES"/>
              </w:rPr>
            </w:pPr>
            <w:r w:rsidRPr="009845D8">
              <w:rPr>
                <w:rFonts w:ascii="Lucida Bright" w:hAnsi="Lucida Bright" w:cs="Calibri"/>
                <w:b/>
                <w:bCs/>
                <w:color w:val="000000"/>
                <w:sz w:val="14"/>
                <w:szCs w:val="14"/>
                <w:lang w:val="es-ES"/>
              </w:rPr>
              <w:t>2023</w:t>
            </w:r>
          </w:p>
        </w:tc>
        <w:tc>
          <w:tcPr>
            <w:tcW w:w="1280" w:type="dxa"/>
            <w:tcBorders>
              <w:top w:val="single" w:sz="4" w:space="0" w:color="auto"/>
              <w:left w:val="nil"/>
              <w:bottom w:val="single" w:sz="4" w:space="0" w:color="auto"/>
              <w:right w:val="single" w:sz="4" w:space="0" w:color="auto"/>
            </w:tcBorders>
            <w:shd w:val="clear" w:color="000000" w:fill="CCFFCC"/>
            <w:noWrap/>
            <w:vAlign w:val="center"/>
            <w:hideMark/>
          </w:tcPr>
          <w:p w:rsidR="009845D8" w:rsidRPr="009845D8" w:rsidRDefault="009845D8" w:rsidP="009845D8">
            <w:pPr>
              <w:jc w:val="center"/>
              <w:rPr>
                <w:rFonts w:ascii="Lucida Bright" w:hAnsi="Lucida Bright" w:cs="Calibri"/>
                <w:b/>
                <w:bCs/>
                <w:color w:val="000000"/>
                <w:sz w:val="14"/>
                <w:szCs w:val="14"/>
                <w:lang w:val="es-ES"/>
              </w:rPr>
            </w:pPr>
            <w:r w:rsidRPr="009845D8">
              <w:rPr>
                <w:rFonts w:ascii="Lucida Bright" w:hAnsi="Lucida Bright" w:cs="Calibri"/>
                <w:b/>
                <w:bCs/>
                <w:color w:val="000000"/>
                <w:sz w:val="14"/>
                <w:szCs w:val="14"/>
                <w:lang w:val="es-ES"/>
              </w:rPr>
              <w:t>2022</w:t>
            </w:r>
          </w:p>
        </w:tc>
      </w:tr>
      <w:tr w:rsidR="009845D8" w:rsidRPr="009845D8" w:rsidTr="009845D8">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9845D8" w:rsidRPr="009845D8" w:rsidRDefault="009845D8" w:rsidP="009845D8">
            <w:pPr>
              <w:rPr>
                <w:rFonts w:ascii="Lucida Bright" w:hAnsi="Lucida Bright" w:cs="Calibri"/>
                <w:b/>
                <w:bCs/>
                <w:sz w:val="14"/>
                <w:szCs w:val="14"/>
                <w:lang w:val="es-ES"/>
              </w:rPr>
            </w:pPr>
            <w:r w:rsidRPr="009845D8">
              <w:rPr>
                <w:rFonts w:ascii="Lucida Bright" w:hAnsi="Lucida Bright" w:cs="Calibri"/>
                <w:b/>
                <w:bCs/>
                <w:sz w:val="14"/>
                <w:szCs w:val="14"/>
                <w:lang w:val="es-ES"/>
              </w:rPr>
              <w:t>III. Deudas a corto plazo</w:t>
            </w:r>
          </w:p>
        </w:tc>
        <w:tc>
          <w:tcPr>
            <w:tcW w:w="729" w:type="dxa"/>
            <w:tcBorders>
              <w:top w:val="nil"/>
              <w:left w:val="nil"/>
              <w:bottom w:val="single" w:sz="4" w:space="0" w:color="auto"/>
              <w:right w:val="single" w:sz="4" w:space="0" w:color="auto"/>
            </w:tcBorders>
            <w:shd w:val="clear" w:color="000000" w:fill="CCFFCC"/>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1.935.929,40 </w:t>
            </w:r>
          </w:p>
        </w:tc>
        <w:tc>
          <w:tcPr>
            <w:tcW w:w="1280" w:type="dxa"/>
            <w:tcBorders>
              <w:top w:val="nil"/>
              <w:left w:val="nil"/>
              <w:bottom w:val="single" w:sz="4" w:space="0" w:color="auto"/>
              <w:right w:val="single" w:sz="4" w:space="0" w:color="auto"/>
            </w:tcBorders>
            <w:shd w:val="clear" w:color="000000" w:fill="CCFFCC"/>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3.705.167,21 </w:t>
            </w:r>
          </w:p>
        </w:tc>
      </w:tr>
      <w:tr w:rsidR="009845D8" w:rsidRPr="009845D8" w:rsidTr="009845D8">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center"/>
            <w:hideMark/>
          </w:tcPr>
          <w:p w:rsidR="009845D8" w:rsidRPr="009845D8" w:rsidRDefault="009845D8" w:rsidP="009845D8">
            <w:pPr>
              <w:rPr>
                <w:rFonts w:ascii="Lucida Bright" w:hAnsi="Lucida Bright" w:cs="Calibri"/>
                <w:b/>
                <w:bCs/>
                <w:sz w:val="14"/>
                <w:szCs w:val="14"/>
                <w:lang w:val="es-ES"/>
              </w:rPr>
            </w:pPr>
            <w:r w:rsidRPr="009845D8">
              <w:rPr>
                <w:rFonts w:ascii="Lucida Bright" w:hAnsi="Lucida Bright" w:cs="Calibri"/>
                <w:b/>
                <w:bCs/>
                <w:sz w:val="14"/>
                <w:szCs w:val="14"/>
                <w:lang w:val="es-ES"/>
              </w:rPr>
              <w:t>2. Proveedores de inmovilizado a corto plazo</w:t>
            </w:r>
          </w:p>
        </w:tc>
        <w:tc>
          <w:tcPr>
            <w:tcW w:w="729" w:type="dxa"/>
            <w:tcBorders>
              <w:top w:val="nil"/>
              <w:left w:val="nil"/>
              <w:bottom w:val="single" w:sz="4" w:space="0" w:color="auto"/>
              <w:right w:val="single" w:sz="4" w:space="0" w:color="auto"/>
            </w:tcBorders>
            <w:shd w:val="clear" w:color="auto" w:fill="auto"/>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1.682.570,57 </w:t>
            </w:r>
          </w:p>
        </w:tc>
        <w:tc>
          <w:tcPr>
            <w:tcW w:w="1280" w:type="dxa"/>
            <w:tcBorders>
              <w:top w:val="nil"/>
              <w:left w:val="nil"/>
              <w:bottom w:val="single" w:sz="4" w:space="0" w:color="auto"/>
              <w:right w:val="single" w:sz="4" w:space="0" w:color="auto"/>
            </w:tcBorders>
            <w:shd w:val="clear" w:color="auto" w:fill="auto"/>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3.536.876,51 </w:t>
            </w:r>
          </w:p>
        </w:tc>
      </w:tr>
      <w:tr w:rsidR="009845D8" w:rsidRPr="009845D8" w:rsidTr="009845D8">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 xml:space="preserve">Proveedores de inmovilizado a </w:t>
            </w:r>
            <w:proofErr w:type="spellStart"/>
            <w:r w:rsidRPr="009845D8">
              <w:rPr>
                <w:rFonts w:ascii="Lucida Bright" w:hAnsi="Lucida Bright" w:cs="Calibri"/>
                <w:sz w:val="14"/>
                <w:szCs w:val="14"/>
                <w:lang w:val="es-ES"/>
              </w:rPr>
              <w:t>c.p.</w:t>
            </w:r>
            <w:proofErr w:type="spellEnd"/>
          </w:p>
        </w:tc>
        <w:tc>
          <w:tcPr>
            <w:tcW w:w="729" w:type="dxa"/>
            <w:tcBorders>
              <w:top w:val="nil"/>
              <w:left w:val="nil"/>
              <w:bottom w:val="single" w:sz="4" w:space="0" w:color="auto"/>
              <w:right w:val="single" w:sz="4" w:space="0" w:color="auto"/>
            </w:tcBorders>
            <w:shd w:val="clear" w:color="auto" w:fill="auto"/>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1.682.570,57 </w:t>
            </w:r>
          </w:p>
        </w:tc>
        <w:tc>
          <w:tcPr>
            <w:tcW w:w="1280" w:type="dxa"/>
            <w:tcBorders>
              <w:top w:val="nil"/>
              <w:left w:val="nil"/>
              <w:bottom w:val="single" w:sz="4" w:space="0" w:color="auto"/>
              <w:right w:val="single" w:sz="4" w:space="0" w:color="auto"/>
            </w:tcBorders>
            <w:shd w:val="clear" w:color="auto" w:fill="auto"/>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3.536.876,51 </w:t>
            </w:r>
          </w:p>
        </w:tc>
      </w:tr>
      <w:tr w:rsidR="009845D8" w:rsidRPr="009845D8" w:rsidTr="009845D8">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center"/>
            <w:hideMark/>
          </w:tcPr>
          <w:p w:rsidR="009845D8" w:rsidRPr="009845D8" w:rsidRDefault="009845D8" w:rsidP="009845D8">
            <w:pPr>
              <w:rPr>
                <w:rFonts w:ascii="Lucida Bright" w:hAnsi="Lucida Bright" w:cs="Calibri"/>
                <w:b/>
                <w:bCs/>
                <w:sz w:val="14"/>
                <w:szCs w:val="14"/>
                <w:lang w:val="es-ES"/>
              </w:rPr>
            </w:pPr>
            <w:r w:rsidRPr="009845D8">
              <w:rPr>
                <w:rFonts w:ascii="Lucida Bright" w:hAnsi="Lucida Bright" w:cs="Calibri"/>
                <w:b/>
                <w:bCs/>
                <w:sz w:val="14"/>
                <w:szCs w:val="14"/>
                <w:lang w:val="es-ES"/>
              </w:rPr>
              <w:t>3. Otros pasivos financieros</w:t>
            </w:r>
          </w:p>
        </w:tc>
        <w:tc>
          <w:tcPr>
            <w:tcW w:w="729" w:type="dxa"/>
            <w:tcBorders>
              <w:top w:val="nil"/>
              <w:left w:val="nil"/>
              <w:bottom w:val="single" w:sz="4" w:space="0" w:color="auto"/>
              <w:right w:val="single" w:sz="4" w:space="0" w:color="auto"/>
            </w:tcBorders>
            <w:shd w:val="clear" w:color="auto" w:fill="auto"/>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253.358,83 </w:t>
            </w:r>
          </w:p>
        </w:tc>
        <w:tc>
          <w:tcPr>
            <w:tcW w:w="1280" w:type="dxa"/>
            <w:tcBorders>
              <w:top w:val="nil"/>
              <w:left w:val="nil"/>
              <w:bottom w:val="single" w:sz="4" w:space="0" w:color="auto"/>
              <w:right w:val="single" w:sz="4" w:space="0" w:color="auto"/>
            </w:tcBorders>
            <w:shd w:val="clear" w:color="auto" w:fill="auto"/>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168.290,70 </w:t>
            </w:r>
          </w:p>
        </w:tc>
      </w:tr>
      <w:tr w:rsidR="009845D8" w:rsidRPr="009845D8" w:rsidTr="009845D8">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Deudas a corto plazo</w:t>
            </w:r>
          </w:p>
        </w:tc>
        <w:tc>
          <w:tcPr>
            <w:tcW w:w="729"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212.517,70 </w:t>
            </w:r>
          </w:p>
        </w:tc>
        <w:tc>
          <w:tcPr>
            <w:tcW w:w="128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93.861,47 </w:t>
            </w:r>
          </w:p>
        </w:tc>
      </w:tr>
      <w:tr w:rsidR="009845D8" w:rsidRPr="009845D8" w:rsidTr="009845D8">
        <w:trPr>
          <w:trHeight w:val="30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 xml:space="preserve">Fianzas y depósitos recibidos a </w:t>
            </w:r>
            <w:proofErr w:type="spellStart"/>
            <w:r w:rsidRPr="009845D8">
              <w:rPr>
                <w:rFonts w:ascii="Lucida Bright" w:hAnsi="Lucida Bright" w:cs="Calibri"/>
                <w:sz w:val="14"/>
                <w:szCs w:val="14"/>
                <w:lang w:val="es-ES"/>
              </w:rPr>
              <w:t>c.p.</w:t>
            </w:r>
            <w:proofErr w:type="spellEnd"/>
          </w:p>
        </w:tc>
        <w:tc>
          <w:tcPr>
            <w:tcW w:w="729"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40.841,13 </w:t>
            </w:r>
          </w:p>
        </w:tc>
        <w:tc>
          <w:tcPr>
            <w:tcW w:w="128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74.429,23 </w:t>
            </w:r>
          </w:p>
        </w:tc>
      </w:tr>
    </w:tbl>
    <w:p w:rsidR="00FF6455" w:rsidRDefault="00FF6455" w:rsidP="00BF22FE">
      <w:pPr>
        <w:pStyle w:val="Sangra2detindependiente"/>
        <w:tabs>
          <w:tab w:val="right" w:pos="8364"/>
        </w:tabs>
        <w:ind w:firstLine="142"/>
      </w:pPr>
    </w:p>
    <w:tbl>
      <w:tblPr>
        <w:tblW w:w="6521" w:type="dxa"/>
        <w:tblInd w:w="70" w:type="dxa"/>
        <w:tblCellMar>
          <w:left w:w="70" w:type="dxa"/>
          <w:right w:w="70" w:type="dxa"/>
        </w:tblCellMar>
        <w:tblLook w:val="04A0" w:firstRow="1" w:lastRow="0" w:firstColumn="1" w:lastColumn="0" w:noHBand="0" w:noVBand="1"/>
      </w:tblPr>
      <w:tblGrid>
        <w:gridCol w:w="4060"/>
        <w:gridCol w:w="1280"/>
        <w:gridCol w:w="1181"/>
      </w:tblGrid>
      <w:tr w:rsidR="009845D8" w:rsidRPr="009845D8" w:rsidTr="00746AD3">
        <w:trPr>
          <w:trHeight w:val="300"/>
        </w:trPr>
        <w:tc>
          <w:tcPr>
            <w:tcW w:w="4060" w:type="dxa"/>
            <w:tcBorders>
              <w:top w:val="nil"/>
              <w:left w:val="nil"/>
              <w:bottom w:val="nil"/>
              <w:right w:val="nil"/>
            </w:tcBorders>
            <w:shd w:val="clear" w:color="auto" w:fill="auto"/>
            <w:noWrap/>
            <w:vAlign w:val="bottom"/>
            <w:hideMark/>
          </w:tcPr>
          <w:p w:rsidR="009845D8" w:rsidRPr="009845D8" w:rsidRDefault="009845D8" w:rsidP="009845D8">
            <w:pPr>
              <w:rPr>
                <w:rFonts w:ascii="Calibri" w:hAnsi="Calibri" w:cs="Calibri"/>
                <w:color w:val="000000"/>
                <w:sz w:val="22"/>
                <w:szCs w:val="22"/>
                <w:lang w:val="es-ES"/>
              </w:rPr>
            </w:pPr>
          </w:p>
        </w:tc>
        <w:tc>
          <w:tcPr>
            <w:tcW w:w="12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9845D8" w:rsidRPr="009845D8" w:rsidRDefault="009845D8" w:rsidP="009845D8">
            <w:pPr>
              <w:jc w:val="center"/>
              <w:rPr>
                <w:rFonts w:ascii="Lucida Bright" w:hAnsi="Lucida Bright" w:cs="Calibri"/>
                <w:b/>
                <w:bCs/>
                <w:color w:val="000000"/>
                <w:sz w:val="14"/>
                <w:szCs w:val="14"/>
                <w:lang w:val="es-ES"/>
              </w:rPr>
            </w:pPr>
            <w:r w:rsidRPr="009845D8">
              <w:rPr>
                <w:rFonts w:ascii="Lucida Bright" w:hAnsi="Lucida Bright" w:cs="Calibri"/>
                <w:b/>
                <w:bCs/>
                <w:color w:val="000000"/>
                <w:sz w:val="14"/>
                <w:szCs w:val="14"/>
                <w:lang w:val="es-ES"/>
              </w:rPr>
              <w:t>2023</w:t>
            </w:r>
          </w:p>
        </w:tc>
        <w:tc>
          <w:tcPr>
            <w:tcW w:w="1181" w:type="dxa"/>
            <w:tcBorders>
              <w:top w:val="single" w:sz="4" w:space="0" w:color="auto"/>
              <w:left w:val="nil"/>
              <w:bottom w:val="single" w:sz="4" w:space="0" w:color="auto"/>
              <w:right w:val="single" w:sz="4" w:space="0" w:color="auto"/>
            </w:tcBorders>
            <w:shd w:val="clear" w:color="000000" w:fill="CCFFCC"/>
            <w:noWrap/>
            <w:vAlign w:val="center"/>
            <w:hideMark/>
          </w:tcPr>
          <w:p w:rsidR="009845D8" w:rsidRPr="009845D8" w:rsidRDefault="009845D8" w:rsidP="009845D8">
            <w:pPr>
              <w:jc w:val="center"/>
              <w:rPr>
                <w:rFonts w:ascii="Lucida Bright" w:hAnsi="Lucida Bright" w:cs="Calibri"/>
                <w:b/>
                <w:bCs/>
                <w:color w:val="000000"/>
                <w:sz w:val="14"/>
                <w:szCs w:val="14"/>
                <w:lang w:val="es-ES"/>
              </w:rPr>
            </w:pPr>
            <w:r w:rsidRPr="009845D8">
              <w:rPr>
                <w:rFonts w:ascii="Lucida Bright" w:hAnsi="Lucida Bright" w:cs="Calibri"/>
                <w:b/>
                <w:bCs/>
                <w:color w:val="000000"/>
                <w:sz w:val="14"/>
                <w:szCs w:val="14"/>
                <w:lang w:val="es-ES"/>
              </w:rPr>
              <w:t>2022</w:t>
            </w:r>
          </w:p>
        </w:tc>
      </w:tr>
      <w:tr w:rsidR="009845D8" w:rsidRPr="009845D8" w:rsidTr="00746AD3">
        <w:trPr>
          <w:trHeight w:val="300"/>
        </w:trPr>
        <w:tc>
          <w:tcPr>
            <w:tcW w:w="406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9845D8" w:rsidRPr="009845D8" w:rsidRDefault="009845D8" w:rsidP="009845D8">
            <w:pPr>
              <w:rPr>
                <w:rFonts w:ascii="Lucida Bright" w:hAnsi="Lucida Bright" w:cs="Calibri"/>
                <w:b/>
                <w:bCs/>
                <w:sz w:val="14"/>
                <w:szCs w:val="14"/>
                <w:lang w:val="es-ES"/>
              </w:rPr>
            </w:pPr>
            <w:r w:rsidRPr="009845D8">
              <w:rPr>
                <w:rFonts w:ascii="Lucida Bright" w:hAnsi="Lucida Bright" w:cs="Calibri"/>
                <w:b/>
                <w:bCs/>
                <w:sz w:val="14"/>
                <w:szCs w:val="14"/>
                <w:lang w:val="es-ES"/>
              </w:rPr>
              <w:t>V. Acreedores comerciales y otras cuentas a pagar</w:t>
            </w:r>
          </w:p>
        </w:tc>
        <w:tc>
          <w:tcPr>
            <w:tcW w:w="1280" w:type="dxa"/>
            <w:tcBorders>
              <w:top w:val="nil"/>
              <w:left w:val="nil"/>
              <w:bottom w:val="single" w:sz="4" w:space="0" w:color="auto"/>
              <w:right w:val="single" w:sz="4" w:space="0" w:color="auto"/>
            </w:tcBorders>
            <w:shd w:val="clear" w:color="000000" w:fill="CCFFCC"/>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6.902.688,72 </w:t>
            </w:r>
          </w:p>
        </w:tc>
        <w:tc>
          <w:tcPr>
            <w:tcW w:w="1181" w:type="dxa"/>
            <w:tcBorders>
              <w:top w:val="nil"/>
              <w:left w:val="nil"/>
              <w:bottom w:val="single" w:sz="4" w:space="0" w:color="auto"/>
              <w:right w:val="single" w:sz="4" w:space="0" w:color="auto"/>
            </w:tcBorders>
            <w:shd w:val="clear" w:color="000000" w:fill="CCFFCC"/>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5.978.882,32 </w:t>
            </w:r>
          </w:p>
        </w:tc>
      </w:tr>
      <w:tr w:rsidR="009845D8" w:rsidRPr="009845D8" w:rsidTr="00746AD3">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center"/>
            <w:hideMark/>
          </w:tcPr>
          <w:p w:rsidR="009845D8" w:rsidRPr="009845D8" w:rsidRDefault="009845D8" w:rsidP="009845D8">
            <w:pPr>
              <w:rPr>
                <w:rFonts w:ascii="Lucida Bright" w:hAnsi="Lucida Bright" w:cs="Calibri"/>
                <w:b/>
                <w:bCs/>
                <w:sz w:val="14"/>
                <w:szCs w:val="14"/>
                <w:lang w:val="es-ES"/>
              </w:rPr>
            </w:pPr>
            <w:r w:rsidRPr="009845D8">
              <w:rPr>
                <w:rFonts w:ascii="Lucida Bright" w:hAnsi="Lucida Bright" w:cs="Calibri"/>
                <w:b/>
                <w:bCs/>
                <w:sz w:val="14"/>
                <w:szCs w:val="14"/>
                <w:lang w:val="es-ES"/>
              </w:rPr>
              <w:t>1. Acreedores y otras cuentas a pagar</w:t>
            </w:r>
          </w:p>
        </w:tc>
        <w:tc>
          <w:tcPr>
            <w:tcW w:w="1280" w:type="dxa"/>
            <w:tcBorders>
              <w:top w:val="nil"/>
              <w:left w:val="nil"/>
              <w:bottom w:val="single" w:sz="4" w:space="0" w:color="auto"/>
              <w:right w:val="single" w:sz="4" w:space="0" w:color="auto"/>
            </w:tcBorders>
            <w:shd w:val="clear" w:color="auto" w:fill="auto"/>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6.902.688,72 </w:t>
            </w:r>
          </w:p>
        </w:tc>
        <w:tc>
          <w:tcPr>
            <w:tcW w:w="1181" w:type="dxa"/>
            <w:tcBorders>
              <w:top w:val="nil"/>
              <w:left w:val="nil"/>
              <w:bottom w:val="single" w:sz="4" w:space="0" w:color="auto"/>
              <w:right w:val="single" w:sz="4" w:space="0" w:color="auto"/>
            </w:tcBorders>
            <w:shd w:val="clear" w:color="auto" w:fill="auto"/>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5.978.882,32 </w:t>
            </w:r>
          </w:p>
        </w:tc>
      </w:tr>
      <w:tr w:rsidR="009845D8" w:rsidRPr="009845D8" w:rsidTr="00746AD3">
        <w:trPr>
          <w:trHeight w:val="300"/>
        </w:trPr>
        <w:tc>
          <w:tcPr>
            <w:tcW w:w="4060" w:type="dxa"/>
            <w:tcBorders>
              <w:top w:val="nil"/>
              <w:left w:val="single" w:sz="4" w:space="0" w:color="auto"/>
              <w:bottom w:val="single" w:sz="4" w:space="0" w:color="auto"/>
              <w:right w:val="single" w:sz="4" w:space="0" w:color="auto"/>
            </w:tcBorders>
            <w:shd w:val="clear" w:color="000000" w:fill="FFFFFF"/>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Acreedores por prestaciones de servicios</w:t>
            </w:r>
          </w:p>
        </w:tc>
        <w:tc>
          <w:tcPr>
            <w:tcW w:w="128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6.756.217,29 </w:t>
            </w:r>
          </w:p>
        </w:tc>
        <w:tc>
          <w:tcPr>
            <w:tcW w:w="1181"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5.836.706,63 </w:t>
            </w:r>
          </w:p>
        </w:tc>
      </w:tr>
      <w:tr w:rsidR="009845D8" w:rsidRPr="009845D8" w:rsidTr="00746AD3">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Acreedores por sentencias firmes</w:t>
            </w:r>
          </w:p>
        </w:tc>
        <w:tc>
          <w:tcPr>
            <w:tcW w:w="128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146.471,43 </w:t>
            </w:r>
          </w:p>
        </w:tc>
        <w:tc>
          <w:tcPr>
            <w:tcW w:w="1181"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142.175,69 </w:t>
            </w:r>
          </w:p>
        </w:tc>
      </w:tr>
    </w:tbl>
    <w:p w:rsidR="009845D8" w:rsidRDefault="009845D8" w:rsidP="00BF22FE">
      <w:pPr>
        <w:pStyle w:val="Sangra2detindependiente"/>
        <w:tabs>
          <w:tab w:val="right" w:pos="8364"/>
        </w:tabs>
        <w:ind w:firstLine="142"/>
      </w:pPr>
    </w:p>
    <w:p w:rsidR="00456615" w:rsidRDefault="00456615" w:rsidP="00BF22FE">
      <w:pPr>
        <w:pStyle w:val="Sangra2detindependiente"/>
        <w:tabs>
          <w:tab w:val="right" w:pos="8364"/>
        </w:tabs>
        <w:ind w:firstLine="142"/>
      </w:pPr>
    </w:p>
    <w:p w:rsidR="0075305A" w:rsidRPr="008053F9" w:rsidRDefault="00F706A9" w:rsidP="00F348FE">
      <w:pPr>
        <w:tabs>
          <w:tab w:val="right" w:pos="8364"/>
        </w:tabs>
        <w:ind w:left="120"/>
        <w:jc w:val="both"/>
        <w:rPr>
          <w:rFonts w:ascii="NewBaskerville" w:hAnsi="NewBaskerville"/>
        </w:rPr>
      </w:pPr>
      <w:r w:rsidRPr="008053F9">
        <w:rPr>
          <w:rFonts w:ascii="NewBaskerville" w:hAnsi="NewBaskerville"/>
        </w:rPr>
        <w:t>9</w:t>
      </w:r>
      <w:r w:rsidR="007B1941" w:rsidRPr="008053F9">
        <w:rPr>
          <w:rFonts w:ascii="NewBaskerville" w:hAnsi="NewBaskerville"/>
        </w:rPr>
        <w:t>.3</w:t>
      </w:r>
      <w:r w:rsidR="00F348FE" w:rsidRPr="008053F9">
        <w:rPr>
          <w:rFonts w:ascii="NewBaskerville" w:hAnsi="NewBaskerville"/>
        </w:rPr>
        <w:t xml:space="preserve"> </w:t>
      </w:r>
      <w:r w:rsidR="0075305A" w:rsidRPr="008053F9">
        <w:rPr>
          <w:rFonts w:ascii="NewBaskerville" w:hAnsi="NewBaskerville"/>
        </w:rPr>
        <w:t>Deudores / acreedores con empresas del grupo</w:t>
      </w:r>
    </w:p>
    <w:p w:rsidR="007661D9" w:rsidRPr="007661D9" w:rsidRDefault="007661D9" w:rsidP="0075305A">
      <w:pPr>
        <w:pStyle w:val="Sangra2detindependiente"/>
        <w:tabs>
          <w:tab w:val="right" w:pos="8364"/>
        </w:tabs>
        <w:ind w:firstLine="0"/>
        <w:rPr>
          <w:szCs w:val="24"/>
        </w:rPr>
      </w:pPr>
    </w:p>
    <w:tbl>
      <w:tblPr>
        <w:tblW w:w="6493" w:type="dxa"/>
        <w:tblInd w:w="70" w:type="dxa"/>
        <w:tblCellMar>
          <w:left w:w="70" w:type="dxa"/>
          <w:right w:w="70" w:type="dxa"/>
        </w:tblCellMar>
        <w:tblLook w:val="04A0" w:firstRow="1" w:lastRow="0" w:firstColumn="1" w:lastColumn="0" w:noHBand="0" w:noVBand="1"/>
      </w:tblPr>
      <w:tblGrid>
        <w:gridCol w:w="4093"/>
        <w:gridCol w:w="1200"/>
        <w:gridCol w:w="1200"/>
      </w:tblGrid>
      <w:tr w:rsidR="009845D8" w:rsidRPr="009845D8" w:rsidTr="009845D8">
        <w:trPr>
          <w:trHeight w:val="300"/>
        </w:trPr>
        <w:tc>
          <w:tcPr>
            <w:tcW w:w="4093" w:type="dxa"/>
            <w:tcBorders>
              <w:top w:val="nil"/>
              <w:left w:val="nil"/>
              <w:bottom w:val="nil"/>
              <w:right w:val="nil"/>
            </w:tcBorders>
            <w:shd w:val="clear" w:color="auto" w:fill="auto"/>
            <w:noWrap/>
            <w:vAlign w:val="bottom"/>
            <w:hideMark/>
          </w:tcPr>
          <w:p w:rsidR="009845D8" w:rsidRPr="009845D8" w:rsidRDefault="009845D8" w:rsidP="009845D8">
            <w:pPr>
              <w:rPr>
                <w:rFonts w:ascii="Calibri" w:hAnsi="Calibri" w:cs="Calibri"/>
                <w:color w:val="000000"/>
                <w:sz w:val="22"/>
                <w:szCs w:val="22"/>
                <w:lang w:val="es-ES"/>
              </w:rPr>
            </w:pPr>
          </w:p>
        </w:tc>
        <w:tc>
          <w:tcPr>
            <w:tcW w:w="12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9845D8" w:rsidRPr="009845D8" w:rsidRDefault="009845D8" w:rsidP="009845D8">
            <w:pPr>
              <w:jc w:val="center"/>
              <w:rPr>
                <w:rFonts w:ascii="Lucida Bright" w:hAnsi="Lucida Bright" w:cs="Calibri"/>
                <w:b/>
                <w:bCs/>
                <w:color w:val="000000"/>
                <w:sz w:val="14"/>
                <w:szCs w:val="14"/>
                <w:lang w:val="es-ES"/>
              </w:rPr>
            </w:pPr>
            <w:r w:rsidRPr="009845D8">
              <w:rPr>
                <w:rFonts w:ascii="Lucida Bright" w:hAnsi="Lucida Bright" w:cs="Calibri"/>
                <w:b/>
                <w:bCs/>
                <w:color w:val="000000"/>
                <w:sz w:val="14"/>
                <w:szCs w:val="14"/>
                <w:lang w:val="es-ES"/>
              </w:rPr>
              <w:t>2023</w:t>
            </w:r>
          </w:p>
        </w:tc>
        <w:tc>
          <w:tcPr>
            <w:tcW w:w="1200" w:type="dxa"/>
            <w:tcBorders>
              <w:top w:val="single" w:sz="4" w:space="0" w:color="auto"/>
              <w:left w:val="nil"/>
              <w:bottom w:val="single" w:sz="4" w:space="0" w:color="auto"/>
              <w:right w:val="single" w:sz="4" w:space="0" w:color="auto"/>
            </w:tcBorders>
            <w:shd w:val="clear" w:color="000000" w:fill="CCFFCC"/>
            <w:noWrap/>
            <w:vAlign w:val="center"/>
            <w:hideMark/>
          </w:tcPr>
          <w:p w:rsidR="009845D8" w:rsidRPr="009845D8" w:rsidRDefault="009845D8" w:rsidP="009845D8">
            <w:pPr>
              <w:jc w:val="center"/>
              <w:rPr>
                <w:rFonts w:ascii="Lucida Bright" w:hAnsi="Lucida Bright" w:cs="Calibri"/>
                <w:b/>
                <w:bCs/>
                <w:color w:val="000000"/>
                <w:sz w:val="14"/>
                <w:szCs w:val="14"/>
                <w:lang w:val="es-ES"/>
              </w:rPr>
            </w:pPr>
            <w:r w:rsidRPr="009845D8">
              <w:rPr>
                <w:rFonts w:ascii="Lucida Bright" w:hAnsi="Lucida Bright" w:cs="Calibri"/>
                <w:b/>
                <w:bCs/>
                <w:color w:val="000000"/>
                <w:sz w:val="14"/>
                <w:szCs w:val="14"/>
                <w:lang w:val="es-ES"/>
              </w:rPr>
              <w:t>2022</w:t>
            </w:r>
          </w:p>
        </w:tc>
      </w:tr>
      <w:tr w:rsidR="009845D8" w:rsidRPr="009845D8" w:rsidTr="009845D8">
        <w:trPr>
          <w:trHeight w:val="300"/>
        </w:trPr>
        <w:tc>
          <w:tcPr>
            <w:tcW w:w="409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9845D8" w:rsidRPr="009845D8" w:rsidRDefault="009845D8" w:rsidP="009845D8">
            <w:pPr>
              <w:rPr>
                <w:rFonts w:ascii="Lucida Bright" w:hAnsi="Lucida Bright" w:cs="Calibri"/>
                <w:b/>
                <w:bCs/>
                <w:sz w:val="14"/>
                <w:szCs w:val="14"/>
                <w:lang w:val="es-ES"/>
              </w:rPr>
            </w:pPr>
            <w:r w:rsidRPr="009845D8">
              <w:rPr>
                <w:rFonts w:ascii="Lucida Bright" w:hAnsi="Lucida Bright" w:cs="Calibri"/>
                <w:b/>
                <w:bCs/>
                <w:sz w:val="14"/>
                <w:szCs w:val="14"/>
                <w:lang w:val="es-ES"/>
              </w:rPr>
              <w:t xml:space="preserve">IV. Deudas con </w:t>
            </w:r>
            <w:proofErr w:type="spellStart"/>
            <w:r w:rsidRPr="009845D8">
              <w:rPr>
                <w:rFonts w:ascii="Lucida Bright" w:hAnsi="Lucida Bright" w:cs="Calibri"/>
                <w:b/>
                <w:bCs/>
                <w:sz w:val="14"/>
                <w:szCs w:val="14"/>
                <w:lang w:val="es-ES"/>
              </w:rPr>
              <w:t>empr</w:t>
            </w:r>
            <w:proofErr w:type="spellEnd"/>
            <w:r w:rsidRPr="009845D8">
              <w:rPr>
                <w:rFonts w:ascii="Lucida Bright" w:hAnsi="Lucida Bright" w:cs="Calibri"/>
                <w:b/>
                <w:bCs/>
                <w:sz w:val="14"/>
                <w:szCs w:val="14"/>
                <w:lang w:val="es-ES"/>
              </w:rPr>
              <w:t xml:space="preserve">. del grupo y asociadas a </w:t>
            </w:r>
            <w:proofErr w:type="spellStart"/>
            <w:r w:rsidRPr="009845D8">
              <w:rPr>
                <w:rFonts w:ascii="Lucida Bright" w:hAnsi="Lucida Bright" w:cs="Calibri"/>
                <w:b/>
                <w:bCs/>
                <w:sz w:val="14"/>
                <w:szCs w:val="14"/>
                <w:lang w:val="es-ES"/>
              </w:rPr>
              <w:t>c.p.</w:t>
            </w:r>
            <w:proofErr w:type="spellEnd"/>
          </w:p>
        </w:tc>
        <w:tc>
          <w:tcPr>
            <w:tcW w:w="1200" w:type="dxa"/>
            <w:tcBorders>
              <w:top w:val="nil"/>
              <w:left w:val="nil"/>
              <w:bottom w:val="single" w:sz="4" w:space="0" w:color="auto"/>
              <w:right w:val="single" w:sz="4" w:space="0" w:color="auto"/>
            </w:tcBorders>
            <w:shd w:val="clear" w:color="000000" w:fill="CCFFCC"/>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11.556,64 </w:t>
            </w:r>
          </w:p>
        </w:tc>
        <w:tc>
          <w:tcPr>
            <w:tcW w:w="1200" w:type="dxa"/>
            <w:tcBorders>
              <w:top w:val="nil"/>
              <w:left w:val="nil"/>
              <w:bottom w:val="single" w:sz="4" w:space="0" w:color="auto"/>
              <w:right w:val="single" w:sz="4" w:space="0" w:color="auto"/>
            </w:tcBorders>
            <w:shd w:val="clear" w:color="000000" w:fill="CCFFCC"/>
            <w:noWrap/>
            <w:vAlign w:val="bottom"/>
            <w:hideMark/>
          </w:tcPr>
          <w:p w:rsidR="009845D8" w:rsidRPr="009845D8" w:rsidRDefault="009845D8" w:rsidP="009845D8">
            <w:pPr>
              <w:jc w:val="right"/>
              <w:rPr>
                <w:rFonts w:ascii="Lucida Bright" w:hAnsi="Lucida Bright" w:cs="Calibri"/>
                <w:b/>
                <w:bCs/>
                <w:sz w:val="14"/>
                <w:szCs w:val="14"/>
                <w:lang w:val="es-ES"/>
              </w:rPr>
            </w:pPr>
            <w:r w:rsidRPr="009845D8">
              <w:rPr>
                <w:rFonts w:ascii="Lucida Bright" w:hAnsi="Lucida Bright" w:cs="Calibri"/>
                <w:b/>
                <w:bCs/>
                <w:sz w:val="14"/>
                <w:szCs w:val="14"/>
                <w:lang w:val="es-ES"/>
              </w:rPr>
              <w:t xml:space="preserve">173.205,21 </w:t>
            </w:r>
          </w:p>
        </w:tc>
      </w:tr>
      <w:tr w:rsidR="009845D8" w:rsidRPr="009845D8" w:rsidTr="009845D8">
        <w:trPr>
          <w:trHeight w:val="300"/>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 xml:space="preserve">OPPE, </w:t>
            </w:r>
            <w:proofErr w:type="gramStart"/>
            <w:r w:rsidRPr="009845D8">
              <w:rPr>
                <w:rFonts w:ascii="Lucida Bright" w:hAnsi="Lucida Bright" w:cs="Calibri"/>
                <w:sz w:val="14"/>
                <w:szCs w:val="14"/>
                <w:lang w:val="es-ES"/>
              </w:rPr>
              <w:t>acreedor principales</w:t>
            </w:r>
            <w:proofErr w:type="gramEnd"/>
            <w:r w:rsidRPr="009845D8">
              <w:rPr>
                <w:rFonts w:ascii="Lucida Bright" w:hAnsi="Lucida Bright" w:cs="Calibri"/>
                <w:sz w:val="14"/>
                <w:szCs w:val="14"/>
                <w:lang w:val="es-ES"/>
              </w:rPr>
              <w:t xml:space="preserve"> e inter. </w:t>
            </w:r>
            <w:proofErr w:type="spellStart"/>
            <w:proofErr w:type="gramStart"/>
            <w:r w:rsidRPr="009845D8">
              <w:rPr>
                <w:rFonts w:ascii="Lucida Bright" w:hAnsi="Lucida Bright" w:cs="Calibri"/>
                <w:sz w:val="14"/>
                <w:szCs w:val="14"/>
                <w:lang w:val="es-ES"/>
              </w:rPr>
              <w:t>litig</w:t>
            </w:r>
            <w:proofErr w:type="spellEnd"/>
            <w:proofErr w:type="gramEnd"/>
            <w:r w:rsidRPr="009845D8">
              <w:rPr>
                <w:rFonts w:ascii="Lucida Bright" w:hAnsi="Lucida Bright" w:cs="Calibri"/>
                <w:sz w:val="14"/>
                <w:szCs w:val="14"/>
                <w:lang w:val="es-ES"/>
              </w:rPr>
              <w:t xml:space="preserve">. </w:t>
            </w:r>
            <w:proofErr w:type="spellStart"/>
            <w:proofErr w:type="gramStart"/>
            <w:r w:rsidRPr="009845D8">
              <w:rPr>
                <w:rFonts w:ascii="Lucida Bright" w:hAnsi="Lucida Bright" w:cs="Calibri"/>
                <w:sz w:val="14"/>
                <w:szCs w:val="14"/>
                <w:lang w:val="es-ES"/>
              </w:rPr>
              <w:t>tarif</w:t>
            </w:r>
            <w:proofErr w:type="spellEnd"/>
            <w:proofErr w:type="gramEnd"/>
            <w:r w:rsidRPr="009845D8">
              <w:rPr>
                <w:rFonts w:ascii="Lucida Bright" w:hAnsi="Lucida Bright" w:cs="Calibri"/>
                <w:sz w:val="14"/>
                <w:szCs w:val="14"/>
                <w:lang w:val="es-ES"/>
              </w:rPr>
              <w:t xml:space="preserve">. (anticipos, </w:t>
            </w:r>
            <w:proofErr w:type="spellStart"/>
            <w:r w:rsidRPr="009845D8">
              <w:rPr>
                <w:rFonts w:ascii="Lucida Bright" w:hAnsi="Lucida Bright" w:cs="Calibri"/>
                <w:sz w:val="14"/>
                <w:szCs w:val="14"/>
                <w:lang w:val="es-ES"/>
              </w:rPr>
              <w:t>etc</w:t>
            </w:r>
            <w:proofErr w:type="spellEnd"/>
            <w:r w:rsidRPr="009845D8">
              <w:rPr>
                <w:rFonts w:ascii="Lucida Bright" w:hAnsi="Lucida Bright" w:cs="Calibri"/>
                <w:sz w:val="14"/>
                <w:szCs w:val="14"/>
                <w:lang w:val="es-ES"/>
              </w:rPr>
              <w:t>)</w:t>
            </w:r>
          </w:p>
        </w:tc>
        <w:tc>
          <w:tcPr>
            <w:tcW w:w="120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160.971,60 </w:t>
            </w:r>
          </w:p>
        </w:tc>
      </w:tr>
      <w:tr w:rsidR="009845D8" w:rsidRPr="009845D8" w:rsidTr="009845D8">
        <w:trPr>
          <w:trHeight w:val="300"/>
        </w:trPr>
        <w:tc>
          <w:tcPr>
            <w:tcW w:w="4093" w:type="dxa"/>
            <w:tcBorders>
              <w:top w:val="nil"/>
              <w:left w:val="single" w:sz="4" w:space="0" w:color="auto"/>
              <w:bottom w:val="single" w:sz="4" w:space="0" w:color="auto"/>
              <w:right w:val="single" w:sz="4" w:space="0" w:color="auto"/>
            </w:tcBorders>
            <w:shd w:val="clear" w:color="auto" w:fill="auto"/>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FFATP acreedor</w:t>
            </w:r>
          </w:p>
        </w:tc>
        <w:tc>
          <w:tcPr>
            <w:tcW w:w="120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11.556,64 </w:t>
            </w:r>
          </w:p>
        </w:tc>
        <w:tc>
          <w:tcPr>
            <w:tcW w:w="120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3.094,33 </w:t>
            </w:r>
          </w:p>
        </w:tc>
      </w:tr>
      <w:tr w:rsidR="009845D8" w:rsidRPr="009845D8" w:rsidTr="009845D8">
        <w:trPr>
          <w:trHeight w:val="300"/>
        </w:trPr>
        <w:tc>
          <w:tcPr>
            <w:tcW w:w="4093" w:type="dxa"/>
            <w:tcBorders>
              <w:top w:val="nil"/>
              <w:left w:val="single" w:sz="4" w:space="0" w:color="auto"/>
              <w:bottom w:val="single" w:sz="4" w:space="0" w:color="auto"/>
              <w:right w:val="single" w:sz="4" w:space="0" w:color="auto"/>
            </w:tcBorders>
            <w:shd w:val="clear" w:color="000000" w:fill="FFFFFF"/>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O P PUERTOS DEL ESTADO</w:t>
            </w:r>
          </w:p>
        </w:tc>
        <w:tc>
          <w:tcPr>
            <w:tcW w:w="120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rPr>
                <w:rFonts w:ascii="Lucida Bright" w:hAnsi="Lucida Bright" w:cs="Calibri"/>
                <w:sz w:val="14"/>
                <w:szCs w:val="14"/>
                <w:lang w:val="es-ES"/>
              </w:rPr>
            </w:pPr>
            <w:r w:rsidRPr="009845D8">
              <w:rPr>
                <w:rFonts w:ascii="Lucida Bright" w:hAnsi="Lucida Bright" w:cs="Calibri"/>
                <w:sz w:val="14"/>
                <w:szCs w:val="14"/>
                <w:lang w:val="es-ES"/>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9845D8" w:rsidRPr="009845D8" w:rsidRDefault="009845D8" w:rsidP="009845D8">
            <w:pPr>
              <w:jc w:val="right"/>
              <w:rPr>
                <w:rFonts w:ascii="Lucida Bright" w:hAnsi="Lucida Bright" w:cs="Calibri"/>
                <w:sz w:val="14"/>
                <w:szCs w:val="14"/>
                <w:lang w:val="es-ES"/>
              </w:rPr>
            </w:pPr>
            <w:r w:rsidRPr="009845D8">
              <w:rPr>
                <w:rFonts w:ascii="Lucida Bright" w:hAnsi="Lucida Bright" w:cs="Calibri"/>
                <w:sz w:val="14"/>
                <w:szCs w:val="14"/>
                <w:lang w:val="es-ES"/>
              </w:rPr>
              <w:t xml:space="preserve">9.139,28 </w:t>
            </w:r>
          </w:p>
        </w:tc>
      </w:tr>
    </w:tbl>
    <w:p w:rsidR="008053F9" w:rsidRDefault="008053F9" w:rsidP="00C82D5D">
      <w:pPr>
        <w:tabs>
          <w:tab w:val="right" w:pos="8364"/>
        </w:tabs>
        <w:ind w:left="142" w:firstLine="420"/>
        <w:jc w:val="both"/>
        <w:rPr>
          <w:sz w:val="24"/>
        </w:rPr>
      </w:pPr>
    </w:p>
    <w:p w:rsidR="005C5D72" w:rsidRDefault="005C5D72" w:rsidP="00C82D5D">
      <w:pPr>
        <w:tabs>
          <w:tab w:val="right" w:pos="8364"/>
        </w:tabs>
        <w:ind w:left="142" w:firstLine="420"/>
        <w:jc w:val="both"/>
        <w:rPr>
          <w:sz w:val="24"/>
        </w:rPr>
      </w:pPr>
    </w:p>
    <w:p w:rsidR="002C4355" w:rsidRPr="008053F9" w:rsidRDefault="00F706A9" w:rsidP="00F348FE">
      <w:pPr>
        <w:tabs>
          <w:tab w:val="right" w:pos="8364"/>
        </w:tabs>
        <w:ind w:left="120"/>
        <w:jc w:val="both"/>
        <w:rPr>
          <w:rFonts w:ascii="NewBaskerville" w:hAnsi="NewBaskerville"/>
          <w:bCs/>
        </w:rPr>
      </w:pPr>
      <w:r w:rsidRPr="008053F9">
        <w:rPr>
          <w:rFonts w:ascii="NewBaskerville" w:hAnsi="NewBaskerville"/>
        </w:rPr>
        <w:t>9</w:t>
      </w:r>
      <w:r w:rsidR="007B1941" w:rsidRPr="008053F9">
        <w:rPr>
          <w:rFonts w:ascii="NewBaskerville" w:hAnsi="NewBaskerville"/>
        </w:rPr>
        <w:t>.4</w:t>
      </w:r>
      <w:r w:rsidR="00F348FE" w:rsidRPr="008053F9">
        <w:rPr>
          <w:rFonts w:ascii="NewBaskerville" w:hAnsi="NewBaskerville"/>
        </w:rPr>
        <w:t xml:space="preserve"> </w:t>
      </w:r>
      <w:r w:rsidR="002C4355" w:rsidRPr="008053F9">
        <w:rPr>
          <w:rFonts w:ascii="NewBaskerville" w:hAnsi="NewBaskerville"/>
        </w:rPr>
        <w:t>Fondos propios</w:t>
      </w:r>
    </w:p>
    <w:p w:rsidR="002C4355" w:rsidRPr="008053F9" w:rsidRDefault="002C4355">
      <w:pPr>
        <w:pStyle w:val="Sangradetextonormal"/>
        <w:tabs>
          <w:tab w:val="clear" w:pos="8364"/>
          <w:tab w:val="left" w:pos="6369"/>
          <w:tab w:val="right" w:pos="8460"/>
        </w:tabs>
        <w:ind w:firstLine="0"/>
        <w:rPr>
          <w:rFonts w:ascii="NewBaskerville" w:hAnsi="NewBaskerville"/>
          <w:sz w:val="20"/>
        </w:rPr>
      </w:pPr>
    </w:p>
    <w:p w:rsidR="002C4355" w:rsidRDefault="002C4355">
      <w:pPr>
        <w:pStyle w:val="Sangradetextonormal"/>
        <w:tabs>
          <w:tab w:val="clear" w:pos="8364"/>
          <w:tab w:val="left" w:pos="6369"/>
          <w:tab w:val="right" w:pos="8460"/>
        </w:tabs>
        <w:rPr>
          <w:rFonts w:ascii="NewBaskerville" w:hAnsi="NewBaskerville"/>
          <w:sz w:val="20"/>
        </w:rPr>
      </w:pPr>
      <w:r w:rsidRPr="008053F9">
        <w:rPr>
          <w:rFonts w:ascii="NewBaskerville" w:hAnsi="NewBaskerville"/>
          <w:sz w:val="20"/>
        </w:rPr>
        <w:t>El importe registrado en el epígrafe de “Patrimonio” del balance de situación de esta Auto</w:t>
      </w:r>
      <w:r w:rsidR="005046B2" w:rsidRPr="008053F9">
        <w:rPr>
          <w:rFonts w:ascii="NewBaskerville" w:hAnsi="NewBaskerville"/>
          <w:sz w:val="20"/>
        </w:rPr>
        <w:t>r</w:t>
      </w:r>
      <w:r w:rsidR="006D5036" w:rsidRPr="008053F9">
        <w:rPr>
          <w:rFonts w:ascii="NewBaskerville" w:hAnsi="NewBaskerville"/>
          <w:sz w:val="20"/>
        </w:rPr>
        <w:t xml:space="preserve">idad Portuaria a </w:t>
      </w:r>
      <w:r w:rsidR="008053F9">
        <w:rPr>
          <w:rFonts w:ascii="NewBaskerville" w:hAnsi="NewBaskerville"/>
          <w:sz w:val="20"/>
        </w:rPr>
        <w:t>01/01/</w:t>
      </w:r>
      <w:r w:rsidR="006D5036" w:rsidRPr="008053F9">
        <w:rPr>
          <w:rFonts w:ascii="NewBaskerville" w:hAnsi="NewBaskerville"/>
          <w:sz w:val="20"/>
        </w:rPr>
        <w:t>202</w:t>
      </w:r>
      <w:r w:rsidR="00746AD3">
        <w:rPr>
          <w:rFonts w:ascii="NewBaskerville" w:hAnsi="NewBaskerville"/>
          <w:sz w:val="20"/>
        </w:rPr>
        <w:t>3</w:t>
      </w:r>
      <w:r w:rsidR="003976DD" w:rsidRPr="008053F9">
        <w:rPr>
          <w:rFonts w:ascii="NewBaskerville" w:hAnsi="NewBaskerville"/>
          <w:sz w:val="20"/>
        </w:rPr>
        <w:t xml:space="preserve"> </w:t>
      </w:r>
      <w:r w:rsidRPr="008053F9">
        <w:rPr>
          <w:rFonts w:ascii="NewBaskerville" w:hAnsi="NewBaskerville"/>
          <w:sz w:val="20"/>
        </w:rPr>
        <w:t xml:space="preserve">era de 212.383.193,39 euros. </w:t>
      </w:r>
      <w:r w:rsidR="003A63E2">
        <w:rPr>
          <w:rFonts w:ascii="NewBaskerville" w:hAnsi="NewBaskerville"/>
          <w:sz w:val="20"/>
        </w:rPr>
        <w:t>Este</w:t>
      </w:r>
      <w:r w:rsidRPr="008053F9">
        <w:rPr>
          <w:rFonts w:ascii="NewBaskerville" w:hAnsi="NewBaskerville"/>
          <w:sz w:val="20"/>
        </w:rPr>
        <w:t xml:space="preserve"> importe del patrimonio</w:t>
      </w:r>
      <w:r w:rsidR="003A63E2">
        <w:rPr>
          <w:rFonts w:ascii="NewBaskerville" w:hAnsi="NewBaskerville"/>
          <w:sz w:val="20"/>
        </w:rPr>
        <w:t>, a inicio del ejercicio,</w:t>
      </w:r>
      <w:r w:rsidRPr="008053F9">
        <w:rPr>
          <w:rFonts w:ascii="NewBaskerville" w:hAnsi="NewBaskerville"/>
          <w:sz w:val="20"/>
        </w:rPr>
        <w:t xml:space="preserve"> es la suma del valor de los bienes de activo fijo aportados a 1 de enero de 1993 y de la diferencia entre los restantes activos y pasivos también aportados en la citada fecha.</w:t>
      </w:r>
    </w:p>
    <w:p w:rsidR="00746AD3" w:rsidRDefault="00746AD3">
      <w:pPr>
        <w:pStyle w:val="Sangradetextonormal"/>
        <w:tabs>
          <w:tab w:val="clear" w:pos="8364"/>
          <w:tab w:val="left" w:pos="6369"/>
          <w:tab w:val="right" w:pos="8460"/>
        </w:tabs>
        <w:rPr>
          <w:rFonts w:ascii="NewBaskerville" w:hAnsi="NewBaskerville"/>
          <w:sz w:val="20"/>
        </w:rPr>
      </w:pPr>
    </w:p>
    <w:p w:rsidR="00C761AE" w:rsidRDefault="003A63E2">
      <w:pPr>
        <w:pStyle w:val="Sangradetextonormal"/>
        <w:tabs>
          <w:tab w:val="clear" w:pos="8364"/>
          <w:tab w:val="left" w:pos="6369"/>
          <w:tab w:val="right" w:pos="8460"/>
        </w:tabs>
        <w:rPr>
          <w:rFonts w:ascii="NewBaskerville" w:hAnsi="NewBaskerville"/>
          <w:sz w:val="20"/>
        </w:rPr>
      </w:pPr>
      <w:r>
        <w:rPr>
          <w:rFonts w:ascii="NewBaskerville" w:hAnsi="NewBaskerville"/>
          <w:sz w:val="20"/>
        </w:rPr>
        <w:t xml:space="preserve">Durante el ejercicio 2023, mediante mutación </w:t>
      </w:r>
      <w:proofErr w:type="spellStart"/>
      <w:r>
        <w:rPr>
          <w:rFonts w:ascii="NewBaskerville" w:hAnsi="NewBaskerville"/>
          <w:sz w:val="20"/>
        </w:rPr>
        <w:t>demanial</w:t>
      </w:r>
      <w:proofErr w:type="spellEnd"/>
      <w:r>
        <w:rPr>
          <w:rFonts w:ascii="NewBaskerville" w:hAnsi="NewBaskerville"/>
          <w:sz w:val="20"/>
        </w:rPr>
        <w:t xml:space="preserve">, se han afectado los terrenos correspondientes al Convenio entre la APB y el Ayuntamiento de </w:t>
      </w:r>
      <w:proofErr w:type="spellStart"/>
      <w:r>
        <w:rPr>
          <w:rFonts w:ascii="NewBaskerville" w:hAnsi="NewBaskerville"/>
          <w:sz w:val="20"/>
        </w:rPr>
        <w:t>Maó</w:t>
      </w:r>
      <w:proofErr w:type="spellEnd"/>
      <w:r>
        <w:rPr>
          <w:rFonts w:ascii="NewBaskerville" w:hAnsi="NewBaskerville"/>
          <w:sz w:val="20"/>
        </w:rPr>
        <w:t xml:space="preserve"> para la ejecución del proyecto de mejora de accesos en la Costa de </w:t>
      </w:r>
      <w:proofErr w:type="spellStart"/>
      <w:r>
        <w:rPr>
          <w:rFonts w:ascii="NewBaskerville" w:hAnsi="NewBaskerville"/>
          <w:sz w:val="20"/>
        </w:rPr>
        <w:t>Ses</w:t>
      </w:r>
      <w:proofErr w:type="spellEnd"/>
      <w:r>
        <w:rPr>
          <w:rFonts w:ascii="NewBaskerville" w:hAnsi="NewBaskerville"/>
          <w:sz w:val="20"/>
        </w:rPr>
        <w:t xml:space="preserve"> </w:t>
      </w:r>
      <w:proofErr w:type="spellStart"/>
      <w:r>
        <w:rPr>
          <w:rFonts w:ascii="NewBaskerville" w:hAnsi="NewBaskerville"/>
          <w:sz w:val="20"/>
        </w:rPr>
        <w:t>Voltes</w:t>
      </w:r>
      <w:proofErr w:type="spellEnd"/>
      <w:r>
        <w:rPr>
          <w:rFonts w:ascii="NewBaskerville" w:hAnsi="NewBaskerville"/>
          <w:sz w:val="20"/>
        </w:rPr>
        <w:t xml:space="preserve"> (</w:t>
      </w:r>
      <w:proofErr w:type="spellStart"/>
      <w:r>
        <w:rPr>
          <w:rFonts w:ascii="NewBaskerville" w:hAnsi="NewBaskerville"/>
          <w:sz w:val="20"/>
        </w:rPr>
        <w:t>Maó</w:t>
      </w:r>
      <w:proofErr w:type="spellEnd"/>
      <w:r>
        <w:rPr>
          <w:rFonts w:ascii="NewBaskerville" w:hAnsi="NewBaskerville"/>
          <w:sz w:val="20"/>
        </w:rPr>
        <w:t xml:space="preserve"> – Mahón). Dicha afectación ha incrementado el “Patrimonio” en la cantidad de 14.401,08 euros</w:t>
      </w:r>
      <w:r w:rsidR="00C761AE">
        <w:rPr>
          <w:rFonts w:ascii="NewBaskerville" w:hAnsi="NewBaskerville"/>
          <w:sz w:val="20"/>
        </w:rPr>
        <w:t>,</w:t>
      </w:r>
      <w:r>
        <w:rPr>
          <w:rFonts w:ascii="NewBaskerville" w:hAnsi="NewBaskerville"/>
          <w:sz w:val="20"/>
        </w:rPr>
        <w:t xml:space="preserve"> correspondiéndose con el </w:t>
      </w:r>
      <w:r w:rsidR="00C761AE">
        <w:rPr>
          <w:rFonts w:ascii="NewBaskerville" w:hAnsi="NewBaskerville"/>
          <w:sz w:val="20"/>
        </w:rPr>
        <w:t>valor razonable reconocido de tales terrenos.</w:t>
      </w:r>
    </w:p>
    <w:p w:rsidR="00C761AE" w:rsidRDefault="00C761AE">
      <w:pPr>
        <w:pStyle w:val="Sangradetextonormal"/>
        <w:tabs>
          <w:tab w:val="clear" w:pos="8364"/>
          <w:tab w:val="left" w:pos="6369"/>
          <w:tab w:val="right" w:pos="8460"/>
        </w:tabs>
        <w:rPr>
          <w:rFonts w:ascii="NewBaskerville" w:hAnsi="NewBaskerville"/>
          <w:sz w:val="20"/>
        </w:rPr>
      </w:pPr>
    </w:p>
    <w:p w:rsidR="003A63E2" w:rsidRDefault="00C761AE">
      <w:pPr>
        <w:pStyle w:val="Sangradetextonormal"/>
        <w:tabs>
          <w:tab w:val="clear" w:pos="8364"/>
          <w:tab w:val="left" w:pos="6369"/>
          <w:tab w:val="right" w:pos="8460"/>
        </w:tabs>
        <w:rPr>
          <w:rFonts w:ascii="NewBaskerville" w:hAnsi="NewBaskerville"/>
          <w:sz w:val="20"/>
        </w:rPr>
      </w:pPr>
      <w:r>
        <w:rPr>
          <w:rFonts w:ascii="NewBaskerville" w:hAnsi="NewBaskerville"/>
          <w:sz w:val="20"/>
        </w:rPr>
        <w:t>El importe registrado en el epígrafe de “Patrimonio” del balance de situación a 31/12/2023 es de 212.397.594,47 euros.</w:t>
      </w:r>
      <w:r w:rsidR="003A63E2">
        <w:rPr>
          <w:rFonts w:ascii="NewBaskerville" w:hAnsi="NewBaskerville"/>
          <w:sz w:val="20"/>
        </w:rPr>
        <w:t xml:space="preserve"> </w:t>
      </w:r>
    </w:p>
    <w:p w:rsidR="000C0E35" w:rsidRPr="008053F9" w:rsidRDefault="000C0E35">
      <w:pPr>
        <w:pStyle w:val="Sangradetextonormal"/>
        <w:tabs>
          <w:tab w:val="clear" w:pos="8364"/>
          <w:tab w:val="left" w:pos="6369"/>
          <w:tab w:val="right" w:pos="8460"/>
        </w:tabs>
        <w:rPr>
          <w:rFonts w:ascii="NewBaskerville" w:hAnsi="NewBaskerville"/>
          <w:sz w:val="20"/>
        </w:rPr>
      </w:pPr>
    </w:p>
    <w:p w:rsidR="002C4355" w:rsidRPr="00192C0A" w:rsidRDefault="002C4355">
      <w:pPr>
        <w:tabs>
          <w:tab w:val="right" w:pos="8364"/>
        </w:tabs>
        <w:ind w:firstLine="567"/>
        <w:jc w:val="both"/>
        <w:rPr>
          <w:rFonts w:ascii="NewBaskerville" w:hAnsi="NewBaskerville"/>
        </w:rPr>
      </w:pPr>
    </w:p>
    <w:p w:rsidR="002C4355" w:rsidRPr="00192C0A" w:rsidRDefault="00F706A9" w:rsidP="00F348FE">
      <w:pPr>
        <w:tabs>
          <w:tab w:val="right" w:pos="8364"/>
        </w:tabs>
        <w:ind w:left="120"/>
        <w:jc w:val="both"/>
        <w:rPr>
          <w:rFonts w:ascii="NewBaskerville" w:hAnsi="NewBaskerville"/>
        </w:rPr>
      </w:pPr>
      <w:r w:rsidRPr="00192C0A">
        <w:rPr>
          <w:rFonts w:ascii="NewBaskerville" w:hAnsi="NewBaskerville"/>
        </w:rPr>
        <w:t>9</w:t>
      </w:r>
      <w:r w:rsidR="007B1941" w:rsidRPr="00192C0A">
        <w:rPr>
          <w:rFonts w:ascii="NewBaskerville" w:hAnsi="NewBaskerville"/>
        </w:rPr>
        <w:t>.5</w:t>
      </w:r>
      <w:r w:rsidR="002C4355" w:rsidRPr="00192C0A">
        <w:rPr>
          <w:rFonts w:ascii="NewBaskerville" w:hAnsi="NewBaskerville"/>
        </w:rPr>
        <w:t xml:space="preserve"> Política y Gestión de Riesgos</w:t>
      </w:r>
    </w:p>
    <w:p w:rsidR="002C4355" w:rsidRPr="00192C0A" w:rsidRDefault="002C4355">
      <w:pPr>
        <w:tabs>
          <w:tab w:val="right" w:pos="8364"/>
        </w:tabs>
        <w:ind w:left="480"/>
        <w:jc w:val="both"/>
        <w:rPr>
          <w:rFonts w:ascii="NewBaskerville" w:hAnsi="NewBaskerville"/>
          <w:bCs/>
        </w:rPr>
      </w:pPr>
    </w:p>
    <w:p w:rsidR="004C1F29" w:rsidRPr="00192C0A" w:rsidRDefault="002C4355" w:rsidP="004C1F29">
      <w:pPr>
        <w:tabs>
          <w:tab w:val="right" w:pos="8364"/>
        </w:tabs>
        <w:ind w:firstLine="567"/>
        <w:jc w:val="both"/>
        <w:rPr>
          <w:rFonts w:ascii="NewBaskerville" w:hAnsi="NewBaskerville"/>
        </w:rPr>
      </w:pPr>
      <w:r w:rsidRPr="00192C0A">
        <w:rPr>
          <w:rFonts w:ascii="NewBaskerville" w:hAnsi="NewBaskerville"/>
          <w:b/>
        </w:rPr>
        <w:t>Riesgo de crédito</w:t>
      </w:r>
      <w:r w:rsidR="005F2715" w:rsidRPr="00192C0A">
        <w:rPr>
          <w:rFonts w:ascii="NewBaskerville" w:hAnsi="NewBaskerville"/>
        </w:rPr>
        <w:t>: se produce por la posible pérdida causada por el incumplimiento de las obligaciones contractuales de las contrapartes de la Entidad, es decir, por la posibilidad de no recuperar los activos financieros por el importe contabilizado y en el plazo establecido</w:t>
      </w:r>
      <w:r w:rsidR="004C1F29" w:rsidRPr="00192C0A">
        <w:rPr>
          <w:rFonts w:ascii="NewBaskerville" w:hAnsi="NewBaskerville"/>
        </w:rPr>
        <w:t>. La Entidad no tiene concentraciones significativas de riesgo de crédito.</w:t>
      </w:r>
    </w:p>
    <w:p w:rsidR="002C4355" w:rsidRPr="00192C0A" w:rsidRDefault="002C4355" w:rsidP="004C1F29">
      <w:pPr>
        <w:tabs>
          <w:tab w:val="right" w:pos="8364"/>
        </w:tabs>
        <w:jc w:val="both"/>
        <w:rPr>
          <w:rFonts w:ascii="NewBaskerville" w:hAnsi="NewBaskerville"/>
        </w:rPr>
      </w:pPr>
    </w:p>
    <w:p w:rsidR="002C4355" w:rsidRPr="00192C0A" w:rsidRDefault="002C4355" w:rsidP="004C1F29">
      <w:pPr>
        <w:tabs>
          <w:tab w:val="right" w:pos="8364"/>
        </w:tabs>
        <w:ind w:firstLine="567"/>
        <w:jc w:val="both"/>
        <w:rPr>
          <w:rFonts w:ascii="NewBaskerville" w:hAnsi="NewBaskerville"/>
        </w:rPr>
      </w:pPr>
      <w:r w:rsidRPr="00192C0A">
        <w:rPr>
          <w:rFonts w:ascii="NewBaskerville" w:hAnsi="NewBaskerville"/>
          <w:b/>
        </w:rPr>
        <w:t>Riesgo de liquidez</w:t>
      </w:r>
      <w:r w:rsidR="004C1F29" w:rsidRPr="00192C0A">
        <w:rPr>
          <w:rFonts w:ascii="NewBaskerville" w:hAnsi="NewBaskerville"/>
        </w:rPr>
        <w:t xml:space="preserve">: se produce por la posibilidad de que la Entidad no pueda disponer de fondos líquidos, o acceder a ellos, en la cuantía suficiente y al coste adecuado, para hacer frente en todo momento a sus obligaciones de pago. El objetivo de la Entidad es </w:t>
      </w:r>
      <w:r w:rsidR="0052640F" w:rsidRPr="00192C0A">
        <w:rPr>
          <w:rFonts w:ascii="NewBaskerville" w:hAnsi="NewBaskerville"/>
        </w:rPr>
        <w:t>mantener las disponibilidades lí</w:t>
      </w:r>
      <w:r w:rsidR="004C1F29" w:rsidRPr="00192C0A">
        <w:rPr>
          <w:rFonts w:ascii="NewBaskerville" w:hAnsi="NewBaskerville"/>
        </w:rPr>
        <w:t>quidas necesarias.</w:t>
      </w:r>
    </w:p>
    <w:p w:rsidR="002C4355" w:rsidRDefault="002C4355">
      <w:pPr>
        <w:tabs>
          <w:tab w:val="right" w:pos="8364"/>
        </w:tabs>
        <w:jc w:val="both"/>
        <w:rPr>
          <w:b/>
          <w:u w:val="single"/>
        </w:rPr>
      </w:pPr>
    </w:p>
    <w:p w:rsidR="00C82D5D" w:rsidRDefault="00C82D5D">
      <w:pPr>
        <w:tabs>
          <w:tab w:val="right" w:pos="8364"/>
        </w:tabs>
        <w:jc w:val="both"/>
        <w:rPr>
          <w:b/>
          <w:u w:val="single"/>
        </w:rPr>
      </w:pPr>
    </w:p>
    <w:p w:rsidR="00187A36" w:rsidRDefault="00187A36">
      <w:pPr>
        <w:tabs>
          <w:tab w:val="right" w:pos="8364"/>
        </w:tabs>
        <w:jc w:val="both"/>
        <w:rPr>
          <w:b/>
          <w:u w:val="single"/>
        </w:rPr>
      </w:pPr>
    </w:p>
    <w:p w:rsidR="002C4355" w:rsidRPr="00192C0A" w:rsidRDefault="00F706A9" w:rsidP="001307F8">
      <w:pPr>
        <w:tabs>
          <w:tab w:val="right" w:pos="8364"/>
        </w:tabs>
        <w:jc w:val="both"/>
        <w:rPr>
          <w:rFonts w:ascii="NewBaskerville" w:hAnsi="NewBaskerville"/>
          <w:b/>
          <w:bCs/>
        </w:rPr>
      </w:pPr>
      <w:r w:rsidRPr="00192C0A">
        <w:rPr>
          <w:rFonts w:ascii="NewBaskerville" w:hAnsi="NewBaskerville"/>
          <w:b/>
          <w:bCs/>
          <w:sz w:val="24"/>
          <w:szCs w:val="24"/>
        </w:rPr>
        <w:t>10</w:t>
      </w:r>
      <w:r w:rsidR="001307F8" w:rsidRPr="00192C0A">
        <w:rPr>
          <w:rFonts w:ascii="NewBaskerville" w:hAnsi="NewBaskerville"/>
          <w:b/>
          <w:bCs/>
          <w:sz w:val="24"/>
          <w:szCs w:val="24"/>
        </w:rPr>
        <w:t xml:space="preserve">. </w:t>
      </w:r>
      <w:r w:rsidR="002C4355" w:rsidRPr="00192C0A">
        <w:rPr>
          <w:rFonts w:ascii="NewBaskerville" w:hAnsi="NewBaskerville"/>
          <w:b/>
          <w:bCs/>
          <w:sz w:val="24"/>
          <w:szCs w:val="24"/>
        </w:rPr>
        <w:t>Provisión  y contingencias</w:t>
      </w:r>
      <w:bookmarkStart w:id="0" w:name="_Hlk4433322"/>
    </w:p>
    <w:p w:rsidR="002C4355" w:rsidRDefault="002C4355">
      <w:pPr>
        <w:tabs>
          <w:tab w:val="right" w:pos="8364"/>
        </w:tabs>
        <w:jc w:val="both"/>
      </w:pPr>
    </w:p>
    <w:p w:rsidR="00A73B7B" w:rsidRDefault="00A73B7B" w:rsidP="00A1261C">
      <w:pPr>
        <w:tabs>
          <w:tab w:val="right" w:pos="8364"/>
        </w:tabs>
        <w:ind w:firstLine="567"/>
        <w:jc w:val="both"/>
        <w:rPr>
          <w:rFonts w:ascii="NewBaskerville" w:hAnsi="NewBaskerville"/>
        </w:rPr>
      </w:pPr>
      <w:r>
        <w:rPr>
          <w:rFonts w:ascii="NewBaskerville" w:hAnsi="NewBaskerville"/>
        </w:rPr>
        <w:t xml:space="preserve">El  movimiento durante los </w:t>
      </w:r>
      <w:r w:rsidR="003F24D6">
        <w:rPr>
          <w:rFonts w:ascii="NewBaskerville" w:hAnsi="NewBaskerville"/>
        </w:rPr>
        <w:t>ejercicios</w:t>
      </w:r>
      <w:r>
        <w:rPr>
          <w:rFonts w:ascii="NewBaskerville" w:hAnsi="NewBaskerville"/>
        </w:rPr>
        <w:t xml:space="preserve"> 202</w:t>
      </w:r>
      <w:r w:rsidR="00C761AE">
        <w:rPr>
          <w:rFonts w:ascii="NewBaskerville" w:hAnsi="NewBaskerville"/>
        </w:rPr>
        <w:t>3</w:t>
      </w:r>
      <w:r>
        <w:rPr>
          <w:rFonts w:ascii="NewBaskerville" w:hAnsi="NewBaskerville"/>
        </w:rPr>
        <w:t xml:space="preserve"> y 202</w:t>
      </w:r>
      <w:r w:rsidR="00C761AE">
        <w:rPr>
          <w:rFonts w:ascii="NewBaskerville" w:hAnsi="NewBaskerville"/>
        </w:rPr>
        <w:t>2</w:t>
      </w:r>
      <w:r>
        <w:rPr>
          <w:rFonts w:ascii="NewBaskerville" w:hAnsi="NewBaskerville"/>
        </w:rPr>
        <w:t xml:space="preserve"> es el siguiente:</w:t>
      </w:r>
    </w:p>
    <w:p w:rsidR="00E07B62" w:rsidRPr="00A73B7B" w:rsidRDefault="00E07B62" w:rsidP="00A1261C">
      <w:pPr>
        <w:tabs>
          <w:tab w:val="right" w:pos="8364"/>
        </w:tabs>
        <w:ind w:firstLine="567"/>
        <w:jc w:val="both"/>
        <w:rPr>
          <w:rFonts w:ascii="NewBaskerville" w:hAnsi="NewBaskerville"/>
        </w:rPr>
      </w:pPr>
    </w:p>
    <w:p w:rsidR="00A73B7B" w:rsidRDefault="00A73B7B">
      <w:pPr>
        <w:tabs>
          <w:tab w:val="right" w:pos="8364"/>
        </w:tabs>
        <w:jc w:val="both"/>
      </w:pPr>
    </w:p>
    <w:p w:rsidR="002C4355" w:rsidRPr="00266597" w:rsidRDefault="002C4355" w:rsidP="005D0B44">
      <w:pPr>
        <w:numPr>
          <w:ilvl w:val="0"/>
          <w:numId w:val="2"/>
        </w:numPr>
        <w:tabs>
          <w:tab w:val="right" w:pos="8364"/>
        </w:tabs>
        <w:ind w:hanging="219"/>
        <w:jc w:val="both"/>
        <w:rPr>
          <w:rFonts w:ascii="NewBaskerville" w:hAnsi="NewBaskerville"/>
          <w:u w:val="single"/>
        </w:rPr>
      </w:pPr>
      <w:r w:rsidRPr="00266597">
        <w:rPr>
          <w:rFonts w:ascii="NewBaskerville" w:hAnsi="NewBaskerville"/>
          <w:u w:val="single"/>
        </w:rPr>
        <w:t>Provisión por impuestos</w:t>
      </w:r>
    </w:p>
    <w:bookmarkEnd w:id="0"/>
    <w:p w:rsidR="002C4355" w:rsidRPr="00BE7AB1" w:rsidRDefault="002C4355">
      <w:pPr>
        <w:tabs>
          <w:tab w:val="right" w:pos="8364"/>
        </w:tabs>
        <w:jc w:val="both"/>
      </w:pPr>
    </w:p>
    <w:tbl>
      <w:tblPr>
        <w:tblW w:w="5712" w:type="dxa"/>
        <w:tblInd w:w="664" w:type="dxa"/>
        <w:tblCellMar>
          <w:left w:w="70" w:type="dxa"/>
          <w:right w:w="70" w:type="dxa"/>
        </w:tblCellMar>
        <w:tblLook w:val="04A0" w:firstRow="1" w:lastRow="0" w:firstColumn="1" w:lastColumn="0" w:noHBand="0" w:noVBand="1"/>
      </w:tblPr>
      <w:tblGrid>
        <w:gridCol w:w="3990"/>
        <w:gridCol w:w="146"/>
        <w:gridCol w:w="1576"/>
      </w:tblGrid>
      <w:tr w:rsidR="00044B64" w:rsidRPr="00044B64" w:rsidTr="00044B64">
        <w:trPr>
          <w:trHeight w:val="300"/>
        </w:trPr>
        <w:tc>
          <w:tcPr>
            <w:tcW w:w="4136" w:type="dxa"/>
            <w:gridSpan w:val="2"/>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b/>
                <w:bCs/>
                <w:color w:val="000000"/>
                <w:sz w:val="18"/>
                <w:szCs w:val="18"/>
                <w:lang w:val="es-ES"/>
              </w:rPr>
            </w:pPr>
            <w:r w:rsidRPr="00044B64">
              <w:rPr>
                <w:rFonts w:ascii="Lucida Bright" w:hAnsi="Lucida Bright" w:cs="Calibri"/>
                <w:b/>
                <w:bCs/>
                <w:color w:val="000000"/>
                <w:sz w:val="18"/>
                <w:szCs w:val="18"/>
                <w:lang w:val="es-ES"/>
              </w:rPr>
              <w:t>Saldo a 31/12/2022</w:t>
            </w: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b/>
                <w:bCs/>
                <w:color w:val="000000"/>
                <w:sz w:val="18"/>
                <w:szCs w:val="18"/>
                <w:lang w:val="es-ES"/>
              </w:rPr>
            </w:pPr>
            <w:r w:rsidRPr="00044B64">
              <w:rPr>
                <w:rFonts w:ascii="Lucida Bright" w:hAnsi="Lucida Bright" w:cs="Calibri"/>
                <w:b/>
                <w:bCs/>
                <w:color w:val="000000"/>
                <w:sz w:val="18"/>
                <w:szCs w:val="18"/>
                <w:lang w:val="es-ES"/>
              </w:rPr>
              <w:t xml:space="preserve">-  </w:t>
            </w:r>
          </w:p>
        </w:tc>
      </w:tr>
      <w:tr w:rsidR="00044B64" w:rsidRPr="00044B64" w:rsidTr="00044B64">
        <w:trPr>
          <w:trHeight w:val="300"/>
        </w:trPr>
        <w:tc>
          <w:tcPr>
            <w:tcW w:w="4136" w:type="dxa"/>
            <w:gridSpan w:val="2"/>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Dotación del ejercicio</w:t>
            </w: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xml:space="preserve">-  </w:t>
            </w:r>
          </w:p>
        </w:tc>
      </w:tr>
      <w:tr w:rsidR="00044B64" w:rsidRPr="00044B64" w:rsidTr="00044B64">
        <w:trPr>
          <w:trHeight w:val="300"/>
        </w:trPr>
        <w:tc>
          <w:tcPr>
            <w:tcW w:w="4136" w:type="dxa"/>
            <w:gridSpan w:val="2"/>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Aplicaciones</w:t>
            </w: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xml:space="preserve">-  </w:t>
            </w:r>
          </w:p>
        </w:tc>
      </w:tr>
      <w:tr w:rsidR="00044B64" w:rsidRPr="00044B64" w:rsidTr="00044B64">
        <w:trPr>
          <w:trHeight w:val="300"/>
        </w:trPr>
        <w:tc>
          <w:tcPr>
            <w:tcW w:w="3990" w:type="dxa"/>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Excesos</w:t>
            </w:r>
          </w:p>
        </w:tc>
        <w:tc>
          <w:tcPr>
            <w:tcW w:w="146" w:type="dxa"/>
            <w:tcBorders>
              <w:top w:val="nil"/>
              <w:left w:val="nil"/>
              <w:bottom w:val="nil"/>
              <w:right w:val="nil"/>
            </w:tcBorders>
            <w:shd w:val="clear" w:color="auto" w:fill="auto"/>
            <w:noWrap/>
            <w:vAlign w:val="bottom"/>
            <w:hideMark/>
          </w:tcPr>
          <w:p w:rsidR="00044B64" w:rsidRPr="00044B64" w:rsidRDefault="00044B64" w:rsidP="00044B64">
            <w:pPr>
              <w:rPr>
                <w:rFonts w:ascii="Calibri" w:hAnsi="Calibri" w:cs="Calibri"/>
                <w:color w:val="000000"/>
                <w:sz w:val="22"/>
                <w:szCs w:val="22"/>
                <w:lang w:val="es-ES"/>
              </w:rPr>
            </w:pP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xml:space="preserve">-  </w:t>
            </w:r>
          </w:p>
        </w:tc>
      </w:tr>
      <w:tr w:rsidR="00044B64" w:rsidRPr="00044B64" w:rsidTr="00044B64">
        <w:trPr>
          <w:trHeight w:val="300"/>
        </w:trPr>
        <w:tc>
          <w:tcPr>
            <w:tcW w:w="4136" w:type="dxa"/>
            <w:gridSpan w:val="2"/>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b/>
                <w:bCs/>
                <w:color w:val="000000"/>
                <w:sz w:val="18"/>
                <w:szCs w:val="18"/>
                <w:lang w:val="es-ES"/>
              </w:rPr>
            </w:pPr>
            <w:r w:rsidRPr="00044B64">
              <w:rPr>
                <w:rFonts w:ascii="Lucida Bright" w:hAnsi="Lucida Bright" w:cs="Calibri"/>
                <w:b/>
                <w:bCs/>
                <w:color w:val="000000"/>
                <w:sz w:val="18"/>
                <w:szCs w:val="18"/>
                <w:lang w:val="es-ES"/>
              </w:rPr>
              <w:t>Saldo a 31/12/2023</w:t>
            </w: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b/>
                <w:bCs/>
                <w:color w:val="000000"/>
                <w:sz w:val="18"/>
                <w:szCs w:val="18"/>
                <w:lang w:val="es-ES"/>
              </w:rPr>
            </w:pPr>
            <w:r w:rsidRPr="00044B64">
              <w:rPr>
                <w:rFonts w:ascii="Lucida Bright" w:hAnsi="Lucida Bright" w:cs="Calibri"/>
                <w:b/>
                <w:bCs/>
                <w:color w:val="000000"/>
                <w:sz w:val="18"/>
                <w:szCs w:val="18"/>
                <w:lang w:val="es-ES"/>
              </w:rPr>
              <w:t xml:space="preserve">-  </w:t>
            </w:r>
          </w:p>
        </w:tc>
      </w:tr>
      <w:tr w:rsidR="00044B64" w:rsidRPr="00044B64" w:rsidTr="00044B64">
        <w:trPr>
          <w:trHeight w:val="300"/>
        </w:trPr>
        <w:tc>
          <w:tcPr>
            <w:tcW w:w="3990" w:type="dxa"/>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color w:val="000000"/>
                <w:sz w:val="18"/>
                <w:szCs w:val="18"/>
                <w:lang w:val="es-ES"/>
              </w:rPr>
            </w:pPr>
          </w:p>
        </w:tc>
        <w:tc>
          <w:tcPr>
            <w:tcW w:w="146" w:type="dxa"/>
            <w:tcBorders>
              <w:top w:val="nil"/>
              <w:left w:val="nil"/>
              <w:bottom w:val="nil"/>
              <w:right w:val="nil"/>
            </w:tcBorders>
            <w:shd w:val="clear" w:color="auto" w:fill="auto"/>
            <w:noWrap/>
            <w:vAlign w:val="bottom"/>
            <w:hideMark/>
          </w:tcPr>
          <w:p w:rsidR="00044B64" w:rsidRPr="00044B64" w:rsidRDefault="00044B64" w:rsidP="00044B64">
            <w:pPr>
              <w:rPr>
                <w:rFonts w:ascii="Calibri" w:hAnsi="Calibri" w:cs="Calibri"/>
                <w:color w:val="000000"/>
                <w:sz w:val="22"/>
                <w:szCs w:val="22"/>
                <w:lang w:val="es-ES"/>
              </w:rPr>
            </w:pPr>
          </w:p>
        </w:tc>
        <w:tc>
          <w:tcPr>
            <w:tcW w:w="1576" w:type="dxa"/>
            <w:tcBorders>
              <w:top w:val="nil"/>
              <w:left w:val="nil"/>
              <w:bottom w:val="nil"/>
              <w:right w:val="nil"/>
            </w:tcBorders>
            <w:shd w:val="clear" w:color="auto" w:fill="auto"/>
            <w:noWrap/>
            <w:vAlign w:val="bottom"/>
            <w:hideMark/>
          </w:tcPr>
          <w:p w:rsidR="00044B64" w:rsidRPr="00044B64" w:rsidRDefault="00044B64" w:rsidP="00044B64">
            <w:pPr>
              <w:rPr>
                <w:rFonts w:ascii="Calibri" w:hAnsi="Calibri" w:cs="Calibri"/>
                <w:color w:val="000000"/>
                <w:sz w:val="22"/>
                <w:szCs w:val="22"/>
                <w:lang w:val="es-ES"/>
              </w:rPr>
            </w:pPr>
          </w:p>
        </w:tc>
      </w:tr>
      <w:tr w:rsidR="00044B64" w:rsidRPr="00044B64" w:rsidTr="00044B64">
        <w:trPr>
          <w:trHeight w:val="300"/>
        </w:trPr>
        <w:tc>
          <w:tcPr>
            <w:tcW w:w="4136" w:type="dxa"/>
            <w:gridSpan w:val="2"/>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b/>
                <w:bCs/>
                <w:color w:val="000000"/>
                <w:sz w:val="18"/>
                <w:szCs w:val="18"/>
                <w:lang w:val="es-ES"/>
              </w:rPr>
            </w:pPr>
            <w:r w:rsidRPr="00044B64">
              <w:rPr>
                <w:rFonts w:ascii="Lucida Bright" w:hAnsi="Lucida Bright" w:cs="Calibri"/>
                <w:b/>
                <w:bCs/>
                <w:color w:val="000000"/>
                <w:sz w:val="18"/>
                <w:szCs w:val="18"/>
                <w:lang w:val="es-ES"/>
              </w:rPr>
              <w:t>Saldo a 31/12/2021</w:t>
            </w: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b/>
                <w:bCs/>
                <w:color w:val="000000"/>
                <w:sz w:val="18"/>
                <w:szCs w:val="18"/>
                <w:lang w:val="es-ES"/>
              </w:rPr>
            </w:pPr>
            <w:r w:rsidRPr="00044B64">
              <w:rPr>
                <w:rFonts w:ascii="Lucida Bright" w:hAnsi="Lucida Bright" w:cs="Calibri"/>
                <w:b/>
                <w:bCs/>
                <w:color w:val="000000"/>
                <w:sz w:val="18"/>
                <w:szCs w:val="18"/>
                <w:lang w:val="es-ES"/>
              </w:rPr>
              <w:t xml:space="preserve">462.941,70  </w:t>
            </w:r>
          </w:p>
        </w:tc>
      </w:tr>
      <w:tr w:rsidR="00044B64" w:rsidRPr="00044B64" w:rsidTr="00044B64">
        <w:trPr>
          <w:trHeight w:val="300"/>
        </w:trPr>
        <w:tc>
          <w:tcPr>
            <w:tcW w:w="4136" w:type="dxa"/>
            <w:gridSpan w:val="2"/>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Dotación del ejercicio</w:t>
            </w: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xml:space="preserve">-  </w:t>
            </w:r>
          </w:p>
        </w:tc>
      </w:tr>
      <w:tr w:rsidR="00044B64" w:rsidRPr="00044B64" w:rsidTr="00044B64">
        <w:trPr>
          <w:trHeight w:val="300"/>
        </w:trPr>
        <w:tc>
          <w:tcPr>
            <w:tcW w:w="4136" w:type="dxa"/>
            <w:gridSpan w:val="2"/>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Aplicaciones</w:t>
            </w: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xml:space="preserve">-  </w:t>
            </w:r>
          </w:p>
        </w:tc>
      </w:tr>
      <w:tr w:rsidR="00044B64" w:rsidRPr="00044B64" w:rsidTr="00044B64">
        <w:trPr>
          <w:trHeight w:val="300"/>
        </w:trPr>
        <w:tc>
          <w:tcPr>
            <w:tcW w:w="3990" w:type="dxa"/>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Excesos</w:t>
            </w:r>
          </w:p>
        </w:tc>
        <w:tc>
          <w:tcPr>
            <w:tcW w:w="146" w:type="dxa"/>
            <w:tcBorders>
              <w:top w:val="nil"/>
              <w:left w:val="nil"/>
              <w:bottom w:val="nil"/>
              <w:right w:val="nil"/>
            </w:tcBorders>
            <w:shd w:val="clear" w:color="auto" w:fill="auto"/>
            <w:noWrap/>
            <w:vAlign w:val="bottom"/>
            <w:hideMark/>
          </w:tcPr>
          <w:p w:rsidR="00044B64" w:rsidRPr="00044B64" w:rsidRDefault="00044B64" w:rsidP="00044B64">
            <w:pPr>
              <w:rPr>
                <w:rFonts w:ascii="Calibri" w:hAnsi="Calibri" w:cs="Calibri"/>
                <w:color w:val="000000"/>
                <w:sz w:val="22"/>
                <w:szCs w:val="22"/>
                <w:lang w:val="es-ES"/>
              </w:rPr>
            </w:pP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color w:val="000000"/>
                <w:sz w:val="18"/>
                <w:szCs w:val="18"/>
                <w:lang w:val="es-ES"/>
              </w:rPr>
            </w:pPr>
            <w:r w:rsidRPr="00044B64">
              <w:rPr>
                <w:rFonts w:ascii="Lucida Bright" w:hAnsi="Lucida Bright" w:cs="Calibri"/>
                <w:color w:val="000000"/>
                <w:sz w:val="18"/>
                <w:szCs w:val="18"/>
                <w:lang w:val="es-ES"/>
              </w:rPr>
              <w:t xml:space="preserve">(462.941,70)  </w:t>
            </w:r>
          </w:p>
        </w:tc>
      </w:tr>
      <w:tr w:rsidR="00044B64" w:rsidRPr="00044B64" w:rsidTr="00044B64">
        <w:trPr>
          <w:trHeight w:val="300"/>
        </w:trPr>
        <w:tc>
          <w:tcPr>
            <w:tcW w:w="4136" w:type="dxa"/>
            <w:gridSpan w:val="2"/>
            <w:tcBorders>
              <w:top w:val="nil"/>
              <w:left w:val="nil"/>
              <w:bottom w:val="nil"/>
              <w:right w:val="nil"/>
            </w:tcBorders>
            <w:shd w:val="clear" w:color="auto" w:fill="auto"/>
            <w:noWrap/>
            <w:vAlign w:val="bottom"/>
            <w:hideMark/>
          </w:tcPr>
          <w:p w:rsidR="00044B64" w:rsidRPr="00044B64" w:rsidRDefault="00044B64" w:rsidP="00044B64">
            <w:pPr>
              <w:rPr>
                <w:rFonts w:ascii="Lucida Bright" w:hAnsi="Lucida Bright" w:cs="Calibri"/>
                <w:b/>
                <w:bCs/>
                <w:color w:val="000000"/>
                <w:sz w:val="18"/>
                <w:szCs w:val="18"/>
                <w:lang w:val="es-ES"/>
              </w:rPr>
            </w:pPr>
            <w:r w:rsidRPr="00044B64">
              <w:rPr>
                <w:rFonts w:ascii="Lucida Bright" w:hAnsi="Lucida Bright" w:cs="Calibri"/>
                <w:b/>
                <w:bCs/>
                <w:color w:val="000000"/>
                <w:sz w:val="18"/>
                <w:szCs w:val="18"/>
                <w:lang w:val="es-ES"/>
              </w:rPr>
              <w:t>Saldo a 31/12/2022</w:t>
            </w:r>
          </w:p>
        </w:tc>
        <w:tc>
          <w:tcPr>
            <w:tcW w:w="1576" w:type="dxa"/>
            <w:tcBorders>
              <w:top w:val="nil"/>
              <w:left w:val="nil"/>
              <w:bottom w:val="nil"/>
              <w:right w:val="nil"/>
            </w:tcBorders>
            <w:shd w:val="clear" w:color="auto" w:fill="auto"/>
            <w:noWrap/>
            <w:vAlign w:val="bottom"/>
            <w:hideMark/>
          </w:tcPr>
          <w:p w:rsidR="00044B64" w:rsidRPr="00044B64" w:rsidRDefault="00044B64" w:rsidP="00044B64">
            <w:pPr>
              <w:jc w:val="right"/>
              <w:rPr>
                <w:rFonts w:ascii="Lucida Bright" w:hAnsi="Lucida Bright" w:cs="Calibri"/>
                <w:b/>
                <w:bCs/>
                <w:color w:val="000000"/>
                <w:sz w:val="18"/>
                <w:szCs w:val="18"/>
                <w:lang w:val="es-ES"/>
              </w:rPr>
            </w:pPr>
            <w:r w:rsidRPr="00044B64">
              <w:rPr>
                <w:rFonts w:ascii="Lucida Bright" w:hAnsi="Lucida Bright" w:cs="Calibri"/>
                <w:b/>
                <w:bCs/>
                <w:color w:val="000000"/>
                <w:sz w:val="18"/>
                <w:szCs w:val="18"/>
                <w:lang w:val="es-ES"/>
              </w:rPr>
              <w:t xml:space="preserve">-  </w:t>
            </w:r>
          </w:p>
        </w:tc>
      </w:tr>
    </w:tbl>
    <w:p w:rsidR="00192EA6" w:rsidRDefault="00192EA6">
      <w:pPr>
        <w:pStyle w:val="Sangra3detindependiente"/>
        <w:tabs>
          <w:tab w:val="clear" w:pos="5671"/>
          <w:tab w:val="clear" w:pos="7797"/>
          <w:tab w:val="right" w:pos="8364"/>
        </w:tabs>
        <w:rPr>
          <w:sz w:val="20"/>
          <w:szCs w:val="20"/>
        </w:rPr>
      </w:pPr>
    </w:p>
    <w:p w:rsidR="00A1261C" w:rsidRDefault="00A1261C">
      <w:pPr>
        <w:pStyle w:val="Sangra3detindependiente"/>
        <w:tabs>
          <w:tab w:val="clear" w:pos="5671"/>
          <w:tab w:val="clear" w:pos="7797"/>
          <w:tab w:val="right" w:pos="8364"/>
        </w:tabs>
        <w:rPr>
          <w:rFonts w:ascii="NewBaskerville" w:hAnsi="NewBaskerville"/>
          <w:sz w:val="20"/>
          <w:szCs w:val="20"/>
        </w:rPr>
      </w:pPr>
    </w:p>
    <w:p w:rsidR="00A73B7B" w:rsidRDefault="00A1261C">
      <w:pPr>
        <w:pStyle w:val="Sangra3detindependiente"/>
        <w:tabs>
          <w:tab w:val="clear" w:pos="5671"/>
          <w:tab w:val="clear" w:pos="7797"/>
          <w:tab w:val="right" w:pos="8364"/>
        </w:tabs>
        <w:rPr>
          <w:rFonts w:ascii="NewBaskerville" w:hAnsi="NewBaskerville"/>
          <w:sz w:val="20"/>
          <w:szCs w:val="20"/>
        </w:rPr>
      </w:pPr>
      <w:r>
        <w:rPr>
          <w:rFonts w:ascii="NewBaskerville" w:hAnsi="NewBaskerville"/>
          <w:sz w:val="20"/>
          <w:szCs w:val="20"/>
        </w:rPr>
        <w:t>En el ejercicio 202</w:t>
      </w:r>
      <w:r w:rsidR="00044B64">
        <w:rPr>
          <w:rFonts w:ascii="NewBaskerville" w:hAnsi="NewBaskerville"/>
          <w:sz w:val="20"/>
          <w:szCs w:val="20"/>
        </w:rPr>
        <w:t>3</w:t>
      </w:r>
      <w:r>
        <w:rPr>
          <w:rFonts w:ascii="NewBaskerville" w:hAnsi="NewBaskerville"/>
          <w:sz w:val="20"/>
          <w:szCs w:val="20"/>
        </w:rPr>
        <w:t xml:space="preserve"> se ha estimado que </w:t>
      </w:r>
      <w:r w:rsidR="00A77D69">
        <w:rPr>
          <w:rFonts w:ascii="NewBaskerville" w:hAnsi="NewBaskerville"/>
          <w:sz w:val="20"/>
          <w:szCs w:val="20"/>
        </w:rPr>
        <w:t>no existiendo procesos administrativo</w:t>
      </w:r>
      <w:r w:rsidR="00E07B62">
        <w:rPr>
          <w:rFonts w:ascii="NewBaskerville" w:hAnsi="NewBaskerville"/>
          <w:sz w:val="20"/>
          <w:szCs w:val="20"/>
        </w:rPr>
        <w:t xml:space="preserve">s ni judiciales sobre impuestos </w:t>
      </w:r>
      <w:r w:rsidR="003D3C0E">
        <w:rPr>
          <w:rFonts w:ascii="NewBaskerville" w:hAnsi="NewBaskerville"/>
          <w:sz w:val="20"/>
          <w:szCs w:val="20"/>
        </w:rPr>
        <w:t>no reconocer provisión por dicha contingencia.</w:t>
      </w:r>
    </w:p>
    <w:p w:rsidR="00A1261C" w:rsidRPr="00A1261C" w:rsidRDefault="00A1261C">
      <w:pPr>
        <w:pStyle w:val="Sangra3detindependiente"/>
        <w:tabs>
          <w:tab w:val="clear" w:pos="5671"/>
          <w:tab w:val="clear" w:pos="7797"/>
          <w:tab w:val="right" w:pos="8364"/>
        </w:tabs>
        <w:rPr>
          <w:rFonts w:ascii="NewBaskerville" w:hAnsi="NewBaskerville"/>
          <w:sz w:val="20"/>
          <w:szCs w:val="20"/>
        </w:rPr>
      </w:pPr>
    </w:p>
    <w:p w:rsidR="00A73B7B" w:rsidRDefault="00A73B7B">
      <w:pPr>
        <w:pStyle w:val="Sangra3detindependiente"/>
        <w:tabs>
          <w:tab w:val="clear" w:pos="5671"/>
          <w:tab w:val="clear" w:pos="7797"/>
          <w:tab w:val="right" w:pos="8364"/>
        </w:tabs>
        <w:rPr>
          <w:sz w:val="20"/>
          <w:szCs w:val="20"/>
        </w:rPr>
      </w:pPr>
    </w:p>
    <w:p w:rsidR="00192EA6" w:rsidRPr="00A73B7B" w:rsidRDefault="00192EA6" w:rsidP="00192EA6">
      <w:pPr>
        <w:numPr>
          <w:ilvl w:val="0"/>
          <w:numId w:val="2"/>
        </w:numPr>
        <w:tabs>
          <w:tab w:val="right" w:pos="8364"/>
        </w:tabs>
        <w:ind w:hanging="219"/>
        <w:jc w:val="both"/>
        <w:rPr>
          <w:rFonts w:ascii="NewBaskerville" w:hAnsi="NewBaskerville"/>
          <w:u w:val="single"/>
        </w:rPr>
      </w:pPr>
      <w:r w:rsidRPr="00A73B7B">
        <w:rPr>
          <w:rFonts w:ascii="NewBaskerville" w:hAnsi="NewBaskerville"/>
          <w:u w:val="single"/>
        </w:rPr>
        <w:t>Provisión para responsabilidades</w:t>
      </w:r>
    </w:p>
    <w:p w:rsidR="00A1261C" w:rsidRDefault="00A1261C" w:rsidP="00A1261C">
      <w:pPr>
        <w:pStyle w:val="ListParagraph1"/>
        <w:ind w:left="0" w:firstLine="709"/>
        <w:rPr>
          <w:rFonts w:ascii="NewBaskerville" w:hAnsi="NewBaskerville"/>
        </w:rPr>
      </w:pPr>
    </w:p>
    <w:tbl>
      <w:tblPr>
        <w:tblW w:w="5712" w:type="dxa"/>
        <w:tblInd w:w="623" w:type="dxa"/>
        <w:tblCellMar>
          <w:left w:w="70" w:type="dxa"/>
          <w:right w:w="70" w:type="dxa"/>
        </w:tblCellMar>
        <w:tblLook w:val="04A0" w:firstRow="1" w:lastRow="0" w:firstColumn="1" w:lastColumn="0" w:noHBand="0" w:noVBand="1"/>
      </w:tblPr>
      <w:tblGrid>
        <w:gridCol w:w="3990"/>
        <w:gridCol w:w="146"/>
        <w:gridCol w:w="1576"/>
      </w:tblGrid>
      <w:tr w:rsidR="00157F37" w:rsidRPr="00157F37" w:rsidTr="00157F37">
        <w:trPr>
          <w:trHeight w:val="300"/>
        </w:trPr>
        <w:tc>
          <w:tcPr>
            <w:tcW w:w="4136" w:type="dxa"/>
            <w:gridSpan w:val="2"/>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b/>
                <w:bCs/>
                <w:color w:val="000000"/>
                <w:sz w:val="18"/>
                <w:szCs w:val="18"/>
                <w:lang w:val="es-ES"/>
              </w:rPr>
            </w:pPr>
            <w:r w:rsidRPr="00157F37">
              <w:rPr>
                <w:rFonts w:ascii="Lucida Bright" w:hAnsi="Lucida Bright" w:cs="Calibri"/>
                <w:b/>
                <w:bCs/>
                <w:color w:val="000000"/>
                <w:sz w:val="18"/>
                <w:szCs w:val="18"/>
                <w:lang w:val="es-ES"/>
              </w:rPr>
              <w:t>Saldo a 31/12/2022</w:t>
            </w: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b/>
                <w:bCs/>
                <w:color w:val="000000"/>
                <w:sz w:val="18"/>
                <w:szCs w:val="18"/>
                <w:lang w:val="es-ES"/>
              </w:rPr>
            </w:pPr>
            <w:r w:rsidRPr="00157F37">
              <w:rPr>
                <w:rFonts w:ascii="Lucida Bright" w:hAnsi="Lucida Bright" w:cs="Calibri"/>
                <w:b/>
                <w:bCs/>
                <w:color w:val="000000"/>
                <w:sz w:val="18"/>
                <w:szCs w:val="18"/>
                <w:lang w:val="es-ES"/>
              </w:rPr>
              <w:t xml:space="preserve">12.234.149,15  </w:t>
            </w:r>
          </w:p>
        </w:tc>
      </w:tr>
      <w:tr w:rsidR="00157F37" w:rsidRPr="00157F37" w:rsidTr="00157F37">
        <w:trPr>
          <w:trHeight w:val="300"/>
        </w:trPr>
        <w:tc>
          <w:tcPr>
            <w:tcW w:w="4136" w:type="dxa"/>
            <w:gridSpan w:val="2"/>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Dotación del ejercicio</w:t>
            </w: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xml:space="preserve">1.830.327,65  </w:t>
            </w:r>
          </w:p>
        </w:tc>
      </w:tr>
      <w:tr w:rsidR="00157F37" w:rsidRPr="00157F37" w:rsidTr="00157F37">
        <w:trPr>
          <w:trHeight w:val="300"/>
        </w:trPr>
        <w:tc>
          <w:tcPr>
            <w:tcW w:w="4136" w:type="dxa"/>
            <w:gridSpan w:val="2"/>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Aplicaciones</w:t>
            </w: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xml:space="preserve">-  </w:t>
            </w:r>
          </w:p>
        </w:tc>
      </w:tr>
      <w:tr w:rsidR="00157F37" w:rsidRPr="00157F37" w:rsidTr="00157F37">
        <w:trPr>
          <w:trHeight w:val="300"/>
        </w:trPr>
        <w:tc>
          <w:tcPr>
            <w:tcW w:w="3990" w:type="dxa"/>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Excesos</w:t>
            </w:r>
          </w:p>
        </w:tc>
        <w:tc>
          <w:tcPr>
            <w:tcW w:w="146" w:type="dxa"/>
            <w:tcBorders>
              <w:top w:val="nil"/>
              <w:left w:val="nil"/>
              <w:bottom w:val="nil"/>
              <w:right w:val="nil"/>
            </w:tcBorders>
            <w:shd w:val="clear" w:color="auto" w:fill="auto"/>
            <w:noWrap/>
            <w:vAlign w:val="bottom"/>
            <w:hideMark/>
          </w:tcPr>
          <w:p w:rsidR="00157F37" w:rsidRPr="00157F37" w:rsidRDefault="00157F37" w:rsidP="00157F37">
            <w:pPr>
              <w:rPr>
                <w:rFonts w:ascii="Calibri" w:hAnsi="Calibri" w:cs="Calibri"/>
                <w:color w:val="000000"/>
                <w:sz w:val="22"/>
                <w:szCs w:val="22"/>
                <w:lang w:val="es-ES"/>
              </w:rPr>
            </w:pP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xml:space="preserve">-  </w:t>
            </w:r>
          </w:p>
        </w:tc>
      </w:tr>
      <w:tr w:rsidR="00157F37" w:rsidRPr="00157F37" w:rsidTr="00157F37">
        <w:trPr>
          <w:trHeight w:val="300"/>
        </w:trPr>
        <w:tc>
          <w:tcPr>
            <w:tcW w:w="4136" w:type="dxa"/>
            <w:gridSpan w:val="2"/>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b/>
                <w:bCs/>
                <w:color w:val="000000"/>
                <w:sz w:val="18"/>
                <w:szCs w:val="18"/>
                <w:lang w:val="es-ES"/>
              </w:rPr>
            </w:pPr>
            <w:r w:rsidRPr="00157F37">
              <w:rPr>
                <w:rFonts w:ascii="Lucida Bright" w:hAnsi="Lucida Bright" w:cs="Calibri"/>
                <w:b/>
                <w:bCs/>
                <w:color w:val="000000"/>
                <w:sz w:val="18"/>
                <w:szCs w:val="18"/>
                <w:lang w:val="es-ES"/>
              </w:rPr>
              <w:t>Saldo a 31/12/2023</w:t>
            </w: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b/>
                <w:bCs/>
                <w:color w:val="000000"/>
                <w:sz w:val="18"/>
                <w:szCs w:val="18"/>
                <w:lang w:val="es-ES"/>
              </w:rPr>
            </w:pPr>
            <w:r w:rsidRPr="00157F37">
              <w:rPr>
                <w:rFonts w:ascii="Lucida Bright" w:hAnsi="Lucida Bright" w:cs="Calibri"/>
                <w:b/>
                <w:bCs/>
                <w:color w:val="000000"/>
                <w:sz w:val="18"/>
                <w:szCs w:val="18"/>
                <w:lang w:val="es-ES"/>
              </w:rPr>
              <w:t xml:space="preserve">14.064.476,80  </w:t>
            </w:r>
          </w:p>
        </w:tc>
      </w:tr>
      <w:tr w:rsidR="00157F37" w:rsidRPr="00157F37" w:rsidTr="00157F37">
        <w:trPr>
          <w:trHeight w:val="300"/>
        </w:trPr>
        <w:tc>
          <w:tcPr>
            <w:tcW w:w="3990" w:type="dxa"/>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color w:val="000000"/>
                <w:sz w:val="18"/>
                <w:szCs w:val="18"/>
                <w:lang w:val="es-ES"/>
              </w:rPr>
            </w:pPr>
          </w:p>
        </w:tc>
        <w:tc>
          <w:tcPr>
            <w:tcW w:w="146" w:type="dxa"/>
            <w:tcBorders>
              <w:top w:val="nil"/>
              <w:left w:val="nil"/>
              <w:bottom w:val="nil"/>
              <w:right w:val="nil"/>
            </w:tcBorders>
            <w:shd w:val="clear" w:color="auto" w:fill="auto"/>
            <w:noWrap/>
            <w:vAlign w:val="bottom"/>
            <w:hideMark/>
          </w:tcPr>
          <w:p w:rsidR="00157F37" w:rsidRPr="00157F37" w:rsidRDefault="00157F37" w:rsidP="00157F37">
            <w:pPr>
              <w:rPr>
                <w:rFonts w:ascii="Calibri" w:hAnsi="Calibri" w:cs="Calibri"/>
                <w:color w:val="000000"/>
                <w:sz w:val="22"/>
                <w:szCs w:val="22"/>
                <w:lang w:val="es-ES"/>
              </w:rPr>
            </w:pPr>
          </w:p>
        </w:tc>
        <w:tc>
          <w:tcPr>
            <w:tcW w:w="1576" w:type="dxa"/>
            <w:tcBorders>
              <w:top w:val="nil"/>
              <w:left w:val="nil"/>
              <w:bottom w:val="nil"/>
              <w:right w:val="nil"/>
            </w:tcBorders>
            <w:shd w:val="clear" w:color="auto" w:fill="auto"/>
            <w:noWrap/>
            <w:vAlign w:val="bottom"/>
            <w:hideMark/>
          </w:tcPr>
          <w:p w:rsidR="00157F37" w:rsidRPr="00157F37" w:rsidRDefault="00157F37" w:rsidP="00157F37">
            <w:pPr>
              <w:rPr>
                <w:rFonts w:ascii="Calibri" w:hAnsi="Calibri" w:cs="Calibri"/>
                <w:color w:val="000000"/>
                <w:sz w:val="22"/>
                <w:szCs w:val="22"/>
                <w:lang w:val="es-ES"/>
              </w:rPr>
            </w:pPr>
          </w:p>
        </w:tc>
      </w:tr>
      <w:tr w:rsidR="00157F37" w:rsidRPr="00157F37" w:rsidTr="00157F37">
        <w:trPr>
          <w:trHeight w:val="300"/>
        </w:trPr>
        <w:tc>
          <w:tcPr>
            <w:tcW w:w="4136" w:type="dxa"/>
            <w:gridSpan w:val="2"/>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b/>
                <w:bCs/>
                <w:color w:val="000000"/>
                <w:sz w:val="18"/>
                <w:szCs w:val="18"/>
                <w:lang w:val="es-ES"/>
              </w:rPr>
            </w:pPr>
            <w:r w:rsidRPr="00157F37">
              <w:rPr>
                <w:rFonts w:ascii="Lucida Bright" w:hAnsi="Lucida Bright" w:cs="Calibri"/>
                <w:b/>
                <w:bCs/>
                <w:color w:val="000000"/>
                <w:sz w:val="18"/>
                <w:szCs w:val="18"/>
                <w:lang w:val="es-ES"/>
              </w:rPr>
              <w:t>Saldo a 31/12/2021</w:t>
            </w: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b/>
                <w:bCs/>
                <w:color w:val="000000"/>
                <w:sz w:val="18"/>
                <w:szCs w:val="18"/>
                <w:lang w:val="es-ES"/>
              </w:rPr>
            </w:pPr>
            <w:r w:rsidRPr="00157F37">
              <w:rPr>
                <w:rFonts w:ascii="Lucida Bright" w:hAnsi="Lucida Bright" w:cs="Calibri"/>
                <w:b/>
                <w:bCs/>
                <w:color w:val="000000"/>
                <w:sz w:val="18"/>
                <w:szCs w:val="18"/>
                <w:lang w:val="es-ES"/>
              </w:rPr>
              <w:t xml:space="preserve">3.550.399,51  </w:t>
            </w:r>
          </w:p>
        </w:tc>
      </w:tr>
      <w:tr w:rsidR="00157F37" w:rsidRPr="00157F37" w:rsidTr="00157F37">
        <w:trPr>
          <w:trHeight w:val="300"/>
        </w:trPr>
        <w:tc>
          <w:tcPr>
            <w:tcW w:w="4136" w:type="dxa"/>
            <w:gridSpan w:val="2"/>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Dotación del ejercicio</w:t>
            </w: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xml:space="preserve">8.683.749,64  </w:t>
            </w:r>
          </w:p>
        </w:tc>
      </w:tr>
      <w:tr w:rsidR="00157F37" w:rsidRPr="00157F37" w:rsidTr="00157F37">
        <w:trPr>
          <w:trHeight w:val="300"/>
        </w:trPr>
        <w:tc>
          <w:tcPr>
            <w:tcW w:w="4136" w:type="dxa"/>
            <w:gridSpan w:val="2"/>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Aplicaciones</w:t>
            </w: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xml:space="preserve">-  </w:t>
            </w:r>
          </w:p>
        </w:tc>
      </w:tr>
      <w:tr w:rsidR="00157F37" w:rsidRPr="00157F37" w:rsidTr="00157F37">
        <w:trPr>
          <w:trHeight w:val="300"/>
        </w:trPr>
        <w:tc>
          <w:tcPr>
            <w:tcW w:w="3990" w:type="dxa"/>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Excesos</w:t>
            </w:r>
          </w:p>
        </w:tc>
        <w:tc>
          <w:tcPr>
            <w:tcW w:w="146" w:type="dxa"/>
            <w:tcBorders>
              <w:top w:val="nil"/>
              <w:left w:val="nil"/>
              <w:bottom w:val="nil"/>
              <w:right w:val="nil"/>
            </w:tcBorders>
            <w:shd w:val="clear" w:color="auto" w:fill="auto"/>
            <w:noWrap/>
            <w:vAlign w:val="bottom"/>
            <w:hideMark/>
          </w:tcPr>
          <w:p w:rsidR="00157F37" w:rsidRPr="00157F37" w:rsidRDefault="00157F37" w:rsidP="00157F37">
            <w:pPr>
              <w:rPr>
                <w:rFonts w:ascii="Calibri" w:hAnsi="Calibri" w:cs="Calibri"/>
                <w:color w:val="000000"/>
                <w:sz w:val="22"/>
                <w:szCs w:val="22"/>
                <w:lang w:val="es-ES"/>
              </w:rPr>
            </w:pP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color w:val="000000"/>
                <w:sz w:val="18"/>
                <w:szCs w:val="18"/>
                <w:lang w:val="es-ES"/>
              </w:rPr>
            </w:pPr>
            <w:r w:rsidRPr="00157F37">
              <w:rPr>
                <w:rFonts w:ascii="Lucida Bright" w:hAnsi="Lucida Bright" w:cs="Calibri"/>
                <w:color w:val="000000"/>
                <w:sz w:val="18"/>
                <w:szCs w:val="18"/>
                <w:lang w:val="es-ES"/>
              </w:rPr>
              <w:t xml:space="preserve">-  </w:t>
            </w:r>
          </w:p>
        </w:tc>
      </w:tr>
      <w:tr w:rsidR="00157F37" w:rsidRPr="00157F37" w:rsidTr="00157F37">
        <w:trPr>
          <w:trHeight w:val="300"/>
        </w:trPr>
        <w:tc>
          <w:tcPr>
            <w:tcW w:w="4136" w:type="dxa"/>
            <w:gridSpan w:val="2"/>
            <w:tcBorders>
              <w:top w:val="nil"/>
              <w:left w:val="nil"/>
              <w:bottom w:val="nil"/>
              <w:right w:val="nil"/>
            </w:tcBorders>
            <w:shd w:val="clear" w:color="auto" w:fill="auto"/>
            <w:noWrap/>
            <w:vAlign w:val="bottom"/>
            <w:hideMark/>
          </w:tcPr>
          <w:p w:rsidR="00157F37" w:rsidRPr="00157F37" w:rsidRDefault="00157F37" w:rsidP="00157F37">
            <w:pPr>
              <w:rPr>
                <w:rFonts w:ascii="Lucida Bright" w:hAnsi="Lucida Bright" w:cs="Calibri"/>
                <w:b/>
                <w:bCs/>
                <w:color w:val="000000"/>
                <w:sz w:val="18"/>
                <w:szCs w:val="18"/>
                <w:lang w:val="es-ES"/>
              </w:rPr>
            </w:pPr>
            <w:r w:rsidRPr="00157F37">
              <w:rPr>
                <w:rFonts w:ascii="Lucida Bright" w:hAnsi="Lucida Bright" w:cs="Calibri"/>
                <w:b/>
                <w:bCs/>
                <w:color w:val="000000"/>
                <w:sz w:val="18"/>
                <w:szCs w:val="18"/>
                <w:lang w:val="es-ES"/>
              </w:rPr>
              <w:t>Saldo a 31/12/2022</w:t>
            </w:r>
          </w:p>
        </w:tc>
        <w:tc>
          <w:tcPr>
            <w:tcW w:w="1576" w:type="dxa"/>
            <w:tcBorders>
              <w:top w:val="nil"/>
              <w:left w:val="nil"/>
              <w:bottom w:val="nil"/>
              <w:right w:val="nil"/>
            </w:tcBorders>
            <w:shd w:val="clear" w:color="auto" w:fill="auto"/>
            <w:noWrap/>
            <w:vAlign w:val="bottom"/>
            <w:hideMark/>
          </w:tcPr>
          <w:p w:rsidR="00157F37" w:rsidRPr="00157F37" w:rsidRDefault="00157F37" w:rsidP="00157F37">
            <w:pPr>
              <w:jc w:val="right"/>
              <w:rPr>
                <w:rFonts w:ascii="Lucida Bright" w:hAnsi="Lucida Bright" w:cs="Calibri"/>
                <w:b/>
                <w:bCs/>
                <w:color w:val="000000"/>
                <w:sz w:val="18"/>
                <w:szCs w:val="18"/>
                <w:lang w:val="es-ES"/>
              </w:rPr>
            </w:pPr>
            <w:r w:rsidRPr="00157F37">
              <w:rPr>
                <w:rFonts w:ascii="Lucida Bright" w:hAnsi="Lucida Bright" w:cs="Calibri"/>
                <w:b/>
                <w:bCs/>
                <w:color w:val="000000"/>
                <w:sz w:val="18"/>
                <w:szCs w:val="18"/>
                <w:lang w:val="es-ES"/>
              </w:rPr>
              <w:t xml:space="preserve">12.234.149,15  </w:t>
            </w:r>
          </w:p>
        </w:tc>
      </w:tr>
    </w:tbl>
    <w:p w:rsidR="00A1261C" w:rsidRDefault="00A1261C" w:rsidP="00A1261C">
      <w:pPr>
        <w:pStyle w:val="ListParagraph1"/>
        <w:ind w:left="0" w:firstLine="709"/>
        <w:rPr>
          <w:rFonts w:ascii="NewBaskerville" w:hAnsi="NewBaskerville"/>
        </w:rPr>
      </w:pPr>
    </w:p>
    <w:p w:rsidR="00A1261C" w:rsidRPr="00A1261C" w:rsidRDefault="00A1261C" w:rsidP="00A1261C">
      <w:pPr>
        <w:pStyle w:val="ListParagraph1"/>
        <w:ind w:left="0" w:firstLine="709"/>
        <w:rPr>
          <w:rFonts w:ascii="NewBaskerville" w:hAnsi="NewBaskerville"/>
        </w:rPr>
      </w:pPr>
    </w:p>
    <w:p w:rsidR="00475B03" w:rsidRDefault="00475B03" w:rsidP="00CF7FBD">
      <w:pPr>
        <w:pStyle w:val="ListParagraph1"/>
      </w:pPr>
    </w:p>
    <w:p w:rsidR="003A195D" w:rsidRPr="00CE3273" w:rsidRDefault="003A195D" w:rsidP="005C285D">
      <w:pPr>
        <w:tabs>
          <w:tab w:val="right" w:pos="8364"/>
        </w:tabs>
        <w:ind w:left="360"/>
        <w:rPr>
          <w:rFonts w:ascii="NewBaskerville" w:hAnsi="NewBaskerville"/>
          <w:bCs/>
        </w:rPr>
      </w:pPr>
      <w:r w:rsidRPr="00CE3273">
        <w:rPr>
          <w:rFonts w:ascii="NewBaskerville" w:hAnsi="NewBaskerville"/>
          <w:bCs/>
        </w:rPr>
        <w:lastRenderedPageBreak/>
        <w:t xml:space="preserve">Las provisiones por responsabilidades corresponden </w:t>
      </w:r>
      <w:r w:rsidR="008155BC" w:rsidRPr="00CE3273">
        <w:rPr>
          <w:rFonts w:ascii="NewBaskerville" w:hAnsi="NewBaskerville"/>
          <w:bCs/>
        </w:rPr>
        <w:t>a:</w:t>
      </w:r>
    </w:p>
    <w:p w:rsidR="00514E88" w:rsidRPr="00AE63D4" w:rsidRDefault="00514E88">
      <w:pPr>
        <w:tabs>
          <w:tab w:val="right" w:pos="8364"/>
        </w:tabs>
        <w:ind w:left="567"/>
        <w:jc w:val="both"/>
        <w:rPr>
          <w:bCs/>
        </w:rPr>
      </w:pPr>
    </w:p>
    <w:p w:rsidR="00E257E5" w:rsidRPr="00CE3273" w:rsidRDefault="00CD7D91" w:rsidP="00514E88">
      <w:pPr>
        <w:numPr>
          <w:ilvl w:val="0"/>
          <w:numId w:val="2"/>
        </w:numPr>
        <w:tabs>
          <w:tab w:val="right" w:pos="8364"/>
        </w:tabs>
        <w:jc w:val="both"/>
        <w:rPr>
          <w:rFonts w:ascii="NewBaskerville" w:hAnsi="NewBaskerville"/>
          <w:bCs/>
          <w:u w:val="single"/>
        </w:rPr>
      </w:pPr>
      <w:r w:rsidRPr="00CE3273">
        <w:rPr>
          <w:rFonts w:ascii="NewBaskerville" w:hAnsi="NewBaskerville"/>
          <w:u w:val="single"/>
          <w:lang w:val="es-ES"/>
        </w:rPr>
        <w:t>Sentencias Tarifa T</w:t>
      </w:r>
      <w:r w:rsidR="00CE3273" w:rsidRPr="00CE3273">
        <w:rPr>
          <w:rFonts w:ascii="NewBaskerville" w:hAnsi="NewBaskerville"/>
          <w:u w:val="single"/>
          <w:lang w:val="es-ES"/>
        </w:rPr>
        <w:t>-</w:t>
      </w:r>
      <w:r w:rsidRPr="00CE3273">
        <w:rPr>
          <w:rFonts w:ascii="NewBaskerville" w:hAnsi="NewBaskerville"/>
          <w:u w:val="single"/>
          <w:lang w:val="es-ES"/>
        </w:rPr>
        <w:t>3</w:t>
      </w:r>
      <w:r w:rsidR="00514E88" w:rsidRPr="00CE3273">
        <w:rPr>
          <w:rFonts w:ascii="NewBaskerville" w:hAnsi="NewBaskerville"/>
          <w:u w:val="single"/>
          <w:lang w:val="es-ES"/>
        </w:rPr>
        <w:t>.</w:t>
      </w:r>
    </w:p>
    <w:p w:rsidR="003A195D" w:rsidRPr="00AE63D4" w:rsidRDefault="003A195D" w:rsidP="00514E88">
      <w:pPr>
        <w:pStyle w:val="Sangra3detindependiente"/>
        <w:ind w:left="567" w:hanging="27"/>
        <w:rPr>
          <w:sz w:val="20"/>
          <w:szCs w:val="20"/>
        </w:rPr>
      </w:pPr>
    </w:p>
    <w:p w:rsidR="002C4355" w:rsidRPr="00F00EE6" w:rsidRDefault="003A195D" w:rsidP="00CE3273">
      <w:pPr>
        <w:pStyle w:val="Sangra3detindependiente"/>
        <w:ind w:firstLine="567"/>
        <w:rPr>
          <w:sz w:val="20"/>
          <w:szCs w:val="20"/>
        </w:rPr>
      </w:pPr>
      <w:r w:rsidRPr="00AE63D4">
        <w:rPr>
          <w:sz w:val="20"/>
          <w:szCs w:val="20"/>
        </w:rPr>
        <w:t xml:space="preserve"> </w:t>
      </w:r>
      <w:r w:rsidR="001D5514" w:rsidRPr="00CE3273">
        <w:rPr>
          <w:rFonts w:ascii="NewBaskerville" w:hAnsi="NewBaskerville"/>
          <w:sz w:val="20"/>
          <w:szCs w:val="20"/>
        </w:rPr>
        <w:t>Las sentencias del Tribunal Constitucional 116/2009</w:t>
      </w:r>
      <w:r w:rsidR="008155BC" w:rsidRPr="00CE3273">
        <w:rPr>
          <w:rFonts w:ascii="NewBaskerville" w:hAnsi="NewBaskerville"/>
          <w:sz w:val="20"/>
          <w:szCs w:val="20"/>
        </w:rPr>
        <w:t>, de</w:t>
      </w:r>
      <w:r w:rsidR="001D5514" w:rsidRPr="00CE3273">
        <w:rPr>
          <w:rFonts w:ascii="NewBaskerville" w:hAnsi="NewBaskerville"/>
          <w:sz w:val="20"/>
          <w:szCs w:val="20"/>
        </w:rPr>
        <w:t xml:space="preserve"> 18 de mayo, 146/2009 de 15 de junio y 161/2009 de 29 de junio declararon inconstitucionales diversos apartados de </w:t>
      </w:r>
      <w:r w:rsidRPr="00CE3273">
        <w:rPr>
          <w:rFonts w:ascii="NewBaskerville" w:hAnsi="NewBaskerville"/>
          <w:sz w:val="20"/>
          <w:szCs w:val="20"/>
        </w:rPr>
        <w:t xml:space="preserve">la </w:t>
      </w:r>
      <w:r w:rsidR="00CE3273">
        <w:rPr>
          <w:rFonts w:ascii="NewBaskerville" w:hAnsi="NewBaskerville"/>
          <w:sz w:val="20"/>
          <w:szCs w:val="20"/>
        </w:rPr>
        <w:t>d</w:t>
      </w:r>
      <w:r w:rsidR="001D5514" w:rsidRPr="00CE3273">
        <w:rPr>
          <w:rFonts w:ascii="NewBaskerville" w:hAnsi="NewBaskerville"/>
          <w:sz w:val="20"/>
          <w:szCs w:val="20"/>
        </w:rPr>
        <w:t>isposición adicional de la Ley 55/1999 de 25 de diciembre y de la Ley 14/200</w:t>
      </w:r>
      <w:r w:rsidR="004F501D" w:rsidRPr="00CE3273">
        <w:rPr>
          <w:rFonts w:ascii="NewBaskerville" w:hAnsi="NewBaskerville"/>
          <w:sz w:val="20"/>
          <w:szCs w:val="20"/>
        </w:rPr>
        <w:t>0</w:t>
      </w:r>
      <w:r w:rsidR="001D5514" w:rsidRPr="00CE3273">
        <w:rPr>
          <w:rFonts w:ascii="NewBaskerville" w:hAnsi="NewBaskerville"/>
          <w:sz w:val="20"/>
          <w:szCs w:val="20"/>
        </w:rPr>
        <w:t xml:space="preserve"> de 29 de diciembre que se aplicaba para la </w:t>
      </w:r>
      <w:proofErr w:type="spellStart"/>
      <w:r w:rsidR="001D5514" w:rsidRPr="00CE3273">
        <w:rPr>
          <w:rFonts w:ascii="NewBaskerville" w:hAnsi="NewBaskerville"/>
          <w:sz w:val="20"/>
          <w:szCs w:val="20"/>
        </w:rPr>
        <w:t>refacturación</w:t>
      </w:r>
      <w:proofErr w:type="spellEnd"/>
      <w:r w:rsidR="001D5514" w:rsidRPr="00CE3273">
        <w:rPr>
          <w:rFonts w:ascii="NewBaskerville" w:hAnsi="NewBaskerville"/>
          <w:sz w:val="20"/>
          <w:szCs w:val="20"/>
        </w:rPr>
        <w:t xml:space="preserve"> y compensación de las liquidaciones anuladas por sentencia judicial. Dado que existe la imposibilidad futura de </w:t>
      </w:r>
      <w:proofErr w:type="spellStart"/>
      <w:r w:rsidR="001D5514" w:rsidRPr="00CE3273">
        <w:rPr>
          <w:rFonts w:ascii="NewBaskerville" w:hAnsi="NewBaskerville"/>
          <w:sz w:val="20"/>
          <w:szCs w:val="20"/>
        </w:rPr>
        <w:t>refacturar</w:t>
      </w:r>
      <w:proofErr w:type="spellEnd"/>
      <w:r w:rsidR="001D5514" w:rsidRPr="00CE3273">
        <w:rPr>
          <w:rFonts w:ascii="NewBaskerville" w:hAnsi="NewBaskerville"/>
          <w:sz w:val="20"/>
          <w:szCs w:val="20"/>
        </w:rPr>
        <w:t xml:space="preserve"> las liquidaciones de </w:t>
      </w:r>
      <w:r w:rsidRPr="00CE3273">
        <w:rPr>
          <w:rFonts w:ascii="NewBaskerville" w:hAnsi="NewBaskerville"/>
          <w:sz w:val="20"/>
          <w:szCs w:val="20"/>
        </w:rPr>
        <w:t xml:space="preserve">las </w:t>
      </w:r>
      <w:r w:rsidR="001D5514" w:rsidRPr="00CE3273">
        <w:rPr>
          <w:rFonts w:ascii="NewBaskerville" w:hAnsi="NewBaskerville"/>
          <w:sz w:val="20"/>
          <w:szCs w:val="20"/>
        </w:rPr>
        <w:t>tarifas recurridas</w:t>
      </w:r>
      <w:r w:rsidRPr="00CE3273">
        <w:rPr>
          <w:rFonts w:ascii="NewBaskerville" w:hAnsi="NewBaskerville"/>
          <w:sz w:val="20"/>
          <w:szCs w:val="20"/>
        </w:rPr>
        <w:t>,</w:t>
      </w:r>
      <w:r w:rsidR="001D5514" w:rsidRPr="00CE3273">
        <w:rPr>
          <w:rFonts w:ascii="NewBaskerville" w:hAnsi="NewBaskerville"/>
          <w:sz w:val="20"/>
          <w:szCs w:val="20"/>
        </w:rPr>
        <w:t xml:space="preserve"> sobre las que aún no haya recaído sentencia anulatoria</w:t>
      </w:r>
      <w:r w:rsidR="008469C2" w:rsidRPr="00CE3273">
        <w:rPr>
          <w:rFonts w:ascii="NewBaskerville" w:hAnsi="NewBaskerville"/>
          <w:sz w:val="20"/>
          <w:szCs w:val="20"/>
        </w:rPr>
        <w:t>,</w:t>
      </w:r>
      <w:r w:rsidR="001D5514" w:rsidRPr="00CE3273">
        <w:rPr>
          <w:rFonts w:ascii="NewBaskerville" w:hAnsi="NewBaskerville"/>
          <w:sz w:val="20"/>
          <w:szCs w:val="20"/>
        </w:rPr>
        <w:t xml:space="preserve"> es necesario considerar las obligaciones económicas</w:t>
      </w:r>
      <w:r w:rsidRPr="00CE3273">
        <w:rPr>
          <w:rFonts w:ascii="NewBaskerville" w:hAnsi="NewBaskerville"/>
          <w:sz w:val="20"/>
          <w:szCs w:val="20"/>
        </w:rPr>
        <w:t xml:space="preserve"> que se deriven</w:t>
      </w:r>
      <w:r w:rsidR="001D5514" w:rsidRPr="00CE3273">
        <w:rPr>
          <w:rFonts w:ascii="NewBaskerville" w:hAnsi="NewBaskerville"/>
          <w:sz w:val="20"/>
          <w:szCs w:val="20"/>
        </w:rPr>
        <w:t xml:space="preserve"> </w:t>
      </w:r>
      <w:r w:rsidR="008469C2" w:rsidRPr="00CE3273">
        <w:rPr>
          <w:rFonts w:ascii="NewBaskerville" w:hAnsi="NewBaskerville"/>
          <w:sz w:val="20"/>
          <w:szCs w:val="20"/>
        </w:rPr>
        <w:t>de ello</w:t>
      </w:r>
      <w:r w:rsidR="001D5514" w:rsidRPr="00CE3273">
        <w:rPr>
          <w:rFonts w:ascii="NewBaskerville" w:hAnsi="NewBaskerville"/>
          <w:sz w:val="20"/>
          <w:szCs w:val="20"/>
        </w:rPr>
        <w:t xml:space="preserve">. </w:t>
      </w:r>
      <w:r w:rsidR="008469C2" w:rsidRPr="00CE3273">
        <w:rPr>
          <w:rFonts w:ascii="NewBaskerville" w:hAnsi="NewBaskerville"/>
          <w:sz w:val="20"/>
          <w:szCs w:val="20"/>
        </w:rPr>
        <w:t>En consecuencia</w:t>
      </w:r>
      <w:r w:rsidR="001D5514" w:rsidRPr="00CE3273">
        <w:rPr>
          <w:rFonts w:ascii="NewBaskerville" w:hAnsi="NewBaskerville"/>
          <w:sz w:val="20"/>
          <w:szCs w:val="20"/>
        </w:rPr>
        <w:t xml:space="preserve"> se ha dotado una provisión por el importe del principal </w:t>
      </w:r>
      <w:r w:rsidRPr="00CE3273">
        <w:rPr>
          <w:rFonts w:ascii="NewBaskerville" w:hAnsi="NewBaskerville"/>
          <w:sz w:val="20"/>
          <w:szCs w:val="20"/>
        </w:rPr>
        <w:t>y los correspondientes</w:t>
      </w:r>
      <w:r w:rsidR="001D5514" w:rsidRPr="00CE3273">
        <w:rPr>
          <w:rFonts w:ascii="NewBaskerville" w:hAnsi="NewBaskerville"/>
          <w:sz w:val="20"/>
          <w:szCs w:val="20"/>
        </w:rPr>
        <w:t xml:space="preserve"> intereses de los recursos sobre los que aún no ha recaído sentencia, el principal </w:t>
      </w:r>
      <w:r w:rsidRPr="00CE3273">
        <w:rPr>
          <w:rFonts w:ascii="NewBaskerville" w:hAnsi="NewBaskerville"/>
          <w:sz w:val="20"/>
          <w:szCs w:val="20"/>
        </w:rPr>
        <w:t xml:space="preserve">se contabiliza </w:t>
      </w:r>
      <w:r w:rsidR="001D5514" w:rsidRPr="00CE3273">
        <w:rPr>
          <w:rFonts w:ascii="NewBaskerville" w:hAnsi="NewBaskerville"/>
          <w:sz w:val="20"/>
          <w:szCs w:val="20"/>
        </w:rPr>
        <w:t>c</w:t>
      </w:r>
      <w:r w:rsidRPr="00CE3273">
        <w:rPr>
          <w:rFonts w:ascii="NewBaskerville" w:hAnsi="NewBaskerville"/>
          <w:sz w:val="20"/>
          <w:szCs w:val="20"/>
        </w:rPr>
        <w:t>omo</w:t>
      </w:r>
      <w:r w:rsidR="001D5514" w:rsidRPr="00CE3273">
        <w:rPr>
          <w:rFonts w:ascii="NewBaskerville" w:hAnsi="NewBaskerville"/>
          <w:sz w:val="20"/>
          <w:szCs w:val="20"/>
        </w:rPr>
        <w:t xml:space="preserve"> gastos excepcionales y los intereses </w:t>
      </w:r>
      <w:r w:rsidRPr="00CE3273">
        <w:rPr>
          <w:rFonts w:ascii="NewBaskerville" w:hAnsi="NewBaskerville"/>
          <w:sz w:val="20"/>
          <w:szCs w:val="20"/>
        </w:rPr>
        <w:t>como</w:t>
      </w:r>
      <w:r w:rsidR="001D5514" w:rsidRPr="00CE3273">
        <w:rPr>
          <w:rFonts w:ascii="NewBaskerville" w:hAnsi="NewBaskerville"/>
          <w:sz w:val="20"/>
          <w:szCs w:val="20"/>
        </w:rPr>
        <w:t xml:space="preserve"> gastos financieros.</w:t>
      </w:r>
      <w:r w:rsidR="00335D25">
        <w:rPr>
          <w:rFonts w:ascii="NewBaskerville" w:hAnsi="NewBaskerville"/>
          <w:sz w:val="20"/>
          <w:szCs w:val="20"/>
        </w:rPr>
        <w:t xml:space="preserve"> </w:t>
      </w:r>
      <w:r w:rsidR="00F00EE6">
        <w:rPr>
          <w:rFonts w:ascii="NewBaskerville" w:hAnsi="NewBaskerville"/>
          <w:sz w:val="20"/>
          <w:szCs w:val="20"/>
        </w:rPr>
        <w:t>El importe provisionado a 31/12/202</w:t>
      </w:r>
      <w:r w:rsidR="001A55AC">
        <w:rPr>
          <w:rFonts w:ascii="NewBaskerville" w:hAnsi="NewBaskerville"/>
          <w:sz w:val="20"/>
          <w:szCs w:val="20"/>
        </w:rPr>
        <w:t>3</w:t>
      </w:r>
      <w:r w:rsidR="00F00EE6">
        <w:rPr>
          <w:rFonts w:ascii="NewBaskerville" w:hAnsi="NewBaskerville"/>
          <w:sz w:val="20"/>
          <w:szCs w:val="20"/>
        </w:rPr>
        <w:t xml:space="preserve"> asciende a </w:t>
      </w:r>
      <w:r w:rsidR="005E76DE">
        <w:rPr>
          <w:rFonts w:ascii="NewBaskerville" w:hAnsi="NewBaskerville"/>
          <w:sz w:val="20"/>
          <w:szCs w:val="20"/>
        </w:rPr>
        <w:t>501.750,8</w:t>
      </w:r>
      <w:r w:rsidR="00411251">
        <w:rPr>
          <w:rFonts w:ascii="NewBaskerville" w:hAnsi="NewBaskerville"/>
          <w:sz w:val="20"/>
          <w:szCs w:val="20"/>
        </w:rPr>
        <w:t>2</w:t>
      </w:r>
      <w:r w:rsidR="00F00EE6">
        <w:rPr>
          <w:rFonts w:ascii="NewBaskerville" w:hAnsi="NewBaskerville"/>
          <w:sz w:val="20"/>
          <w:szCs w:val="20"/>
        </w:rPr>
        <w:t xml:space="preserve"> euros (63.782,44 </w:t>
      </w:r>
      <w:r w:rsidR="004070B0">
        <w:rPr>
          <w:rFonts w:ascii="NewBaskerville" w:hAnsi="NewBaskerville"/>
          <w:sz w:val="20"/>
          <w:szCs w:val="20"/>
        </w:rPr>
        <w:t xml:space="preserve">euros </w:t>
      </w:r>
      <w:r w:rsidR="00F00EE6">
        <w:rPr>
          <w:rFonts w:ascii="NewBaskerville" w:hAnsi="NewBaskerville"/>
          <w:sz w:val="20"/>
          <w:szCs w:val="20"/>
        </w:rPr>
        <w:t>para principales, 43</w:t>
      </w:r>
      <w:r w:rsidR="001A55AC">
        <w:rPr>
          <w:rFonts w:ascii="NewBaskerville" w:hAnsi="NewBaskerville"/>
          <w:sz w:val="20"/>
          <w:szCs w:val="20"/>
        </w:rPr>
        <w:t>7</w:t>
      </w:r>
      <w:r w:rsidR="00F00EE6">
        <w:rPr>
          <w:rFonts w:ascii="NewBaskerville" w:hAnsi="NewBaskerville"/>
          <w:sz w:val="20"/>
          <w:szCs w:val="20"/>
        </w:rPr>
        <w:t>.</w:t>
      </w:r>
      <w:r w:rsidR="001A55AC">
        <w:rPr>
          <w:rFonts w:ascii="NewBaskerville" w:hAnsi="NewBaskerville"/>
          <w:sz w:val="20"/>
          <w:szCs w:val="20"/>
        </w:rPr>
        <w:t>968</w:t>
      </w:r>
      <w:r w:rsidR="00F00EE6">
        <w:rPr>
          <w:rFonts w:ascii="NewBaskerville" w:hAnsi="NewBaskerville"/>
          <w:sz w:val="20"/>
          <w:szCs w:val="20"/>
        </w:rPr>
        <w:t>,</w:t>
      </w:r>
      <w:r w:rsidR="005E76DE">
        <w:rPr>
          <w:rFonts w:ascii="NewBaskerville" w:hAnsi="NewBaskerville"/>
          <w:sz w:val="20"/>
          <w:szCs w:val="20"/>
        </w:rPr>
        <w:t>3</w:t>
      </w:r>
      <w:r w:rsidR="00411251">
        <w:rPr>
          <w:rFonts w:ascii="NewBaskerville" w:hAnsi="NewBaskerville"/>
          <w:sz w:val="20"/>
          <w:szCs w:val="20"/>
        </w:rPr>
        <w:t>8</w:t>
      </w:r>
      <w:r w:rsidR="00F00EE6">
        <w:rPr>
          <w:rFonts w:ascii="NewBaskerville" w:hAnsi="NewBaskerville"/>
          <w:sz w:val="20"/>
          <w:szCs w:val="20"/>
        </w:rPr>
        <w:t xml:space="preserve"> </w:t>
      </w:r>
      <w:r w:rsidR="004070B0">
        <w:rPr>
          <w:rFonts w:ascii="NewBaskerville" w:hAnsi="NewBaskerville"/>
          <w:sz w:val="20"/>
          <w:szCs w:val="20"/>
        </w:rPr>
        <w:t>euros</w:t>
      </w:r>
      <w:r w:rsidR="00F00EE6">
        <w:rPr>
          <w:rFonts w:ascii="NewBaskerville" w:hAnsi="NewBaskerville"/>
          <w:sz w:val="20"/>
          <w:szCs w:val="20"/>
        </w:rPr>
        <w:t xml:space="preserve"> de intereses), en el ejercicio se ha actualizado financieramente la provisión en </w:t>
      </w:r>
      <w:r w:rsidR="001A55AC">
        <w:rPr>
          <w:rFonts w:ascii="NewBaskerville" w:hAnsi="NewBaskerville"/>
          <w:sz w:val="20"/>
          <w:szCs w:val="20"/>
        </w:rPr>
        <w:t>2</w:t>
      </w:r>
      <w:r w:rsidR="00F00EE6">
        <w:rPr>
          <w:rFonts w:ascii="NewBaskerville" w:hAnsi="NewBaskerville"/>
          <w:sz w:val="20"/>
          <w:szCs w:val="20"/>
        </w:rPr>
        <w:t>.</w:t>
      </w:r>
      <w:r w:rsidR="001A55AC">
        <w:rPr>
          <w:rFonts w:ascii="NewBaskerville" w:hAnsi="NewBaskerville"/>
          <w:sz w:val="20"/>
          <w:szCs w:val="20"/>
        </w:rPr>
        <w:t>072</w:t>
      </w:r>
      <w:r w:rsidR="00F00EE6">
        <w:rPr>
          <w:rFonts w:ascii="NewBaskerville" w:hAnsi="NewBaskerville"/>
          <w:sz w:val="20"/>
          <w:szCs w:val="20"/>
        </w:rPr>
        <w:t>,</w:t>
      </w:r>
      <w:r w:rsidR="001A55AC">
        <w:rPr>
          <w:rFonts w:ascii="NewBaskerville" w:hAnsi="NewBaskerville"/>
          <w:sz w:val="20"/>
          <w:szCs w:val="20"/>
        </w:rPr>
        <w:t>93</w:t>
      </w:r>
      <w:r w:rsidR="00F00EE6">
        <w:rPr>
          <w:rFonts w:ascii="NewBaskerville" w:hAnsi="NewBaskerville"/>
          <w:sz w:val="20"/>
          <w:szCs w:val="20"/>
        </w:rPr>
        <w:t xml:space="preserve"> </w:t>
      </w:r>
      <w:r w:rsidR="004070B0">
        <w:rPr>
          <w:rFonts w:ascii="NewBaskerville" w:hAnsi="NewBaskerville"/>
          <w:sz w:val="20"/>
          <w:szCs w:val="20"/>
        </w:rPr>
        <w:t>euros</w:t>
      </w:r>
      <w:r w:rsidR="00F00EE6">
        <w:rPr>
          <w:sz w:val="20"/>
          <w:szCs w:val="20"/>
        </w:rPr>
        <w:t>.</w:t>
      </w:r>
    </w:p>
    <w:p w:rsidR="00AE63D4" w:rsidRPr="00CE3273" w:rsidRDefault="00AE63D4" w:rsidP="00CE3273">
      <w:pPr>
        <w:pStyle w:val="Sangra3detindependiente"/>
        <w:ind w:firstLine="567"/>
        <w:rPr>
          <w:rFonts w:ascii="NewBaskerville" w:hAnsi="NewBaskerville"/>
          <w:sz w:val="20"/>
          <w:szCs w:val="20"/>
        </w:rPr>
      </w:pPr>
    </w:p>
    <w:p w:rsidR="00AE63D4" w:rsidRPr="00EF3801" w:rsidRDefault="002C4355" w:rsidP="00CE3273">
      <w:pPr>
        <w:pStyle w:val="Sangra3detindependiente"/>
        <w:tabs>
          <w:tab w:val="clear" w:pos="5671"/>
          <w:tab w:val="clear" w:pos="7797"/>
          <w:tab w:val="right" w:pos="8364"/>
        </w:tabs>
        <w:ind w:firstLine="567"/>
        <w:rPr>
          <w:sz w:val="20"/>
          <w:szCs w:val="20"/>
        </w:rPr>
      </w:pPr>
      <w:r w:rsidRPr="00CE3273">
        <w:rPr>
          <w:rFonts w:ascii="NewBaskerville" w:hAnsi="NewBaskerville"/>
          <w:sz w:val="20"/>
          <w:szCs w:val="20"/>
        </w:rPr>
        <w:t>En cuanto a las sentencias</w:t>
      </w:r>
      <w:r w:rsidR="004F501D" w:rsidRPr="00CE3273">
        <w:rPr>
          <w:rFonts w:ascii="NewBaskerville" w:hAnsi="NewBaskerville"/>
          <w:sz w:val="20"/>
          <w:szCs w:val="20"/>
        </w:rPr>
        <w:t xml:space="preserve"> firmes</w:t>
      </w:r>
      <w:r w:rsidRPr="00CE3273">
        <w:rPr>
          <w:rFonts w:ascii="NewBaskerville" w:hAnsi="NewBaskerville"/>
          <w:sz w:val="20"/>
          <w:szCs w:val="20"/>
        </w:rPr>
        <w:t>, dado que</w:t>
      </w:r>
      <w:r w:rsidR="004F501D" w:rsidRPr="00CE3273">
        <w:rPr>
          <w:rFonts w:ascii="NewBaskerville" w:hAnsi="NewBaskerville"/>
          <w:sz w:val="20"/>
          <w:szCs w:val="20"/>
        </w:rPr>
        <w:t xml:space="preserve"> </w:t>
      </w:r>
      <w:r w:rsidR="005A1C82" w:rsidRPr="00CE3273">
        <w:rPr>
          <w:rFonts w:ascii="NewBaskerville" w:hAnsi="NewBaskerville"/>
          <w:sz w:val="20"/>
          <w:szCs w:val="20"/>
        </w:rPr>
        <w:t xml:space="preserve">no es un pasivo indeterminado </w:t>
      </w:r>
      <w:r w:rsidRPr="00CE3273">
        <w:rPr>
          <w:rFonts w:ascii="NewBaskerville" w:hAnsi="NewBaskerville"/>
          <w:sz w:val="20"/>
          <w:szCs w:val="20"/>
        </w:rPr>
        <w:t xml:space="preserve">en cuánto al importe, </w:t>
      </w:r>
      <w:r w:rsidR="00594948" w:rsidRPr="00CE3273">
        <w:rPr>
          <w:rFonts w:ascii="NewBaskerville" w:hAnsi="NewBaskerville"/>
          <w:sz w:val="20"/>
          <w:szCs w:val="20"/>
        </w:rPr>
        <w:t>está</w:t>
      </w:r>
      <w:r w:rsidRPr="00CE3273">
        <w:rPr>
          <w:rFonts w:ascii="NewBaskerville" w:hAnsi="NewBaskerville"/>
          <w:sz w:val="20"/>
          <w:szCs w:val="20"/>
        </w:rPr>
        <w:t xml:space="preserve"> registrado en la cuenta “Acreedores varios” por el importe del princip</w:t>
      </w:r>
      <w:r w:rsidR="000652F5" w:rsidRPr="00CE3273">
        <w:rPr>
          <w:rFonts w:ascii="NewBaskerville" w:hAnsi="NewBaskerville"/>
          <w:sz w:val="20"/>
          <w:szCs w:val="20"/>
        </w:rPr>
        <w:t>al más los intereses de demora. El im</w:t>
      </w:r>
      <w:r w:rsidR="00CE53E8" w:rsidRPr="00CE3273">
        <w:rPr>
          <w:rFonts w:ascii="NewBaskerville" w:hAnsi="NewBaskerville"/>
          <w:sz w:val="20"/>
          <w:szCs w:val="20"/>
        </w:rPr>
        <w:t xml:space="preserve">porte de esta cuenta </w:t>
      </w:r>
      <w:r w:rsidR="009A5AA7" w:rsidRPr="00CE3273">
        <w:rPr>
          <w:rFonts w:ascii="NewBaskerville" w:hAnsi="NewBaskerville"/>
          <w:sz w:val="20"/>
          <w:szCs w:val="20"/>
        </w:rPr>
        <w:t>a 31/12/202</w:t>
      </w:r>
      <w:r w:rsidR="001A55AC">
        <w:rPr>
          <w:rFonts w:ascii="NewBaskerville" w:hAnsi="NewBaskerville"/>
          <w:sz w:val="20"/>
          <w:szCs w:val="20"/>
        </w:rPr>
        <w:t>3</w:t>
      </w:r>
      <w:r w:rsidR="000652F5" w:rsidRPr="00CE3273">
        <w:rPr>
          <w:rFonts w:ascii="NewBaskerville" w:hAnsi="NewBaskerville"/>
          <w:sz w:val="20"/>
          <w:szCs w:val="20"/>
        </w:rPr>
        <w:t xml:space="preserve"> es de </w:t>
      </w:r>
      <w:r w:rsidR="009A5AA7" w:rsidRPr="00CE3273">
        <w:rPr>
          <w:rFonts w:ascii="NewBaskerville" w:hAnsi="NewBaskerville"/>
          <w:sz w:val="20"/>
          <w:szCs w:val="20"/>
        </w:rPr>
        <w:t>14</w:t>
      </w:r>
      <w:r w:rsidR="00D72C3A">
        <w:rPr>
          <w:rFonts w:ascii="NewBaskerville" w:hAnsi="NewBaskerville"/>
          <w:sz w:val="20"/>
          <w:szCs w:val="20"/>
        </w:rPr>
        <w:t>6</w:t>
      </w:r>
      <w:r w:rsidR="009A5AA7" w:rsidRPr="00CE3273">
        <w:rPr>
          <w:rFonts w:ascii="NewBaskerville" w:hAnsi="NewBaskerville"/>
          <w:sz w:val="20"/>
          <w:szCs w:val="20"/>
        </w:rPr>
        <w:t>.</w:t>
      </w:r>
      <w:r w:rsidR="00D72C3A">
        <w:rPr>
          <w:rFonts w:ascii="NewBaskerville" w:hAnsi="NewBaskerville"/>
          <w:sz w:val="20"/>
          <w:szCs w:val="20"/>
        </w:rPr>
        <w:t>471</w:t>
      </w:r>
      <w:r w:rsidR="009A5AA7" w:rsidRPr="00CE3273">
        <w:rPr>
          <w:rFonts w:ascii="NewBaskerville" w:hAnsi="NewBaskerville"/>
          <w:sz w:val="20"/>
          <w:szCs w:val="20"/>
        </w:rPr>
        <w:t>,</w:t>
      </w:r>
      <w:r w:rsidR="00D72C3A">
        <w:rPr>
          <w:rFonts w:ascii="NewBaskerville" w:hAnsi="NewBaskerville"/>
          <w:sz w:val="20"/>
          <w:szCs w:val="20"/>
        </w:rPr>
        <w:t>43</w:t>
      </w:r>
      <w:r w:rsidR="000652F5" w:rsidRPr="00CE3273">
        <w:rPr>
          <w:rFonts w:ascii="NewBaskerville" w:hAnsi="NewBaskerville"/>
          <w:sz w:val="20"/>
          <w:szCs w:val="20"/>
        </w:rPr>
        <w:t xml:space="preserve"> </w:t>
      </w:r>
      <w:r w:rsidR="004070B0">
        <w:rPr>
          <w:rFonts w:ascii="NewBaskerville" w:hAnsi="NewBaskerville"/>
          <w:sz w:val="20"/>
          <w:szCs w:val="20"/>
        </w:rPr>
        <w:t>euros</w:t>
      </w:r>
      <w:r w:rsidR="000652F5" w:rsidRPr="00CE3273">
        <w:rPr>
          <w:rFonts w:ascii="NewBaskerville" w:hAnsi="NewBaskerville"/>
          <w:sz w:val="20"/>
          <w:szCs w:val="20"/>
        </w:rPr>
        <w:t xml:space="preserve"> (</w:t>
      </w:r>
      <w:r w:rsidR="009A5AA7" w:rsidRPr="00CE3273">
        <w:rPr>
          <w:rFonts w:ascii="NewBaskerville" w:hAnsi="NewBaskerville"/>
          <w:sz w:val="20"/>
          <w:szCs w:val="20"/>
        </w:rPr>
        <w:t>60.709,72</w:t>
      </w:r>
      <w:r w:rsidR="00EF3801">
        <w:rPr>
          <w:rFonts w:ascii="NewBaskerville" w:hAnsi="NewBaskerville"/>
          <w:sz w:val="20"/>
          <w:szCs w:val="20"/>
        </w:rPr>
        <w:t xml:space="preserve"> </w:t>
      </w:r>
      <w:r w:rsidR="004070B0">
        <w:rPr>
          <w:rFonts w:ascii="NewBaskerville" w:hAnsi="NewBaskerville"/>
          <w:sz w:val="20"/>
          <w:szCs w:val="20"/>
        </w:rPr>
        <w:t>euros</w:t>
      </w:r>
      <w:r w:rsidR="000652F5" w:rsidRPr="00CE3273">
        <w:rPr>
          <w:rFonts w:ascii="NewBaskerville" w:hAnsi="NewBaskerville"/>
          <w:sz w:val="20"/>
          <w:szCs w:val="20"/>
        </w:rPr>
        <w:t xml:space="preserve"> corresponden al principal y </w:t>
      </w:r>
      <w:r w:rsidR="009A5AA7" w:rsidRPr="00CE3273">
        <w:rPr>
          <w:rFonts w:ascii="NewBaskerville" w:hAnsi="NewBaskerville"/>
          <w:sz w:val="20"/>
          <w:szCs w:val="20"/>
        </w:rPr>
        <w:t>8</w:t>
      </w:r>
      <w:r w:rsidR="00D72C3A">
        <w:rPr>
          <w:rFonts w:ascii="NewBaskerville" w:hAnsi="NewBaskerville"/>
          <w:sz w:val="20"/>
          <w:szCs w:val="20"/>
        </w:rPr>
        <w:t>5</w:t>
      </w:r>
      <w:r w:rsidR="009A5AA7" w:rsidRPr="00CE3273">
        <w:rPr>
          <w:rFonts w:ascii="NewBaskerville" w:hAnsi="NewBaskerville"/>
          <w:sz w:val="20"/>
          <w:szCs w:val="20"/>
        </w:rPr>
        <w:t>.</w:t>
      </w:r>
      <w:r w:rsidR="00D72C3A">
        <w:rPr>
          <w:rFonts w:ascii="NewBaskerville" w:hAnsi="NewBaskerville"/>
          <w:sz w:val="20"/>
          <w:szCs w:val="20"/>
        </w:rPr>
        <w:t>761</w:t>
      </w:r>
      <w:r w:rsidR="009A5AA7" w:rsidRPr="00CE3273">
        <w:rPr>
          <w:rFonts w:ascii="NewBaskerville" w:hAnsi="NewBaskerville"/>
          <w:sz w:val="20"/>
          <w:szCs w:val="20"/>
        </w:rPr>
        <w:t>,</w:t>
      </w:r>
      <w:r w:rsidR="00D72C3A">
        <w:rPr>
          <w:rFonts w:ascii="NewBaskerville" w:hAnsi="NewBaskerville"/>
          <w:sz w:val="20"/>
          <w:szCs w:val="20"/>
        </w:rPr>
        <w:t>71</w:t>
      </w:r>
      <w:r w:rsidR="000652F5" w:rsidRPr="00CE3273">
        <w:rPr>
          <w:rFonts w:ascii="NewBaskerville" w:hAnsi="NewBaskerville"/>
          <w:sz w:val="20"/>
          <w:szCs w:val="20"/>
        </w:rPr>
        <w:t xml:space="preserve"> </w:t>
      </w:r>
      <w:r w:rsidR="004070B0">
        <w:rPr>
          <w:rFonts w:ascii="NewBaskerville" w:hAnsi="NewBaskerville"/>
          <w:sz w:val="20"/>
          <w:szCs w:val="20"/>
        </w:rPr>
        <w:t>euros</w:t>
      </w:r>
      <w:r w:rsidR="000652F5" w:rsidRPr="00CE3273">
        <w:rPr>
          <w:rFonts w:ascii="NewBaskerville" w:hAnsi="NewBaskerville"/>
          <w:sz w:val="20"/>
          <w:szCs w:val="20"/>
        </w:rPr>
        <w:t xml:space="preserve"> a intereses</w:t>
      </w:r>
      <w:r w:rsidR="00073A81" w:rsidRPr="00CE3273">
        <w:rPr>
          <w:rFonts w:ascii="NewBaskerville" w:hAnsi="NewBaskerville"/>
          <w:sz w:val="20"/>
          <w:szCs w:val="20"/>
        </w:rPr>
        <w:t>)</w:t>
      </w:r>
      <w:r w:rsidR="000652F5" w:rsidRPr="00CE3273">
        <w:rPr>
          <w:rFonts w:ascii="NewBaskerville" w:hAnsi="NewBaskerville"/>
          <w:sz w:val="20"/>
          <w:szCs w:val="20"/>
        </w:rPr>
        <w:t xml:space="preserve">. </w:t>
      </w:r>
      <w:r w:rsidR="00D72C3A">
        <w:rPr>
          <w:rFonts w:ascii="NewBaskerville" w:hAnsi="NewBaskerville"/>
          <w:sz w:val="20"/>
          <w:szCs w:val="20"/>
        </w:rPr>
        <w:t>Se ha</w:t>
      </w:r>
      <w:r w:rsidR="00EF3801">
        <w:rPr>
          <w:rFonts w:ascii="NewBaskerville" w:hAnsi="NewBaskerville"/>
          <w:sz w:val="20"/>
          <w:szCs w:val="20"/>
        </w:rPr>
        <w:t xml:space="preserve"> actualizado financieramente </w:t>
      </w:r>
      <w:r w:rsidR="004070B0">
        <w:rPr>
          <w:rFonts w:ascii="NewBaskerville" w:hAnsi="NewBaskerville"/>
          <w:sz w:val="20"/>
          <w:szCs w:val="20"/>
        </w:rPr>
        <w:t xml:space="preserve">en </w:t>
      </w:r>
      <w:r w:rsidR="00EF3801">
        <w:rPr>
          <w:rFonts w:ascii="NewBaskerville" w:hAnsi="NewBaskerville"/>
          <w:sz w:val="20"/>
          <w:szCs w:val="20"/>
        </w:rPr>
        <w:t>4.</w:t>
      </w:r>
      <w:r w:rsidR="00D72C3A">
        <w:rPr>
          <w:rFonts w:ascii="NewBaskerville" w:hAnsi="NewBaskerville"/>
          <w:sz w:val="20"/>
          <w:szCs w:val="20"/>
        </w:rPr>
        <w:t>295</w:t>
      </w:r>
      <w:r w:rsidR="00EF3801">
        <w:rPr>
          <w:rFonts w:ascii="NewBaskerville" w:hAnsi="NewBaskerville"/>
          <w:sz w:val="20"/>
          <w:szCs w:val="20"/>
        </w:rPr>
        <w:t>,</w:t>
      </w:r>
      <w:r w:rsidR="00D72C3A">
        <w:rPr>
          <w:rFonts w:ascii="NewBaskerville" w:hAnsi="NewBaskerville"/>
          <w:sz w:val="20"/>
          <w:szCs w:val="20"/>
        </w:rPr>
        <w:t>74</w:t>
      </w:r>
      <w:r w:rsidR="00EF3801">
        <w:rPr>
          <w:rFonts w:ascii="NewBaskerville" w:hAnsi="NewBaskerville"/>
          <w:sz w:val="20"/>
          <w:szCs w:val="20"/>
        </w:rPr>
        <w:t xml:space="preserve"> </w:t>
      </w:r>
      <w:r w:rsidR="005A43D4">
        <w:rPr>
          <w:rFonts w:ascii="NewBaskerville" w:hAnsi="NewBaskerville"/>
          <w:sz w:val="20"/>
          <w:szCs w:val="20"/>
        </w:rPr>
        <w:t>euros</w:t>
      </w:r>
      <w:r w:rsidR="00335D25">
        <w:rPr>
          <w:sz w:val="20"/>
          <w:szCs w:val="20"/>
        </w:rPr>
        <w:t>.</w:t>
      </w:r>
      <w:r w:rsidR="00EF3801">
        <w:rPr>
          <w:sz w:val="20"/>
          <w:szCs w:val="20"/>
        </w:rPr>
        <w:t xml:space="preserve">  </w:t>
      </w:r>
    </w:p>
    <w:p w:rsidR="0006790B" w:rsidRDefault="0006790B" w:rsidP="00514E88">
      <w:pPr>
        <w:pStyle w:val="Sangra3detindependiente"/>
        <w:tabs>
          <w:tab w:val="right" w:pos="8364"/>
        </w:tabs>
        <w:ind w:left="567" w:hanging="27"/>
        <w:rPr>
          <w:sz w:val="20"/>
          <w:szCs w:val="20"/>
          <w:lang w:val="es-ES"/>
        </w:rPr>
      </w:pPr>
    </w:p>
    <w:p w:rsidR="00514E88" w:rsidRPr="00335D25" w:rsidRDefault="00514E88" w:rsidP="00514E88">
      <w:pPr>
        <w:numPr>
          <w:ilvl w:val="0"/>
          <w:numId w:val="2"/>
        </w:numPr>
        <w:tabs>
          <w:tab w:val="right" w:pos="8364"/>
        </w:tabs>
        <w:rPr>
          <w:rFonts w:ascii="NewBaskerville" w:hAnsi="NewBaskerville"/>
          <w:bCs/>
          <w:u w:val="single"/>
        </w:rPr>
      </w:pPr>
      <w:r w:rsidRPr="00335D25">
        <w:rPr>
          <w:rFonts w:ascii="NewBaskerville" w:hAnsi="NewBaskerville"/>
          <w:bCs/>
          <w:u w:val="single"/>
          <w:lang w:val="es-ES"/>
        </w:rPr>
        <w:t>Demanda “UTE ATRAQUE GRANDES BUQUES”</w:t>
      </w:r>
    </w:p>
    <w:p w:rsidR="00F32685" w:rsidRPr="005C285D" w:rsidRDefault="00F32685" w:rsidP="00F32685">
      <w:pPr>
        <w:tabs>
          <w:tab w:val="right" w:pos="8364"/>
        </w:tabs>
        <w:ind w:left="720"/>
        <w:rPr>
          <w:bCs/>
          <w:u w:val="single"/>
        </w:rPr>
      </w:pPr>
    </w:p>
    <w:p w:rsidR="00514E88" w:rsidRPr="00F00EE6" w:rsidRDefault="00514E88" w:rsidP="00F00EE6">
      <w:pPr>
        <w:tabs>
          <w:tab w:val="right" w:pos="8364"/>
        </w:tabs>
        <w:ind w:firstLine="567"/>
        <w:jc w:val="both"/>
        <w:rPr>
          <w:rFonts w:ascii="NewBaskerville" w:hAnsi="NewBaskerville"/>
          <w:bCs/>
          <w:lang w:val="es-ES"/>
        </w:rPr>
      </w:pPr>
      <w:r w:rsidRPr="00F00EE6">
        <w:rPr>
          <w:rFonts w:ascii="NewBaskerville" w:hAnsi="NewBaskerville"/>
          <w:bCs/>
          <w:lang w:val="es-ES"/>
        </w:rPr>
        <w:t xml:space="preserve">Con fecha 9 de marzo 2018 se presentó demanda ante el Juzgado de Primera Instancia de Palma de Mallorca por la entidad COPCISA S.A Y CONSTRUCCIONES OLIVES S.L, UNION TEMPORAL DE </w:t>
      </w:r>
      <w:r w:rsidR="008155BC" w:rsidRPr="00F00EE6">
        <w:rPr>
          <w:rFonts w:ascii="NewBaskerville" w:hAnsi="NewBaskerville"/>
          <w:bCs/>
          <w:lang w:val="es-ES"/>
        </w:rPr>
        <w:t>EMPRESAS,</w:t>
      </w:r>
      <w:r w:rsidRPr="00F00EE6">
        <w:rPr>
          <w:rFonts w:ascii="NewBaskerville" w:hAnsi="NewBaskerville"/>
          <w:bCs/>
          <w:lang w:val="es-ES"/>
        </w:rPr>
        <w:t xml:space="preserve"> LEY 18/1982, de 26 de Mayo,  como consecuencia del incumplimiento </w:t>
      </w:r>
      <w:r w:rsidR="008155BC" w:rsidRPr="00F00EE6">
        <w:rPr>
          <w:rFonts w:ascii="NewBaskerville" w:hAnsi="NewBaskerville"/>
          <w:bCs/>
          <w:lang w:val="es-ES"/>
        </w:rPr>
        <w:t>contractual</w:t>
      </w:r>
      <w:r w:rsidRPr="00F00EE6">
        <w:rPr>
          <w:rFonts w:ascii="NewBaskerville" w:hAnsi="NewBaskerville"/>
          <w:bCs/>
          <w:lang w:val="es-ES"/>
        </w:rPr>
        <w:t xml:space="preserve"> de la A</w:t>
      </w:r>
      <w:r w:rsidR="00A861CC">
        <w:rPr>
          <w:rFonts w:ascii="NewBaskerville" w:hAnsi="NewBaskerville"/>
          <w:bCs/>
          <w:lang w:val="es-ES"/>
        </w:rPr>
        <w:t>utoridad</w:t>
      </w:r>
      <w:r w:rsidRPr="00F00EE6">
        <w:rPr>
          <w:rFonts w:ascii="NewBaskerville" w:hAnsi="NewBaskerville"/>
          <w:bCs/>
          <w:lang w:val="es-ES"/>
        </w:rPr>
        <w:t xml:space="preserve"> P</w:t>
      </w:r>
      <w:r w:rsidR="00A861CC">
        <w:rPr>
          <w:rFonts w:ascii="NewBaskerville" w:hAnsi="NewBaskerville"/>
          <w:bCs/>
          <w:lang w:val="es-ES"/>
        </w:rPr>
        <w:t>ortuaria</w:t>
      </w:r>
      <w:r w:rsidRPr="00F00EE6">
        <w:rPr>
          <w:rFonts w:ascii="NewBaskerville" w:hAnsi="NewBaskerville"/>
          <w:bCs/>
          <w:lang w:val="es-ES"/>
        </w:rPr>
        <w:t xml:space="preserve"> </w:t>
      </w:r>
      <w:r w:rsidR="00A861CC">
        <w:rPr>
          <w:rFonts w:ascii="NewBaskerville" w:hAnsi="NewBaskerville"/>
          <w:bCs/>
          <w:lang w:val="es-ES"/>
        </w:rPr>
        <w:t>de Baleares</w:t>
      </w:r>
      <w:r w:rsidRPr="00F00EE6">
        <w:rPr>
          <w:rFonts w:ascii="NewBaskerville" w:hAnsi="NewBaskerville"/>
          <w:bCs/>
          <w:lang w:val="es-ES"/>
        </w:rPr>
        <w:t xml:space="preserve"> relativo a la obligación de pago de los costes soportados </w:t>
      </w:r>
      <w:r w:rsidR="008155BC" w:rsidRPr="00F00EE6">
        <w:rPr>
          <w:rFonts w:ascii="NewBaskerville" w:hAnsi="NewBaskerville"/>
          <w:bCs/>
          <w:lang w:val="es-ES"/>
        </w:rPr>
        <w:t>por</w:t>
      </w:r>
      <w:r w:rsidRPr="00F00EE6">
        <w:rPr>
          <w:rFonts w:ascii="NewBaskerville" w:hAnsi="NewBaskerville"/>
          <w:bCs/>
          <w:lang w:val="es-ES"/>
        </w:rPr>
        <w:t xml:space="preserve"> la UTE para la ejecución de un contrato de obras.</w:t>
      </w:r>
    </w:p>
    <w:p w:rsidR="00514E88" w:rsidRPr="00F00EE6" w:rsidRDefault="00514E88" w:rsidP="00F00EE6">
      <w:pPr>
        <w:tabs>
          <w:tab w:val="right" w:pos="8364"/>
        </w:tabs>
        <w:ind w:firstLine="567"/>
        <w:jc w:val="both"/>
        <w:rPr>
          <w:rFonts w:ascii="NewBaskerville" w:hAnsi="NewBaskerville"/>
          <w:bCs/>
          <w:lang w:val="es-ES"/>
        </w:rPr>
      </w:pPr>
    </w:p>
    <w:p w:rsidR="00514E88" w:rsidRPr="00F00EE6" w:rsidRDefault="00514E88" w:rsidP="00F00EE6">
      <w:pPr>
        <w:tabs>
          <w:tab w:val="right" w:pos="8364"/>
        </w:tabs>
        <w:ind w:firstLine="567"/>
        <w:jc w:val="both"/>
        <w:rPr>
          <w:rFonts w:ascii="NewBaskerville" w:hAnsi="NewBaskerville"/>
          <w:bCs/>
          <w:lang w:val="es-ES"/>
        </w:rPr>
      </w:pPr>
      <w:r w:rsidRPr="00F00EE6">
        <w:rPr>
          <w:rFonts w:ascii="NewBaskerville" w:hAnsi="NewBaskerville"/>
          <w:bCs/>
          <w:lang w:val="es-ES"/>
        </w:rPr>
        <w:t xml:space="preserve">De acuerdo con la </w:t>
      </w:r>
      <w:r w:rsidR="008155BC" w:rsidRPr="00F00EE6">
        <w:rPr>
          <w:rFonts w:ascii="NewBaskerville" w:hAnsi="NewBaskerville"/>
          <w:bCs/>
          <w:lang w:val="es-ES"/>
        </w:rPr>
        <w:t>demanda,</w:t>
      </w:r>
      <w:r w:rsidRPr="00F00EE6">
        <w:rPr>
          <w:rFonts w:ascii="NewBaskerville" w:hAnsi="NewBaskerville"/>
          <w:bCs/>
          <w:lang w:val="es-ES"/>
        </w:rPr>
        <w:t xml:space="preserve"> el importe total de los sobrecostes </w:t>
      </w:r>
      <w:r w:rsidR="008155BC" w:rsidRPr="00F00EE6">
        <w:rPr>
          <w:rFonts w:ascii="NewBaskerville" w:hAnsi="NewBaskerville"/>
          <w:bCs/>
          <w:lang w:val="es-ES"/>
        </w:rPr>
        <w:t>asciende</w:t>
      </w:r>
      <w:r w:rsidRPr="00F00EE6">
        <w:rPr>
          <w:rFonts w:ascii="NewBaskerville" w:hAnsi="NewBaskerville"/>
          <w:bCs/>
          <w:lang w:val="es-ES"/>
        </w:rPr>
        <w:t xml:space="preserve"> a 1.939.059,25</w:t>
      </w:r>
      <w:r w:rsidR="005A43D4">
        <w:rPr>
          <w:rFonts w:ascii="NewBaskerville" w:hAnsi="NewBaskerville"/>
          <w:bCs/>
          <w:lang w:val="es-ES"/>
        </w:rPr>
        <w:t xml:space="preserve"> euros</w:t>
      </w:r>
      <w:r w:rsidRPr="00F00EE6">
        <w:rPr>
          <w:rFonts w:ascii="NewBaskerville" w:hAnsi="NewBaskerville"/>
          <w:bCs/>
          <w:lang w:val="es-ES"/>
        </w:rPr>
        <w:t xml:space="preserve"> </w:t>
      </w:r>
      <w:r w:rsidR="008155BC" w:rsidRPr="00F00EE6">
        <w:rPr>
          <w:rFonts w:ascii="NewBaskerville" w:hAnsi="NewBaskerville"/>
          <w:bCs/>
          <w:lang w:val="es-ES"/>
        </w:rPr>
        <w:t>correspondiendo</w:t>
      </w:r>
      <w:r w:rsidRPr="00F00EE6">
        <w:rPr>
          <w:rFonts w:ascii="NewBaskerville" w:hAnsi="NewBaskerville"/>
          <w:bCs/>
          <w:lang w:val="es-ES"/>
        </w:rPr>
        <w:t xml:space="preserve"> a costes directos por la obra </w:t>
      </w:r>
      <w:r w:rsidR="008155BC" w:rsidRPr="00F00EE6">
        <w:rPr>
          <w:rFonts w:ascii="NewBaskerville" w:hAnsi="NewBaskerville"/>
          <w:bCs/>
          <w:lang w:val="es-ES"/>
        </w:rPr>
        <w:t>ejecutada</w:t>
      </w:r>
      <w:r w:rsidRPr="00F00EE6">
        <w:rPr>
          <w:rFonts w:ascii="NewBaskerville" w:hAnsi="NewBaskerville"/>
          <w:bCs/>
          <w:lang w:val="es-ES"/>
        </w:rPr>
        <w:t xml:space="preserve"> y no abonada,  indemnización por diversos conceptos imputables a la APB e indemnización por retraso en el pago de las certificaciones de obra. </w:t>
      </w:r>
    </w:p>
    <w:p w:rsidR="00514E88" w:rsidRPr="00F00EE6" w:rsidRDefault="00514E88" w:rsidP="00F00EE6">
      <w:pPr>
        <w:tabs>
          <w:tab w:val="right" w:pos="8364"/>
        </w:tabs>
        <w:ind w:firstLine="567"/>
        <w:jc w:val="both"/>
        <w:rPr>
          <w:rFonts w:ascii="NewBaskerville" w:hAnsi="NewBaskerville"/>
          <w:bCs/>
          <w:lang w:val="es-ES"/>
        </w:rPr>
      </w:pPr>
    </w:p>
    <w:p w:rsidR="000C25EF" w:rsidRPr="004070B0" w:rsidRDefault="00514E88" w:rsidP="004070B0">
      <w:pPr>
        <w:tabs>
          <w:tab w:val="right" w:pos="8364"/>
        </w:tabs>
        <w:ind w:firstLine="567"/>
        <w:jc w:val="both"/>
        <w:rPr>
          <w:bCs/>
          <w:lang w:val="es-ES"/>
        </w:rPr>
      </w:pPr>
      <w:r w:rsidRPr="00F00EE6">
        <w:rPr>
          <w:rFonts w:ascii="NewBaskerville" w:hAnsi="NewBaskerville"/>
          <w:bCs/>
          <w:lang w:val="es-ES"/>
        </w:rPr>
        <w:t xml:space="preserve">La </w:t>
      </w:r>
      <w:r w:rsidR="002A504D">
        <w:rPr>
          <w:rFonts w:ascii="NewBaskerville" w:hAnsi="NewBaskerville"/>
          <w:bCs/>
          <w:lang w:val="es-ES"/>
        </w:rPr>
        <w:t>E</w:t>
      </w:r>
      <w:r w:rsidRPr="00F00EE6">
        <w:rPr>
          <w:rFonts w:ascii="NewBaskerville" w:hAnsi="NewBaskerville"/>
          <w:bCs/>
          <w:lang w:val="es-ES"/>
        </w:rPr>
        <w:t xml:space="preserve">ntidad no estando de acuerdo con el importe de la totalidad de la indemnización </w:t>
      </w:r>
      <w:r w:rsidR="004070B0">
        <w:rPr>
          <w:rFonts w:ascii="NewBaskerville" w:hAnsi="NewBaskerville"/>
          <w:bCs/>
          <w:lang w:val="es-ES"/>
        </w:rPr>
        <w:t>reclamada dotó una provisión en el ejercicio 2018 y 2021 que a 31/12/202</w:t>
      </w:r>
      <w:r w:rsidR="00D72C3A">
        <w:rPr>
          <w:rFonts w:ascii="NewBaskerville" w:hAnsi="NewBaskerville"/>
          <w:bCs/>
          <w:lang w:val="es-ES"/>
        </w:rPr>
        <w:t>3</w:t>
      </w:r>
      <w:r w:rsidR="004070B0">
        <w:rPr>
          <w:rFonts w:ascii="NewBaskerville" w:hAnsi="NewBaskerville"/>
          <w:bCs/>
          <w:lang w:val="es-ES"/>
        </w:rPr>
        <w:t xml:space="preserve"> asciende a 1.</w:t>
      </w:r>
      <w:r w:rsidR="00D72C3A">
        <w:rPr>
          <w:rFonts w:ascii="NewBaskerville" w:hAnsi="NewBaskerville"/>
          <w:bCs/>
          <w:lang w:val="es-ES"/>
        </w:rPr>
        <w:t>257</w:t>
      </w:r>
      <w:r w:rsidR="004070B0">
        <w:rPr>
          <w:rFonts w:ascii="NewBaskerville" w:hAnsi="NewBaskerville"/>
          <w:bCs/>
          <w:lang w:val="es-ES"/>
        </w:rPr>
        <w:t>.</w:t>
      </w:r>
      <w:r w:rsidR="00D72C3A">
        <w:rPr>
          <w:rFonts w:ascii="NewBaskerville" w:hAnsi="NewBaskerville"/>
          <w:bCs/>
          <w:lang w:val="es-ES"/>
        </w:rPr>
        <w:t>597</w:t>
      </w:r>
      <w:r w:rsidR="004070B0">
        <w:rPr>
          <w:rFonts w:ascii="NewBaskerville" w:hAnsi="NewBaskerville"/>
          <w:bCs/>
          <w:lang w:val="es-ES"/>
        </w:rPr>
        <w:t>,</w:t>
      </w:r>
      <w:r w:rsidR="00D72C3A">
        <w:rPr>
          <w:rFonts w:ascii="NewBaskerville" w:hAnsi="NewBaskerville"/>
          <w:bCs/>
          <w:lang w:val="es-ES"/>
        </w:rPr>
        <w:t>8</w:t>
      </w:r>
      <w:r w:rsidR="00B30744">
        <w:rPr>
          <w:rFonts w:ascii="NewBaskerville" w:hAnsi="NewBaskerville"/>
          <w:bCs/>
          <w:lang w:val="es-ES"/>
        </w:rPr>
        <w:t>2</w:t>
      </w:r>
      <w:r w:rsidR="004070B0">
        <w:rPr>
          <w:rFonts w:ascii="NewBaskerville" w:hAnsi="NewBaskerville"/>
          <w:bCs/>
          <w:lang w:val="es-ES"/>
        </w:rPr>
        <w:t xml:space="preserve"> </w:t>
      </w:r>
      <w:r w:rsidR="005A43D4">
        <w:rPr>
          <w:rFonts w:ascii="NewBaskerville" w:hAnsi="NewBaskerville"/>
          <w:bCs/>
          <w:lang w:val="es-ES"/>
        </w:rPr>
        <w:t>euros</w:t>
      </w:r>
      <w:r w:rsidR="004070B0">
        <w:rPr>
          <w:rFonts w:ascii="NewBaskerville" w:hAnsi="NewBaskerville"/>
          <w:bCs/>
          <w:lang w:val="es-ES"/>
        </w:rPr>
        <w:t>, en el ejercicio 202</w:t>
      </w:r>
      <w:r w:rsidR="00D72C3A">
        <w:rPr>
          <w:rFonts w:ascii="NewBaskerville" w:hAnsi="NewBaskerville"/>
          <w:bCs/>
          <w:lang w:val="es-ES"/>
        </w:rPr>
        <w:t>3</w:t>
      </w:r>
      <w:r w:rsidR="004070B0">
        <w:rPr>
          <w:rFonts w:ascii="NewBaskerville" w:hAnsi="NewBaskerville"/>
          <w:bCs/>
          <w:lang w:val="es-ES"/>
        </w:rPr>
        <w:t xml:space="preserve"> se ha actualizado financieramente en 3</w:t>
      </w:r>
      <w:r w:rsidR="00D72C3A">
        <w:rPr>
          <w:rFonts w:ascii="NewBaskerville" w:hAnsi="NewBaskerville"/>
          <w:bCs/>
          <w:lang w:val="es-ES"/>
        </w:rPr>
        <w:t>5</w:t>
      </w:r>
      <w:r w:rsidR="004070B0">
        <w:rPr>
          <w:rFonts w:ascii="NewBaskerville" w:hAnsi="NewBaskerville"/>
          <w:bCs/>
          <w:lang w:val="es-ES"/>
        </w:rPr>
        <w:t>.</w:t>
      </w:r>
      <w:r w:rsidR="00D72C3A">
        <w:rPr>
          <w:rFonts w:ascii="NewBaskerville" w:hAnsi="NewBaskerville"/>
          <w:bCs/>
          <w:lang w:val="es-ES"/>
        </w:rPr>
        <w:t>604</w:t>
      </w:r>
      <w:r w:rsidR="004070B0">
        <w:rPr>
          <w:rFonts w:ascii="NewBaskerville" w:hAnsi="NewBaskerville"/>
          <w:bCs/>
          <w:lang w:val="es-ES"/>
        </w:rPr>
        <w:t>,</w:t>
      </w:r>
      <w:r w:rsidR="00D72C3A">
        <w:rPr>
          <w:rFonts w:ascii="NewBaskerville" w:hAnsi="NewBaskerville"/>
          <w:bCs/>
          <w:lang w:val="es-ES"/>
        </w:rPr>
        <w:t>1</w:t>
      </w:r>
      <w:r w:rsidR="00412FBA">
        <w:rPr>
          <w:rFonts w:ascii="NewBaskerville" w:hAnsi="NewBaskerville"/>
          <w:bCs/>
          <w:lang w:val="es-ES"/>
        </w:rPr>
        <w:t>8</w:t>
      </w:r>
      <w:r w:rsidR="004070B0">
        <w:rPr>
          <w:rFonts w:ascii="NewBaskerville" w:hAnsi="NewBaskerville"/>
          <w:bCs/>
          <w:lang w:val="es-ES"/>
        </w:rPr>
        <w:t xml:space="preserve"> </w:t>
      </w:r>
      <w:r w:rsidR="005A43D4">
        <w:rPr>
          <w:rFonts w:ascii="NewBaskerville" w:hAnsi="NewBaskerville"/>
          <w:bCs/>
          <w:lang w:val="es-ES"/>
        </w:rPr>
        <w:t>euros</w:t>
      </w:r>
      <w:r w:rsidR="004070B0">
        <w:rPr>
          <w:bCs/>
          <w:lang w:val="es-ES"/>
        </w:rPr>
        <w:t>.</w:t>
      </w:r>
    </w:p>
    <w:p w:rsidR="00475B03" w:rsidRDefault="00475B03" w:rsidP="00514E88">
      <w:pPr>
        <w:tabs>
          <w:tab w:val="right" w:pos="8364"/>
        </w:tabs>
        <w:ind w:left="567"/>
        <w:jc w:val="both"/>
        <w:rPr>
          <w:bCs/>
          <w:lang w:val="es-ES"/>
        </w:rPr>
      </w:pPr>
    </w:p>
    <w:p w:rsidR="00514E88" w:rsidRPr="005A43D4" w:rsidRDefault="008155BC" w:rsidP="00514E88">
      <w:pPr>
        <w:numPr>
          <w:ilvl w:val="0"/>
          <w:numId w:val="2"/>
        </w:numPr>
        <w:tabs>
          <w:tab w:val="right" w:pos="8364"/>
        </w:tabs>
        <w:jc w:val="both"/>
        <w:rPr>
          <w:rFonts w:ascii="NewBaskerville" w:hAnsi="NewBaskerville"/>
          <w:bCs/>
          <w:u w:val="single"/>
        </w:rPr>
      </w:pPr>
      <w:r w:rsidRPr="005A43D4">
        <w:rPr>
          <w:rFonts w:ascii="NewBaskerville" w:hAnsi="NewBaskerville"/>
          <w:bCs/>
          <w:u w:val="single"/>
          <w:lang w:val="es-ES"/>
        </w:rPr>
        <w:t>Indemnización</w:t>
      </w:r>
      <w:r w:rsidR="00514E88" w:rsidRPr="005A43D4">
        <w:rPr>
          <w:rFonts w:ascii="NewBaskerville" w:hAnsi="NewBaskerville"/>
          <w:bCs/>
          <w:u w:val="single"/>
          <w:lang w:val="es-ES"/>
        </w:rPr>
        <w:t xml:space="preserve"> procedimientos administrativo  EM-720</w:t>
      </w:r>
    </w:p>
    <w:p w:rsidR="00536F43" w:rsidRPr="005C285D" w:rsidRDefault="00536F43" w:rsidP="00536F43">
      <w:pPr>
        <w:tabs>
          <w:tab w:val="right" w:pos="8364"/>
        </w:tabs>
        <w:ind w:left="360"/>
        <w:jc w:val="both"/>
        <w:rPr>
          <w:bCs/>
          <w:u w:val="single"/>
        </w:rPr>
      </w:pPr>
    </w:p>
    <w:p w:rsidR="00514E88" w:rsidRDefault="00514E88" w:rsidP="005A43D4">
      <w:pPr>
        <w:tabs>
          <w:tab w:val="right" w:pos="8364"/>
        </w:tabs>
        <w:ind w:firstLine="567"/>
        <w:jc w:val="both"/>
        <w:rPr>
          <w:rFonts w:ascii="NewBaskerville" w:hAnsi="NewBaskerville"/>
          <w:bCs/>
        </w:rPr>
      </w:pPr>
      <w:r w:rsidRPr="005A43D4">
        <w:rPr>
          <w:rFonts w:ascii="NewBaskerville" w:hAnsi="NewBaskerville"/>
          <w:bCs/>
        </w:rPr>
        <w:t>En fecha</w:t>
      </w:r>
      <w:r w:rsidR="00634FB6" w:rsidRPr="005A43D4">
        <w:rPr>
          <w:rFonts w:ascii="NewBaskerville" w:hAnsi="NewBaskerville"/>
          <w:bCs/>
        </w:rPr>
        <w:t xml:space="preserve"> 31 de marzo de 2017 el Tribuna</w:t>
      </w:r>
      <w:r w:rsidRPr="005A43D4">
        <w:rPr>
          <w:rFonts w:ascii="NewBaskerville" w:hAnsi="NewBaskerville"/>
          <w:bCs/>
        </w:rPr>
        <w:t>l Superior de Just</w:t>
      </w:r>
      <w:r w:rsidR="0019446E" w:rsidRPr="005A43D4">
        <w:rPr>
          <w:rFonts w:ascii="NewBaskerville" w:hAnsi="NewBaskerville"/>
          <w:bCs/>
        </w:rPr>
        <w:t>icia de les Illes Balears, anuló</w:t>
      </w:r>
      <w:r w:rsidRPr="005A43D4">
        <w:rPr>
          <w:rFonts w:ascii="NewBaskerville" w:hAnsi="NewBaskerville"/>
          <w:bCs/>
        </w:rPr>
        <w:t xml:space="preserve"> la </w:t>
      </w:r>
      <w:r w:rsidR="008155BC" w:rsidRPr="005A43D4">
        <w:rPr>
          <w:rFonts w:ascii="NewBaskerville" w:hAnsi="NewBaskerville"/>
          <w:bCs/>
        </w:rPr>
        <w:t>Resolución</w:t>
      </w:r>
      <w:r w:rsidRPr="005A43D4">
        <w:rPr>
          <w:rFonts w:ascii="NewBaskerville" w:hAnsi="NewBaskerville"/>
          <w:bCs/>
        </w:rPr>
        <w:t xml:space="preserve"> de 22 de enero de 2015 del Consejo de </w:t>
      </w:r>
      <w:r w:rsidR="008155BC" w:rsidRPr="005A43D4">
        <w:rPr>
          <w:rFonts w:ascii="NewBaskerville" w:hAnsi="NewBaskerville"/>
          <w:bCs/>
        </w:rPr>
        <w:t>Administración</w:t>
      </w:r>
      <w:r w:rsidRPr="005A43D4">
        <w:rPr>
          <w:rFonts w:ascii="NewBaskerville" w:hAnsi="NewBaskerville"/>
          <w:bCs/>
        </w:rPr>
        <w:t xml:space="preserve"> de la AP</w:t>
      </w:r>
      <w:r w:rsidR="00F36DF9">
        <w:rPr>
          <w:rFonts w:ascii="NewBaskerville" w:hAnsi="NewBaskerville"/>
          <w:bCs/>
        </w:rPr>
        <w:t>B</w:t>
      </w:r>
      <w:r w:rsidRPr="005A43D4">
        <w:rPr>
          <w:rFonts w:ascii="NewBaskerville" w:hAnsi="NewBaskerville"/>
          <w:bCs/>
        </w:rPr>
        <w:t xml:space="preserve"> por lo que se aprobaron los pliegos del concurso </w:t>
      </w:r>
      <w:r w:rsidR="008155BC" w:rsidRPr="005A43D4">
        <w:rPr>
          <w:rFonts w:ascii="NewBaskerville" w:hAnsi="NewBaskerville"/>
          <w:bCs/>
        </w:rPr>
        <w:t>público</w:t>
      </w:r>
      <w:r w:rsidRPr="005A43D4">
        <w:rPr>
          <w:rFonts w:ascii="NewBaskerville" w:hAnsi="NewBaskerville"/>
          <w:bCs/>
        </w:rPr>
        <w:t xml:space="preserve"> para el otorgamiento de la concesión </w:t>
      </w:r>
      <w:r w:rsidR="00DC264F" w:rsidRPr="005A43D4">
        <w:rPr>
          <w:rFonts w:ascii="NewBaskerville" w:hAnsi="NewBaskerville"/>
          <w:bCs/>
        </w:rPr>
        <w:t xml:space="preserve">de </w:t>
      </w:r>
      <w:r w:rsidRPr="005A43D4">
        <w:rPr>
          <w:rFonts w:ascii="NewBaskerville" w:hAnsi="NewBaskerville"/>
          <w:bCs/>
        </w:rPr>
        <w:t xml:space="preserve">la gestión de los puestos de amarre en la </w:t>
      </w:r>
      <w:r w:rsidR="008155BC" w:rsidRPr="005A43D4">
        <w:rPr>
          <w:rFonts w:ascii="NewBaskerville" w:hAnsi="NewBaskerville"/>
          <w:bCs/>
        </w:rPr>
        <w:t>Dársena</w:t>
      </w:r>
      <w:r w:rsidRPr="005A43D4">
        <w:rPr>
          <w:rFonts w:ascii="NewBaskerville" w:hAnsi="NewBaskerville"/>
          <w:bCs/>
        </w:rPr>
        <w:t xml:space="preserve"> del antiguo </w:t>
      </w:r>
      <w:r w:rsidR="008155BC" w:rsidRPr="005A43D4">
        <w:rPr>
          <w:rFonts w:ascii="NewBaskerville" w:hAnsi="NewBaskerville"/>
          <w:bCs/>
        </w:rPr>
        <w:t>Polígono</w:t>
      </w:r>
      <w:r w:rsidRPr="005A43D4">
        <w:rPr>
          <w:rFonts w:ascii="NewBaskerville" w:hAnsi="NewBaskerville"/>
          <w:bCs/>
        </w:rPr>
        <w:t xml:space="preserve"> Naval, en el Puerto de </w:t>
      </w:r>
      <w:proofErr w:type="spellStart"/>
      <w:r w:rsidRPr="005A43D4">
        <w:rPr>
          <w:rFonts w:ascii="NewBaskerville" w:hAnsi="NewBaskerville"/>
          <w:bCs/>
        </w:rPr>
        <w:t>Alc</w:t>
      </w:r>
      <w:r w:rsidR="00A861CC">
        <w:rPr>
          <w:rFonts w:ascii="NewBaskerville" w:hAnsi="NewBaskerville"/>
          <w:bCs/>
        </w:rPr>
        <w:t>ú</w:t>
      </w:r>
      <w:r w:rsidRPr="005A43D4">
        <w:rPr>
          <w:rFonts w:ascii="NewBaskerville" w:hAnsi="NewBaskerville"/>
          <w:bCs/>
        </w:rPr>
        <w:t>dia</w:t>
      </w:r>
      <w:proofErr w:type="spellEnd"/>
      <w:r w:rsidRPr="005A43D4">
        <w:rPr>
          <w:rFonts w:ascii="NewBaskerville" w:hAnsi="NewBaskerville"/>
          <w:bCs/>
        </w:rPr>
        <w:t xml:space="preserve"> (EM-720), por lo que la entidad </w:t>
      </w:r>
      <w:r w:rsidR="00F36DF9">
        <w:rPr>
          <w:rFonts w:ascii="NewBaskerville" w:hAnsi="NewBaskerville"/>
          <w:bCs/>
        </w:rPr>
        <w:t xml:space="preserve">estimó </w:t>
      </w:r>
      <w:r w:rsidRPr="005A43D4">
        <w:rPr>
          <w:rFonts w:ascii="NewBaskerville" w:hAnsi="NewBaskerville"/>
          <w:bCs/>
        </w:rPr>
        <w:t>do</w:t>
      </w:r>
      <w:r w:rsidR="00F36DF9">
        <w:rPr>
          <w:rFonts w:ascii="NewBaskerville" w:hAnsi="NewBaskerville"/>
          <w:bCs/>
        </w:rPr>
        <w:t>tar una provisión 2018</w:t>
      </w:r>
      <w:r w:rsidRPr="005A43D4">
        <w:rPr>
          <w:rFonts w:ascii="NewBaskerville" w:hAnsi="NewBaskerville"/>
          <w:bCs/>
        </w:rPr>
        <w:t xml:space="preserve"> </w:t>
      </w:r>
      <w:r w:rsidR="00F36DF9">
        <w:rPr>
          <w:rFonts w:ascii="NewBaskerville" w:hAnsi="NewBaskerville"/>
          <w:bCs/>
        </w:rPr>
        <w:t>por el posible importe de la</w:t>
      </w:r>
      <w:r w:rsidRPr="005A43D4">
        <w:rPr>
          <w:rFonts w:ascii="NewBaskerville" w:hAnsi="NewBaskerville"/>
          <w:bCs/>
        </w:rPr>
        <w:t xml:space="preserve"> indemnización</w:t>
      </w:r>
      <w:r w:rsidR="00F36DF9">
        <w:rPr>
          <w:rFonts w:ascii="NewBaskerville" w:hAnsi="NewBaskerville"/>
          <w:bCs/>
        </w:rPr>
        <w:t>. A fecha de 31/12/202</w:t>
      </w:r>
      <w:r w:rsidR="002D6449">
        <w:rPr>
          <w:rFonts w:ascii="NewBaskerville" w:hAnsi="NewBaskerville"/>
          <w:bCs/>
        </w:rPr>
        <w:t>3</w:t>
      </w:r>
      <w:r w:rsidR="00F36DF9">
        <w:rPr>
          <w:rFonts w:ascii="NewBaskerville" w:hAnsi="NewBaskerville"/>
          <w:bCs/>
        </w:rPr>
        <w:t xml:space="preserve"> dicha provisión asciende a 8</w:t>
      </w:r>
      <w:r w:rsidR="002D6449">
        <w:rPr>
          <w:rFonts w:ascii="NewBaskerville" w:hAnsi="NewBaskerville"/>
          <w:bCs/>
        </w:rPr>
        <w:t>64</w:t>
      </w:r>
      <w:r w:rsidR="00F36DF9">
        <w:rPr>
          <w:rFonts w:ascii="NewBaskerville" w:hAnsi="NewBaskerville"/>
          <w:bCs/>
        </w:rPr>
        <w:t>.</w:t>
      </w:r>
      <w:r w:rsidR="002D6449">
        <w:rPr>
          <w:rFonts w:ascii="NewBaskerville" w:hAnsi="NewBaskerville"/>
          <w:bCs/>
        </w:rPr>
        <w:t>375</w:t>
      </w:r>
      <w:r w:rsidR="00F36DF9">
        <w:rPr>
          <w:rFonts w:ascii="NewBaskerville" w:hAnsi="NewBaskerville"/>
          <w:bCs/>
        </w:rPr>
        <w:t>,00 euros, en el ejercicio 202</w:t>
      </w:r>
      <w:r w:rsidR="002D6449">
        <w:rPr>
          <w:rFonts w:ascii="NewBaskerville" w:hAnsi="NewBaskerville"/>
          <w:bCs/>
        </w:rPr>
        <w:t>3</w:t>
      </w:r>
      <w:r w:rsidR="00F36DF9">
        <w:rPr>
          <w:rFonts w:ascii="NewBaskerville" w:hAnsi="NewBaskerville"/>
          <w:bCs/>
        </w:rPr>
        <w:t xml:space="preserve"> se ha actualizado financieramente en 2</w:t>
      </w:r>
      <w:r w:rsidR="002D6449">
        <w:rPr>
          <w:rFonts w:ascii="NewBaskerville" w:hAnsi="NewBaskerville"/>
          <w:bCs/>
        </w:rPr>
        <w:t>4</w:t>
      </w:r>
      <w:r w:rsidR="00F36DF9">
        <w:rPr>
          <w:rFonts w:ascii="NewBaskerville" w:hAnsi="NewBaskerville"/>
          <w:bCs/>
        </w:rPr>
        <w:t>.</w:t>
      </w:r>
      <w:r w:rsidR="002D6449">
        <w:rPr>
          <w:rFonts w:ascii="NewBaskerville" w:hAnsi="NewBaskerville"/>
          <w:bCs/>
        </w:rPr>
        <w:t>375</w:t>
      </w:r>
      <w:r w:rsidR="00F36DF9">
        <w:rPr>
          <w:rFonts w:ascii="NewBaskerville" w:hAnsi="NewBaskerville"/>
          <w:bCs/>
        </w:rPr>
        <w:t>,00 euros.</w:t>
      </w:r>
    </w:p>
    <w:p w:rsidR="00521595" w:rsidRDefault="00521595" w:rsidP="005A43D4">
      <w:pPr>
        <w:tabs>
          <w:tab w:val="right" w:pos="8364"/>
        </w:tabs>
        <w:ind w:firstLine="567"/>
        <w:jc w:val="both"/>
        <w:rPr>
          <w:rFonts w:ascii="NewBaskerville" w:hAnsi="NewBaskerville"/>
          <w:bCs/>
        </w:rPr>
      </w:pPr>
    </w:p>
    <w:p w:rsidR="00521595" w:rsidRPr="00521595" w:rsidRDefault="00521595" w:rsidP="00521595">
      <w:pPr>
        <w:numPr>
          <w:ilvl w:val="0"/>
          <w:numId w:val="2"/>
        </w:numPr>
        <w:tabs>
          <w:tab w:val="right" w:pos="8364"/>
        </w:tabs>
        <w:jc w:val="both"/>
        <w:rPr>
          <w:rFonts w:ascii="NewBaskerville" w:hAnsi="NewBaskerville"/>
          <w:bCs/>
          <w:u w:val="single"/>
        </w:rPr>
      </w:pPr>
      <w:r>
        <w:rPr>
          <w:rFonts w:ascii="NewBaskerville" w:hAnsi="NewBaskerville"/>
          <w:bCs/>
          <w:u w:val="single"/>
          <w:lang w:val="es-ES"/>
        </w:rPr>
        <w:t>Reclamación “SERVEIS MARÍTIMS PORT D’EIVISSA”</w:t>
      </w:r>
    </w:p>
    <w:p w:rsidR="00521595" w:rsidRDefault="00521595" w:rsidP="00521595">
      <w:pPr>
        <w:tabs>
          <w:tab w:val="right" w:pos="8364"/>
        </w:tabs>
        <w:jc w:val="both"/>
        <w:rPr>
          <w:rFonts w:ascii="NewBaskerville" w:hAnsi="NewBaskerville"/>
          <w:bCs/>
          <w:u w:val="single"/>
          <w:lang w:val="es-ES"/>
        </w:rPr>
      </w:pPr>
    </w:p>
    <w:p w:rsidR="00521595" w:rsidRDefault="00521595" w:rsidP="00521595">
      <w:pPr>
        <w:tabs>
          <w:tab w:val="right" w:pos="8364"/>
        </w:tabs>
        <w:ind w:firstLine="567"/>
        <w:jc w:val="both"/>
        <w:rPr>
          <w:rFonts w:ascii="NewBaskerville" w:hAnsi="NewBaskerville"/>
          <w:bCs/>
          <w:lang w:val="es-ES"/>
        </w:rPr>
      </w:pPr>
      <w:r>
        <w:rPr>
          <w:rFonts w:ascii="NewBaskerville" w:hAnsi="NewBaskerville"/>
          <w:bCs/>
          <w:lang w:val="es-ES"/>
        </w:rPr>
        <w:lastRenderedPageBreak/>
        <w:t>Con fecha de 18 de noviembre de 2022 se recibió resolución del Tribunal Económico Administrativo Central acordando la anulación de una serie de tasas liquidadas por la APB</w:t>
      </w:r>
      <w:r w:rsidR="007D28FE">
        <w:rPr>
          <w:rFonts w:ascii="NewBaskerville" w:hAnsi="NewBaskerville"/>
          <w:bCs/>
          <w:lang w:val="es-ES"/>
        </w:rPr>
        <w:t xml:space="preserve">, y la </w:t>
      </w:r>
      <w:r w:rsidR="003F24D6">
        <w:rPr>
          <w:rFonts w:ascii="NewBaskerville" w:hAnsi="NewBaskerville"/>
          <w:bCs/>
          <w:lang w:val="es-ES"/>
        </w:rPr>
        <w:t>imposibilidad</w:t>
      </w:r>
      <w:r w:rsidR="007D28FE">
        <w:rPr>
          <w:rFonts w:ascii="NewBaskerville" w:hAnsi="NewBaskerville"/>
          <w:bCs/>
          <w:lang w:val="es-ES"/>
        </w:rPr>
        <w:t xml:space="preserve"> de volver a practicar las liquidaciones impugnadas que dicha </w:t>
      </w:r>
      <w:r w:rsidR="00A861CC">
        <w:rPr>
          <w:rFonts w:ascii="NewBaskerville" w:hAnsi="NewBaskerville"/>
          <w:bCs/>
          <w:lang w:val="es-ES"/>
        </w:rPr>
        <w:t>resolución había anulado. Motivó</w:t>
      </w:r>
      <w:r w:rsidR="007D28FE">
        <w:rPr>
          <w:rFonts w:ascii="NewBaskerville" w:hAnsi="NewBaskerville"/>
          <w:bCs/>
          <w:lang w:val="es-ES"/>
        </w:rPr>
        <w:t xml:space="preserve"> el Tribunal al haberse declarado por segunda vez la invalidez de la actuación administrativa por la misma causa.</w:t>
      </w:r>
    </w:p>
    <w:p w:rsidR="007D28FE" w:rsidRDefault="007D28FE" w:rsidP="00521595">
      <w:pPr>
        <w:tabs>
          <w:tab w:val="right" w:pos="8364"/>
        </w:tabs>
        <w:ind w:firstLine="567"/>
        <w:jc w:val="both"/>
        <w:rPr>
          <w:rFonts w:ascii="NewBaskerville" w:hAnsi="NewBaskerville"/>
          <w:bCs/>
          <w:lang w:val="es-ES"/>
        </w:rPr>
      </w:pPr>
      <w:r>
        <w:rPr>
          <w:rFonts w:ascii="NewBaskerville" w:hAnsi="NewBaskerville"/>
          <w:bCs/>
          <w:lang w:val="es-ES"/>
        </w:rPr>
        <w:t xml:space="preserve">La APB en fecha 23/12/2022 presentó recurso contencioso-administrativo contra la resolución del Tribunal Económico Administrativo Central </w:t>
      </w:r>
      <w:r w:rsidR="007D0C22">
        <w:rPr>
          <w:rFonts w:ascii="NewBaskerville" w:hAnsi="NewBaskerville"/>
          <w:bCs/>
          <w:lang w:val="es-ES"/>
        </w:rPr>
        <w:t>ante la Sala de lo Contencioso-Administrativo de la Audiencia Nacional.</w:t>
      </w:r>
    </w:p>
    <w:p w:rsidR="007D0C22" w:rsidRPr="00521595" w:rsidRDefault="007D0C22" w:rsidP="00521595">
      <w:pPr>
        <w:tabs>
          <w:tab w:val="right" w:pos="8364"/>
        </w:tabs>
        <w:ind w:firstLine="567"/>
        <w:jc w:val="both"/>
        <w:rPr>
          <w:rFonts w:ascii="NewBaskerville" w:hAnsi="NewBaskerville"/>
          <w:bCs/>
        </w:rPr>
      </w:pPr>
      <w:r>
        <w:rPr>
          <w:rFonts w:ascii="NewBaskerville" w:hAnsi="NewBaskerville"/>
          <w:bCs/>
          <w:lang w:val="es-ES"/>
        </w:rPr>
        <w:t xml:space="preserve">La Entidad </w:t>
      </w:r>
      <w:r w:rsidR="002D6449">
        <w:rPr>
          <w:rFonts w:ascii="NewBaskerville" w:hAnsi="NewBaskerville"/>
          <w:bCs/>
          <w:lang w:val="es-ES"/>
        </w:rPr>
        <w:t>estimó</w:t>
      </w:r>
      <w:r>
        <w:rPr>
          <w:rFonts w:ascii="NewBaskerville" w:hAnsi="NewBaskerville"/>
          <w:bCs/>
          <w:lang w:val="es-ES"/>
        </w:rPr>
        <w:t xml:space="preserve"> dotar en el ejercicio 2022 una provisión por el importe de las liquidaciones anuladas</w:t>
      </w:r>
      <w:r w:rsidR="002D6449">
        <w:rPr>
          <w:rFonts w:ascii="NewBaskerville" w:hAnsi="NewBaskerville"/>
          <w:bCs/>
          <w:lang w:val="es-ES"/>
        </w:rPr>
        <w:t>, el importe a fecha de 31/12/2023 asciende a</w:t>
      </w:r>
      <w:r>
        <w:rPr>
          <w:rFonts w:ascii="NewBaskerville" w:hAnsi="NewBaskerville"/>
          <w:bCs/>
          <w:lang w:val="es-ES"/>
        </w:rPr>
        <w:t xml:space="preserve"> 6.</w:t>
      </w:r>
      <w:r w:rsidR="002D6449">
        <w:rPr>
          <w:rFonts w:ascii="NewBaskerville" w:hAnsi="NewBaskerville"/>
          <w:bCs/>
          <w:lang w:val="es-ES"/>
        </w:rPr>
        <w:t>466</w:t>
      </w:r>
      <w:r>
        <w:rPr>
          <w:rFonts w:ascii="NewBaskerville" w:hAnsi="NewBaskerville"/>
          <w:bCs/>
          <w:lang w:val="es-ES"/>
        </w:rPr>
        <w:t>.</w:t>
      </w:r>
      <w:r w:rsidR="002D6449">
        <w:rPr>
          <w:rFonts w:ascii="NewBaskerville" w:hAnsi="NewBaskerville"/>
          <w:bCs/>
          <w:lang w:val="es-ES"/>
        </w:rPr>
        <w:t>537</w:t>
      </w:r>
      <w:r>
        <w:rPr>
          <w:rFonts w:ascii="NewBaskerville" w:hAnsi="NewBaskerville"/>
          <w:bCs/>
          <w:lang w:val="es-ES"/>
        </w:rPr>
        <w:t>,</w:t>
      </w:r>
      <w:r w:rsidR="002D6449">
        <w:rPr>
          <w:rFonts w:ascii="NewBaskerville" w:hAnsi="NewBaskerville"/>
          <w:bCs/>
          <w:lang w:val="es-ES"/>
        </w:rPr>
        <w:t>82 euros, en el ejercicio 2023 se ha actualizado financieramente en 252.447,42 euros.</w:t>
      </w:r>
    </w:p>
    <w:p w:rsidR="00521595" w:rsidRDefault="00521595" w:rsidP="005A43D4">
      <w:pPr>
        <w:tabs>
          <w:tab w:val="right" w:pos="8364"/>
        </w:tabs>
        <w:ind w:firstLine="567"/>
        <w:jc w:val="both"/>
        <w:rPr>
          <w:rFonts w:ascii="NewBaskerville" w:hAnsi="NewBaskerville"/>
          <w:bCs/>
        </w:rPr>
      </w:pPr>
    </w:p>
    <w:p w:rsidR="00713E2B" w:rsidRPr="00713E2B" w:rsidRDefault="00713E2B" w:rsidP="00713E2B">
      <w:pPr>
        <w:numPr>
          <w:ilvl w:val="0"/>
          <w:numId w:val="2"/>
        </w:numPr>
        <w:tabs>
          <w:tab w:val="right" w:pos="8364"/>
        </w:tabs>
        <w:jc w:val="both"/>
        <w:rPr>
          <w:rFonts w:ascii="NewBaskerville" w:hAnsi="NewBaskerville"/>
          <w:bCs/>
          <w:u w:val="single"/>
        </w:rPr>
      </w:pPr>
      <w:r>
        <w:rPr>
          <w:rFonts w:ascii="NewBaskerville" w:hAnsi="NewBaskerville"/>
          <w:bCs/>
          <w:u w:val="single"/>
          <w:lang w:val="es-ES"/>
        </w:rPr>
        <w:t>Proceso “COMPAÑÍA LOGÍSTICA DE HIDROCARBUROS”</w:t>
      </w:r>
    </w:p>
    <w:p w:rsidR="00713E2B" w:rsidRDefault="00713E2B" w:rsidP="00713E2B">
      <w:pPr>
        <w:tabs>
          <w:tab w:val="right" w:pos="8364"/>
        </w:tabs>
        <w:ind w:left="360"/>
        <w:jc w:val="both"/>
        <w:rPr>
          <w:rFonts w:ascii="NewBaskerville" w:hAnsi="NewBaskerville"/>
          <w:bCs/>
          <w:u w:val="single"/>
          <w:lang w:val="es-ES"/>
        </w:rPr>
      </w:pPr>
    </w:p>
    <w:p w:rsidR="00713E2B" w:rsidRDefault="00713E2B" w:rsidP="00713E2B">
      <w:pPr>
        <w:tabs>
          <w:tab w:val="right" w:pos="8364"/>
        </w:tabs>
        <w:ind w:firstLine="567"/>
        <w:jc w:val="both"/>
        <w:rPr>
          <w:rFonts w:ascii="NewBaskerville" w:hAnsi="NewBaskerville"/>
          <w:bCs/>
          <w:lang w:val="es-ES"/>
        </w:rPr>
      </w:pPr>
      <w:r>
        <w:rPr>
          <w:rFonts w:ascii="NewBaskerville" w:hAnsi="NewBaskerville"/>
          <w:bCs/>
          <w:lang w:val="es-ES"/>
        </w:rPr>
        <w:t>En fecha 24/10/2018 la COMPAÑÍA LOGÍSTICA DE HIDROCARBUROS S.A. presentó Reclamación de Respons</w:t>
      </w:r>
      <w:r w:rsidR="001208BE">
        <w:rPr>
          <w:rFonts w:ascii="NewBaskerville" w:hAnsi="NewBaskerville"/>
          <w:bCs/>
          <w:lang w:val="es-ES"/>
        </w:rPr>
        <w:t>a</w:t>
      </w:r>
      <w:r>
        <w:rPr>
          <w:rFonts w:ascii="NewBaskerville" w:hAnsi="NewBaskerville"/>
          <w:bCs/>
          <w:lang w:val="es-ES"/>
        </w:rPr>
        <w:t>bilidad Patrimonial ante la APB</w:t>
      </w:r>
      <w:r w:rsidR="00D771F9">
        <w:rPr>
          <w:rFonts w:ascii="NewBaskerville" w:hAnsi="NewBaskerville"/>
          <w:bCs/>
          <w:lang w:val="es-ES"/>
        </w:rPr>
        <w:t xml:space="preserve"> en la que solicitaba que se le indemnizara por el importe derivado de la aplicación a los servicios de remolque recibidos, de unas tarifas por la prestación de dichos servicios que sufrieron un incremento sustancial, aprobadas por la APB, y que el Tribunal Superior de Justicia de les Illes Balears primero y Tribunal Supremo después, consideraron como no justificadas. </w:t>
      </w:r>
    </w:p>
    <w:p w:rsidR="00546952" w:rsidRDefault="00546952" w:rsidP="00713E2B">
      <w:pPr>
        <w:tabs>
          <w:tab w:val="right" w:pos="8364"/>
        </w:tabs>
        <w:ind w:firstLine="567"/>
        <w:jc w:val="both"/>
        <w:rPr>
          <w:rFonts w:ascii="NewBaskerville" w:hAnsi="NewBaskerville"/>
          <w:bCs/>
          <w:lang w:val="es-ES"/>
        </w:rPr>
      </w:pPr>
    </w:p>
    <w:p w:rsidR="00546952" w:rsidRDefault="00546952" w:rsidP="00713E2B">
      <w:pPr>
        <w:tabs>
          <w:tab w:val="right" w:pos="8364"/>
        </w:tabs>
        <w:ind w:firstLine="567"/>
        <w:jc w:val="both"/>
        <w:rPr>
          <w:rFonts w:ascii="NewBaskerville" w:hAnsi="NewBaskerville"/>
          <w:bCs/>
          <w:lang w:val="es-ES"/>
        </w:rPr>
      </w:pPr>
      <w:r>
        <w:rPr>
          <w:rFonts w:ascii="NewBaskerville" w:hAnsi="NewBaskerville"/>
          <w:bCs/>
          <w:lang w:val="es-ES"/>
        </w:rPr>
        <w:t xml:space="preserve">No estando de acuerdo con la estimación </w:t>
      </w:r>
      <w:r w:rsidR="003F24D6">
        <w:rPr>
          <w:rFonts w:ascii="NewBaskerville" w:hAnsi="NewBaskerville"/>
          <w:bCs/>
          <w:lang w:val="es-ES"/>
        </w:rPr>
        <w:t>parcial</w:t>
      </w:r>
      <w:r>
        <w:rPr>
          <w:rFonts w:ascii="NewBaskerville" w:hAnsi="NewBaskerville"/>
          <w:bCs/>
          <w:lang w:val="es-ES"/>
        </w:rPr>
        <w:t xml:space="preserve"> de la Reclamación de Responsabilidad Patrimonial, la recurrente formalizó demanda ante la Sala de lo Contencioso </w:t>
      </w:r>
      <w:r w:rsidR="003F24D6">
        <w:rPr>
          <w:rFonts w:ascii="NewBaskerville" w:hAnsi="NewBaskerville"/>
          <w:bCs/>
          <w:lang w:val="es-ES"/>
        </w:rPr>
        <w:t>Administrativo</w:t>
      </w:r>
      <w:r>
        <w:rPr>
          <w:rFonts w:ascii="NewBaskerville" w:hAnsi="NewBaskerville"/>
          <w:bCs/>
          <w:lang w:val="es-ES"/>
        </w:rPr>
        <w:t xml:space="preserve"> del Tribunal Superior de Justicia de les Illes Balears.</w:t>
      </w:r>
    </w:p>
    <w:p w:rsidR="00546952" w:rsidRDefault="00546952" w:rsidP="00713E2B">
      <w:pPr>
        <w:tabs>
          <w:tab w:val="right" w:pos="8364"/>
        </w:tabs>
        <w:ind w:firstLine="567"/>
        <w:jc w:val="both"/>
        <w:rPr>
          <w:rFonts w:ascii="NewBaskerville" w:hAnsi="NewBaskerville"/>
          <w:bCs/>
          <w:lang w:val="es-ES"/>
        </w:rPr>
      </w:pPr>
    </w:p>
    <w:p w:rsidR="00546952" w:rsidRPr="00713E2B" w:rsidRDefault="00C94BEE" w:rsidP="00713E2B">
      <w:pPr>
        <w:tabs>
          <w:tab w:val="right" w:pos="8364"/>
        </w:tabs>
        <w:ind w:firstLine="567"/>
        <w:jc w:val="both"/>
        <w:rPr>
          <w:rFonts w:ascii="NewBaskerville" w:hAnsi="NewBaskerville"/>
          <w:bCs/>
        </w:rPr>
      </w:pPr>
      <w:r>
        <w:rPr>
          <w:rFonts w:ascii="NewBaskerville" w:hAnsi="NewBaskerville"/>
          <w:bCs/>
          <w:lang w:val="es-ES"/>
        </w:rPr>
        <w:t>La APB estimó</w:t>
      </w:r>
      <w:r w:rsidR="00546952">
        <w:rPr>
          <w:rFonts w:ascii="NewBaskerville" w:hAnsi="NewBaskerville"/>
          <w:bCs/>
          <w:lang w:val="es-ES"/>
        </w:rPr>
        <w:t xml:space="preserve"> dotar una provisión en el ejercicio 2022 por importe de la reclamación que </w:t>
      </w:r>
      <w:r>
        <w:rPr>
          <w:rFonts w:ascii="NewBaskerville" w:hAnsi="NewBaskerville"/>
          <w:bCs/>
          <w:lang w:val="es-ES"/>
        </w:rPr>
        <w:t xml:space="preserve">a fecha de 31/12/2023 </w:t>
      </w:r>
      <w:r w:rsidR="00546952">
        <w:rPr>
          <w:rFonts w:ascii="NewBaskerville" w:hAnsi="NewBaskerville"/>
          <w:bCs/>
          <w:lang w:val="es-ES"/>
        </w:rPr>
        <w:t>asciende a 1.</w:t>
      </w:r>
      <w:r>
        <w:rPr>
          <w:rFonts w:ascii="NewBaskerville" w:hAnsi="NewBaskerville"/>
          <w:bCs/>
          <w:lang w:val="es-ES"/>
        </w:rPr>
        <w:t>410</w:t>
      </w:r>
      <w:r w:rsidR="00546952">
        <w:rPr>
          <w:rFonts w:ascii="NewBaskerville" w:hAnsi="NewBaskerville"/>
          <w:bCs/>
          <w:lang w:val="es-ES"/>
        </w:rPr>
        <w:t>.</w:t>
      </w:r>
      <w:r>
        <w:rPr>
          <w:rFonts w:ascii="NewBaskerville" w:hAnsi="NewBaskerville"/>
          <w:bCs/>
          <w:lang w:val="es-ES"/>
        </w:rPr>
        <w:t>780</w:t>
      </w:r>
      <w:r w:rsidR="00546952">
        <w:rPr>
          <w:rFonts w:ascii="NewBaskerville" w:hAnsi="NewBaskerville"/>
          <w:bCs/>
          <w:lang w:val="es-ES"/>
        </w:rPr>
        <w:t>,</w:t>
      </w:r>
      <w:r>
        <w:rPr>
          <w:rFonts w:ascii="NewBaskerville" w:hAnsi="NewBaskerville"/>
          <w:bCs/>
          <w:lang w:val="es-ES"/>
        </w:rPr>
        <w:t>68</w:t>
      </w:r>
      <w:r w:rsidR="00546952">
        <w:rPr>
          <w:rFonts w:ascii="NewBaskerville" w:hAnsi="NewBaskerville"/>
          <w:bCs/>
          <w:lang w:val="es-ES"/>
        </w:rPr>
        <w:t xml:space="preserve"> euros</w:t>
      </w:r>
      <w:r>
        <w:rPr>
          <w:rFonts w:ascii="NewBaskerville" w:hAnsi="NewBaskerville"/>
          <w:bCs/>
          <w:lang w:val="es-ES"/>
        </w:rPr>
        <w:t>, en el ejercicio 2023 se ha actualizado financieramente en 44.407,14 euros.</w:t>
      </w:r>
    </w:p>
    <w:p w:rsidR="00514E88" w:rsidRDefault="00514E88" w:rsidP="00514E88">
      <w:pPr>
        <w:pStyle w:val="Prrafodelista"/>
        <w:jc w:val="both"/>
        <w:rPr>
          <w:bCs/>
        </w:rPr>
      </w:pPr>
    </w:p>
    <w:p w:rsidR="00514E88" w:rsidRPr="00546952" w:rsidRDefault="007B662C" w:rsidP="00514E88">
      <w:pPr>
        <w:numPr>
          <w:ilvl w:val="0"/>
          <w:numId w:val="2"/>
        </w:numPr>
        <w:tabs>
          <w:tab w:val="right" w:pos="8364"/>
        </w:tabs>
        <w:jc w:val="both"/>
        <w:rPr>
          <w:rFonts w:ascii="NewBaskerville" w:hAnsi="NewBaskerville"/>
          <w:bCs/>
          <w:u w:val="single"/>
        </w:rPr>
      </w:pPr>
      <w:r w:rsidRPr="00546952">
        <w:rPr>
          <w:rFonts w:ascii="NewBaskerville" w:hAnsi="NewBaskerville"/>
          <w:bCs/>
          <w:u w:val="single"/>
        </w:rPr>
        <w:t>Convenio Ayuntamiento de Palma</w:t>
      </w:r>
    </w:p>
    <w:p w:rsidR="007B662C" w:rsidRPr="007B662C" w:rsidRDefault="007B662C" w:rsidP="007B662C">
      <w:pPr>
        <w:tabs>
          <w:tab w:val="right" w:pos="8364"/>
        </w:tabs>
        <w:jc w:val="both"/>
        <w:rPr>
          <w:bCs/>
        </w:rPr>
      </w:pPr>
    </w:p>
    <w:p w:rsidR="00514E88" w:rsidRPr="00546952" w:rsidRDefault="007B662C" w:rsidP="00546952">
      <w:pPr>
        <w:tabs>
          <w:tab w:val="right" w:pos="8364"/>
        </w:tabs>
        <w:ind w:firstLine="567"/>
        <w:jc w:val="both"/>
        <w:rPr>
          <w:rFonts w:ascii="NewBaskerville" w:hAnsi="NewBaskerville"/>
          <w:bCs/>
        </w:rPr>
      </w:pPr>
      <w:r w:rsidRPr="00546952">
        <w:rPr>
          <w:rFonts w:ascii="NewBaskerville" w:hAnsi="NewBaskerville"/>
          <w:bCs/>
        </w:rPr>
        <w:t xml:space="preserve">El </w:t>
      </w:r>
      <w:r w:rsidR="00546952">
        <w:rPr>
          <w:rFonts w:ascii="NewBaskerville" w:hAnsi="NewBaskerville"/>
          <w:bCs/>
        </w:rPr>
        <w:t>17 de diciembre de 2020 se firmó</w:t>
      </w:r>
      <w:r w:rsidRPr="00546952">
        <w:rPr>
          <w:rFonts w:ascii="NewBaskerville" w:hAnsi="NewBaskerville"/>
          <w:bCs/>
        </w:rPr>
        <w:t xml:space="preserve"> un convenio entre el Ayuntamiento de Palma y la APB para la gestión de servicios en la explotación del Paseo Marítimo Gabriel Roca. A partir de la entrada en </w:t>
      </w:r>
      <w:r w:rsidR="00747953" w:rsidRPr="00546952">
        <w:rPr>
          <w:rFonts w:ascii="NewBaskerville" w:hAnsi="NewBaskerville"/>
          <w:bCs/>
        </w:rPr>
        <w:t xml:space="preserve">vigor de dicho Convenio, </w:t>
      </w:r>
      <w:r w:rsidR="003F24D6" w:rsidRPr="00546952">
        <w:rPr>
          <w:rFonts w:ascii="NewBaskerville" w:hAnsi="NewBaskerville"/>
          <w:bCs/>
        </w:rPr>
        <w:t>el</w:t>
      </w:r>
      <w:r w:rsidR="00747953" w:rsidRPr="00546952">
        <w:rPr>
          <w:rFonts w:ascii="NewBaskerville" w:hAnsi="NewBaskerville"/>
          <w:bCs/>
        </w:rPr>
        <w:t xml:space="preserve"> Ayuntamiento de Palma </w:t>
      </w:r>
      <w:r w:rsidRPr="00546952">
        <w:rPr>
          <w:rFonts w:ascii="NewBaskerville" w:hAnsi="NewBaskerville"/>
          <w:bCs/>
        </w:rPr>
        <w:t>se encargará del mantenimiento, la conservación y la gestión de todos los elementos comprendidos en la</w:t>
      </w:r>
      <w:r w:rsidR="00747953" w:rsidRPr="00546952">
        <w:rPr>
          <w:rFonts w:ascii="NewBaskerville" w:hAnsi="NewBaskerville"/>
          <w:bCs/>
        </w:rPr>
        <w:t xml:space="preserve"> zona del Paseo Marítimo de titu</w:t>
      </w:r>
      <w:r w:rsidRPr="00546952">
        <w:rPr>
          <w:rFonts w:ascii="NewBaskerville" w:hAnsi="NewBaskerville"/>
          <w:bCs/>
        </w:rPr>
        <w:t>laridad patrimonial de la AP</w:t>
      </w:r>
      <w:r w:rsidR="002E445F">
        <w:rPr>
          <w:rFonts w:ascii="NewBaskerville" w:hAnsi="NewBaskerville"/>
          <w:bCs/>
        </w:rPr>
        <w:t>B</w:t>
      </w:r>
      <w:r w:rsidRPr="00546952">
        <w:rPr>
          <w:rFonts w:ascii="NewBaskerville" w:hAnsi="NewBaskerville"/>
          <w:bCs/>
        </w:rPr>
        <w:t>. Estos costes fueron valorados inicialmente en 1.046.006,84 euros anuales. Al cierre de ejercicio queda</w:t>
      </w:r>
      <w:r w:rsidR="00465399">
        <w:rPr>
          <w:rFonts w:ascii="NewBaskerville" w:hAnsi="NewBaskerville"/>
          <w:bCs/>
        </w:rPr>
        <w:t>n</w:t>
      </w:r>
      <w:r w:rsidRPr="00546952">
        <w:rPr>
          <w:rFonts w:ascii="NewBaskerville" w:hAnsi="NewBaskerville"/>
          <w:bCs/>
        </w:rPr>
        <w:t xml:space="preserve"> pendiente</w:t>
      </w:r>
      <w:r w:rsidR="002E445F">
        <w:rPr>
          <w:rFonts w:ascii="NewBaskerville" w:hAnsi="NewBaskerville"/>
          <w:bCs/>
        </w:rPr>
        <w:t>s</w:t>
      </w:r>
      <w:r w:rsidRPr="00546952">
        <w:rPr>
          <w:rFonts w:ascii="NewBaskerville" w:hAnsi="NewBaskerville"/>
          <w:bCs/>
        </w:rPr>
        <w:t xml:space="preserve"> </w:t>
      </w:r>
      <w:r w:rsidR="002E445F">
        <w:rPr>
          <w:rFonts w:ascii="NewBaskerville" w:hAnsi="NewBaskerville"/>
          <w:bCs/>
        </w:rPr>
        <w:t>de</w:t>
      </w:r>
      <w:r w:rsidRPr="00546952">
        <w:rPr>
          <w:rFonts w:ascii="NewBaskerville" w:hAnsi="NewBaskerville"/>
          <w:bCs/>
        </w:rPr>
        <w:t xml:space="preserve"> pago</w:t>
      </w:r>
      <w:r w:rsidR="00546952">
        <w:rPr>
          <w:rFonts w:ascii="NewBaskerville" w:hAnsi="NewBaskerville"/>
          <w:bCs/>
        </w:rPr>
        <w:t>, o compensación,</w:t>
      </w:r>
      <w:r w:rsidRPr="00546952">
        <w:rPr>
          <w:rFonts w:ascii="NewBaskerville" w:hAnsi="NewBaskerville"/>
          <w:bCs/>
        </w:rPr>
        <w:t xml:space="preserve"> la</w:t>
      </w:r>
      <w:r w:rsidR="002E445F">
        <w:rPr>
          <w:rFonts w:ascii="NewBaskerville" w:hAnsi="NewBaskerville"/>
          <w:bCs/>
        </w:rPr>
        <w:t>s aportaciones</w:t>
      </w:r>
      <w:r w:rsidRPr="00546952">
        <w:rPr>
          <w:rFonts w:ascii="NewBaskerville" w:hAnsi="NewBaskerville"/>
          <w:bCs/>
        </w:rPr>
        <w:t xml:space="preserve"> del 2021</w:t>
      </w:r>
      <w:r w:rsidR="00B52FCE">
        <w:rPr>
          <w:rFonts w:ascii="NewBaskerville" w:hAnsi="NewBaskerville"/>
          <w:bCs/>
        </w:rPr>
        <w:t>,</w:t>
      </w:r>
      <w:r w:rsidR="002E445F">
        <w:rPr>
          <w:rFonts w:ascii="NewBaskerville" w:hAnsi="NewBaskerville"/>
          <w:bCs/>
        </w:rPr>
        <w:t xml:space="preserve"> 2022</w:t>
      </w:r>
      <w:r w:rsidR="00B52FCE">
        <w:rPr>
          <w:rFonts w:ascii="NewBaskerville" w:hAnsi="NewBaskerville"/>
          <w:bCs/>
        </w:rPr>
        <w:t xml:space="preserve"> y 2023</w:t>
      </w:r>
      <w:r w:rsidRPr="00546952">
        <w:rPr>
          <w:rFonts w:ascii="NewBaskerville" w:hAnsi="NewBaskerville"/>
          <w:bCs/>
        </w:rPr>
        <w:t xml:space="preserve"> </w:t>
      </w:r>
      <w:r w:rsidR="002E445F">
        <w:rPr>
          <w:rFonts w:ascii="NewBaskerville" w:hAnsi="NewBaskerville"/>
          <w:bCs/>
        </w:rPr>
        <w:t>por lo que se ha estimado reconoce</w:t>
      </w:r>
      <w:r w:rsidR="00B52FCE">
        <w:rPr>
          <w:rFonts w:ascii="NewBaskerville" w:hAnsi="NewBaskerville"/>
          <w:bCs/>
        </w:rPr>
        <w:t>r una provisión que a 31/12/2023</w:t>
      </w:r>
      <w:r w:rsidR="002E445F">
        <w:rPr>
          <w:rFonts w:ascii="NewBaskerville" w:hAnsi="NewBaskerville"/>
          <w:bCs/>
        </w:rPr>
        <w:t xml:space="preserve"> asciende a </w:t>
      </w:r>
      <w:r w:rsidR="00B52FCE">
        <w:rPr>
          <w:rFonts w:ascii="NewBaskerville" w:hAnsi="NewBaskerville"/>
          <w:bCs/>
        </w:rPr>
        <w:t>3</w:t>
      </w:r>
      <w:r w:rsidR="002E445F">
        <w:rPr>
          <w:rFonts w:ascii="NewBaskerville" w:hAnsi="NewBaskerville"/>
          <w:bCs/>
        </w:rPr>
        <w:t>.</w:t>
      </w:r>
      <w:r w:rsidR="00B52FCE">
        <w:rPr>
          <w:rFonts w:ascii="NewBaskerville" w:hAnsi="NewBaskerville"/>
          <w:bCs/>
        </w:rPr>
        <w:t>563</w:t>
      </w:r>
      <w:r w:rsidR="002E445F">
        <w:rPr>
          <w:rFonts w:ascii="NewBaskerville" w:hAnsi="NewBaskerville"/>
          <w:bCs/>
        </w:rPr>
        <w:t>.</w:t>
      </w:r>
      <w:r w:rsidR="00B52FCE">
        <w:rPr>
          <w:rFonts w:ascii="NewBaskerville" w:hAnsi="NewBaskerville"/>
          <w:bCs/>
        </w:rPr>
        <w:t>434</w:t>
      </w:r>
      <w:r w:rsidR="002E445F">
        <w:rPr>
          <w:rFonts w:ascii="NewBaskerville" w:hAnsi="NewBaskerville"/>
          <w:bCs/>
        </w:rPr>
        <w:t>,</w:t>
      </w:r>
      <w:r w:rsidR="00B52FCE">
        <w:rPr>
          <w:rFonts w:ascii="NewBaskerville" w:hAnsi="NewBaskerville"/>
          <w:bCs/>
        </w:rPr>
        <w:t>66</w:t>
      </w:r>
      <w:r w:rsidR="002E445F">
        <w:rPr>
          <w:rFonts w:ascii="NewBaskerville" w:hAnsi="NewBaskerville"/>
          <w:bCs/>
        </w:rPr>
        <w:t xml:space="preserve"> euros, dotándose en </w:t>
      </w:r>
      <w:r w:rsidR="00B52FCE">
        <w:rPr>
          <w:rFonts w:ascii="NewBaskerville" w:hAnsi="NewBaskerville"/>
          <w:bCs/>
        </w:rPr>
        <w:t>el 2023</w:t>
      </w:r>
      <w:r w:rsidR="002E445F">
        <w:rPr>
          <w:rFonts w:ascii="NewBaskerville" w:hAnsi="NewBaskerville"/>
          <w:bCs/>
        </w:rPr>
        <w:t xml:space="preserve"> un importe de 1.</w:t>
      </w:r>
      <w:r w:rsidR="00B52FCE">
        <w:rPr>
          <w:rFonts w:ascii="NewBaskerville" w:hAnsi="NewBaskerville"/>
          <w:bCs/>
        </w:rPr>
        <w:t>471.420</w:t>
      </w:r>
      <w:r w:rsidR="002E445F">
        <w:rPr>
          <w:rFonts w:ascii="NewBaskerville" w:hAnsi="NewBaskerville"/>
          <w:bCs/>
        </w:rPr>
        <w:t>,</w:t>
      </w:r>
      <w:r w:rsidR="00B52FCE">
        <w:rPr>
          <w:rFonts w:ascii="NewBaskerville" w:hAnsi="NewBaskerville"/>
          <w:bCs/>
        </w:rPr>
        <w:t>98</w:t>
      </w:r>
      <w:r w:rsidR="002E445F">
        <w:rPr>
          <w:rFonts w:ascii="NewBaskerville" w:hAnsi="NewBaskerville"/>
          <w:bCs/>
        </w:rPr>
        <w:t xml:space="preserve"> euros</w:t>
      </w:r>
      <w:r w:rsidR="00465399">
        <w:rPr>
          <w:rFonts w:ascii="NewBaskerville" w:hAnsi="NewBaskerville"/>
          <w:bCs/>
        </w:rPr>
        <w:t>.</w:t>
      </w:r>
      <w:r w:rsidR="00B52FCE">
        <w:rPr>
          <w:rFonts w:ascii="NewBaskerville" w:hAnsi="NewBaskerville"/>
          <w:bCs/>
        </w:rPr>
        <w:t xml:space="preserve"> </w:t>
      </w:r>
      <w:r w:rsidR="00465399">
        <w:rPr>
          <w:rFonts w:ascii="NewBaskerville" w:hAnsi="NewBaskerville"/>
          <w:bCs/>
        </w:rPr>
        <w:t>I</w:t>
      </w:r>
      <w:r w:rsidR="00B52FCE">
        <w:rPr>
          <w:rFonts w:ascii="NewBaskerville" w:hAnsi="NewBaskerville"/>
          <w:bCs/>
        </w:rPr>
        <w:t>ncrementándose con respect</w:t>
      </w:r>
      <w:r w:rsidR="00465399">
        <w:rPr>
          <w:rFonts w:ascii="NewBaskerville" w:hAnsi="NewBaskerville"/>
          <w:bCs/>
        </w:rPr>
        <w:t>o a la valoración anual inicial en los costes reales del 2021 y 2022, pendientes de validar por la Comisión de Seguimiento</w:t>
      </w:r>
      <w:r w:rsidR="002E445F">
        <w:rPr>
          <w:rFonts w:ascii="NewBaskerville" w:hAnsi="NewBaskerville"/>
          <w:bCs/>
        </w:rPr>
        <w:t>. Esta provisión no se actualiza financieramente.</w:t>
      </w:r>
    </w:p>
    <w:p w:rsidR="00F5454C" w:rsidRPr="00536F43" w:rsidRDefault="00F5454C" w:rsidP="00536F43">
      <w:pPr>
        <w:tabs>
          <w:tab w:val="right" w:pos="8364"/>
        </w:tabs>
        <w:ind w:left="567"/>
        <w:jc w:val="both"/>
        <w:rPr>
          <w:bCs/>
        </w:rPr>
      </w:pPr>
    </w:p>
    <w:p w:rsidR="00357986" w:rsidRPr="002E445F" w:rsidRDefault="00357986" w:rsidP="00F5454C">
      <w:pPr>
        <w:numPr>
          <w:ilvl w:val="0"/>
          <w:numId w:val="2"/>
        </w:numPr>
        <w:tabs>
          <w:tab w:val="right" w:pos="8364"/>
        </w:tabs>
        <w:jc w:val="both"/>
        <w:rPr>
          <w:rFonts w:ascii="NewBaskerville" w:hAnsi="NewBaskerville"/>
          <w:bCs/>
          <w:u w:val="single"/>
        </w:rPr>
      </w:pPr>
      <w:r w:rsidRPr="002E445F">
        <w:rPr>
          <w:rFonts w:ascii="NewBaskerville" w:hAnsi="NewBaskerville"/>
          <w:bCs/>
          <w:u w:val="single"/>
        </w:rPr>
        <w:t>Otras provisiones</w:t>
      </w:r>
    </w:p>
    <w:p w:rsidR="00357986" w:rsidRDefault="00357986" w:rsidP="00357986">
      <w:pPr>
        <w:tabs>
          <w:tab w:val="right" w:pos="8364"/>
        </w:tabs>
        <w:ind w:left="720"/>
        <w:jc w:val="both"/>
        <w:rPr>
          <w:bCs/>
          <w:u w:val="single"/>
        </w:rPr>
      </w:pPr>
    </w:p>
    <w:p w:rsidR="00F5454C" w:rsidRPr="002E445F" w:rsidRDefault="0046402A" w:rsidP="00CC534B">
      <w:pPr>
        <w:tabs>
          <w:tab w:val="right" w:pos="8364"/>
        </w:tabs>
        <w:ind w:firstLine="567"/>
        <w:jc w:val="both"/>
        <w:rPr>
          <w:rFonts w:ascii="NewBaskerville" w:hAnsi="NewBaskerville"/>
          <w:bCs/>
          <w:u w:val="single"/>
        </w:rPr>
      </w:pPr>
      <w:r w:rsidRPr="002E445F">
        <w:rPr>
          <w:rFonts w:ascii="NewBaskerville" w:hAnsi="NewBaskerville"/>
          <w:bCs/>
          <w:u w:val="single"/>
        </w:rPr>
        <w:t>Provisión retribuciones al personal</w:t>
      </w:r>
    </w:p>
    <w:p w:rsidR="00F5454C" w:rsidRPr="002E445F" w:rsidRDefault="00F5454C" w:rsidP="00F5454C">
      <w:pPr>
        <w:tabs>
          <w:tab w:val="right" w:pos="8364"/>
        </w:tabs>
        <w:ind w:left="720"/>
        <w:jc w:val="both"/>
        <w:rPr>
          <w:rFonts w:ascii="NewBaskerville" w:hAnsi="NewBaskerville"/>
          <w:bCs/>
          <w:u w:val="single"/>
        </w:rPr>
      </w:pPr>
    </w:p>
    <w:p w:rsidR="00370D3A" w:rsidRDefault="00CC534B" w:rsidP="002E445F">
      <w:pPr>
        <w:tabs>
          <w:tab w:val="right" w:pos="8364"/>
        </w:tabs>
        <w:ind w:firstLine="567"/>
        <w:jc w:val="both"/>
        <w:rPr>
          <w:rFonts w:ascii="NewBaskerville" w:hAnsi="NewBaskerville"/>
          <w:bCs/>
        </w:rPr>
      </w:pPr>
      <w:r>
        <w:rPr>
          <w:rFonts w:ascii="NewBaskerville" w:hAnsi="NewBaskerville"/>
          <w:bCs/>
        </w:rPr>
        <w:t>En el ejercicio 2023 se ha aplicado el importe provisionado de 214.800,00 euros en relación a la r</w:t>
      </w:r>
      <w:r w:rsidR="0046402A" w:rsidRPr="002E445F">
        <w:rPr>
          <w:rFonts w:ascii="NewBaskerville" w:hAnsi="NewBaskerville"/>
          <w:bCs/>
        </w:rPr>
        <w:t>eclamación de indemnización de un trabajador de la APB por despido improcedente</w:t>
      </w:r>
      <w:r w:rsidR="00AE01D4" w:rsidRPr="002E445F">
        <w:rPr>
          <w:rFonts w:ascii="NewBaskerville" w:hAnsi="NewBaskerville"/>
          <w:bCs/>
        </w:rPr>
        <w:t xml:space="preserve"> (Juzgado de lo Social 3</w:t>
      </w:r>
      <w:r w:rsidR="00C76198" w:rsidRPr="002E445F">
        <w:rPr>
          <w:rFonts w:ascii="NewBaskerville" w:hAnsi="NewBaskerville"/>
          <w:bCs/>
        </w:rPr>
        <w:t xml:space="preserve"> de Palma de Mallorca 3/2019)</w:t>
      </w:r>
      <w:r w:rsidR="000C4583">
        <w:rPr>
          <w:rFonts w:ascii="NewBaskerville" w:hAnsi="NewBaskerville"/>
          <w:bCs/>
        </w:rPr>
        <w:t>.</w:t>
      </w:r>
    </w:p>
    <w:p w:rsidR="00CC534B" w:rsidRDefault="00CC534B" w:rsidP="002E445F">
      <w:pPr>
        <w:tabs>
          <w:tab w:val="right" w:pos="8364"/>
        </w:tabs>
        <w:ind w:firstLine="567"/>
        <w:jc w:val="both"/>
        <w:rPr>
          <w:rFonts w:ascii="NewBaskerville" w:hAnsi="NewBaskerville"/>
          <w:bCs/>
        </w:rPr>
      </w:pPr>
    </w:p>
    <w:p w:rsidR="00CC534B" w:rsidRDefault="00CC534B" w:rsidP="002E445F">
      <w:pPr>
        <w:tabs>
          <w:tab w:val="right" w:pos="8364"/>
        </w:tabs>
        <w:ind w:firstLine="567"/>
        <w:jc w:val="both"/>
        <w:rPr>
          <w:rFonts w:ascii="NewBaskerville" w:hAnsi="NewBaskerville"/>
          <w:bCs/>
        </w:rPr>
      </w:pPr>
      <w:r>
        <w:rPr>
          <w:rFonts w:ascii="NewBaskerville" w:hAnsi="NewBaskerville"/>
          <w:bCs/>
          <w:u w:val="single"/>
        </w:rPr>
        <w:t>Provisiones a corto plazo</w:t>
      </w:r>
    </w:p>
    <w:p w:rsidR="00CC534B" w:rsidRPr="00CC534B" w:rsidRDefault="00CC534B" w:rsidP="002E445F">
      <w:pPr>
        <w:tabs>
          <w:tab w:val="right" w:pos="8364"/>
        </w:tabs>
        <w:ind w:firstLine="567"/>
        <w:jc w:val="both"/>
        <w:rPr>
          <w:rFonts w:ascii="NewBaskerville" w:hAnsi="NewBaskerville"/>
          <w:bCs/>
        </w:rPr>
      </w:pPr>
    </w:p>
    <w:p w:rsidR="00CC534B" w:rsidRDefault="00CC534B" w:rsidP="002E445F">
      <w:pPr>
        <w:tabs>
          <w:tab w:val="right" w:pos="8364"/>
        </w:tabs>
        <w:ind w:firstLine="567"/>
        <w:jc w:val="both"/>
        <w:rPr>
          <w:rFonts w:ascii="NewBaskerville" w:hAnsi="NewBaskerville"/>
          <w:bCs/>
        </w:rPr>
      </w:pPr>
      <w:r>
        <w:rPr>
          <w:rFonts w:ascii="NewBaskerville" w:hAnsi="NewBaskerville"/>
          <w:bCs/>
        </w:rPr>
        <w:t>En el ejercicio 2023 se ha provisionado la cantidad de 63.685,10 euros como consecuencia de la efectiva aplicación del incremento salarial en un 0,5</w:t>
      </w:r>
      <w:r w:rsidR="00A65372">
        <w:rPr>
          <w:rFonts w:ascii="NewBaskerville" w:hAnsi="NewBaskerville"/>
          <w:bCs/>
        </w:rPr>
        <w:t>% al personal de la APB, con efectos del 01/01/2023 según la Ley 31/2022 de Presupuestos Generales del Estado para 2023.</w:t>
      </w:r>
    </w:p>
    <w:p w:rsidR="00A65372" w:rsidRDefault="00A65372" w:rsidP="002E445F">
      <w:pPr>
        <w:tabs>
          <w:tab w:val="right" w:pos="8364"/>
        </w:tabs>
        <w:ind w:firstLine="567"/>
        <w:jc w:val="both"/>
        <w:rPr>
          <w:rFonts w:ascii="NewBaskerville" w:hAnsi="NewBaskerville"/>
          <w:bCs/>
        </w:rPr>
      </w:pPr>
    </w:p>
    <w:p w:rsidR="00A65372" w:rsidRDefault="00A65372" w:rsidP="00A65372">
      <w:pPr>
        <w:numPr>
          <w:ilvl w:val="0"/>
          <w:numId w:val="2"/>
        </w:numPr>
        <w:tabs>
          <w:tab w:val="right" w:pos="8364"/>
        </w:tabs>
        <w:jc w:val="both"/>
        <w:rPr>
          <w:rFonts w:ascii="NewBaskerville" w:hAnsi="NewBaskerville"/>
          <w:bCs/>
          <w:u w:val="single"/>
        </w:rPr>
      </w:pPr>
      <w:r>
        <w:rPr>
          <w:rFonts w:ascii="NewBaskerville" w:hAnsi="NewBaskerville"/>
          <w:bCs/>
          <w:u w:val="single"/>
        </w:rPr>
        <w:t>Contingencias</w:t>
      </w:r>
    </w:p>
    <w:p w:rsidR="00A65372" w:rsidRDefault="00A65372" w:rsidP="00A65372">
      <w:pPr>
        <w:tabs>
          <w:tab w:val="right" w:pos="8364"/>
        </w:tabs>
        <w:ind w:left="720"/>
        <w:jc w:val="both"/>
        <w:rPr>
          <w:rFonts w:ascii="NewBaskerville" w:hAnsi="NewBaskerville"/>
          <w:bCs/>
          <w:u w:val="single"/>
        </w:rPr>
      </w:pPr>
    </w:p>
    <w:p w:rsidR="00A65372" w:rsidRDefault="00744A3B" w:rsidP="00A65372">
      <w:pPr>
        <w:tabs>
          <w:tab w:val="right" w:pos="8364"/>
        </w:tabs>
        <w:ind w:firstLine="567"/>
        <w:jc w:val="both"/>
        <w:rPr>
          <w:rFonts w:ascii="NewBaskerville" w:hAnsi="NewBaskerville"/>
          <w:bCs/>
        </w:rPr>
      </w:pPr>
      <w:r>
        <w:rPr>
          <w:rFonts w:ascii="NewBaskerville" w:hAnsi="NewBaskerville"/>
          <w:bCs/>
        </w:rPr>
        <w:t xml:space="preserve">La Comisión Negociadora del III Convenio Colectivo de Puertos del Estado y Autoridades Portuarias aprobó cantidades adicionales cada año para promociones y productividad, lo que supone en términos generales del Sistema Portuario un incremento del 1,64% anual de la masa salarial durante toda la vigencia del Convenio, hasta 2026. Debido a que el importe de esta obligación no puede valorarse con suficiente fiabilidad, no se ha dotado provisión. </w:t>
      </w:r>
    </w:p>
    <w:p w:rsidR="00C86371" w:rsidRDefault="00C86371" w:rsidP="00A65372">
      <w:pPr>
        <w:tabs>
          <w:tab w:val="right" w:pos="8364"/>
        </w:tabs>
        <w:ind w:firstLine="567"/>
        <w:jc w:val="both"/>
        <w:rPr>
          <w:rFonts w:ascii="NewBaskerville" w:hAnsi="NewBaskerville"/>
          <w:bCs/>
        </w:rPr>
      </w:pPr>
    </w:p>
    <w:p w:rsidR="00C86371" w:rsidRPr="00744A3B" w:rsidRDefault="001328BC" w:rsidP="00A65372">
      <w:pPr>
        <w:tabs>
          <w:tab w:val="right" w:pos="8364"/>
        </w:tabs>
        <w:ind w:firstLine="567"/>
        <w:jc w:val="both"/>
        <w:rPr>
          <w:rFonts w:ascii="NewBaskerville" w:hAnsi="NewBaskerville"/>
          <w:bCs/>
        </w:rPr>
      </w:pPr>
      <w:r>
        <w:rPr>
          <w:rFonts w:ascii="NewBaskerville" w:hAnsi="NewBaskerville"/>
          <w:bCs/>
        </w:rPr>
        <w:t>Existen en curso litigios y procesos judiciales</w:t>
      </w:r>
      <w:r w:rsidR="004208E0">
        <w:rPr>
          <w:rFonts w:ascii="NewBaskerville" w:hAnsi="NewBaskerville"/>
          <w:bCs/>
        </w:rPr>
        <w:t xml:space="preserve"> sin cantidad a reclamar a la APB</w:t>
      </w:r>
      <w:r>
        <w:rPr>
          <w:rFonts w:ascii="NewBaskerville" w:hAnsi="NewBaskerville"/>
          <w:bCs/>
        </w:rPr>
        <w:t xml:space="preserve"> </w:t>
      </w:r>
      <w:r w:rsidR="004208E0">
        <w:rPr>
          <w:rFonts w:ascii="NewBaskerville" w:hAnsi="NewBaskerville"/>
          <w:bCs/>
        </w:rPr>
        <w:t>que en función de su</w:t>
      </w:r>
      <w:r>
        <w:rPr>
          <w:rFonts w:ascii="NewBaskerville" w:hAnsi="NewBaskerville"/>
          <w:bCs/>
        </w:rPr>
        <w:t xml:space="preserve"> resolución</w:t>
      </w:r>
      <w:r w:rsidR="004208E0">
        <w:rPr>
          <w:rFonts w:ascii="NewBaskerville" w:hAnsi="NewBaskerville"/>
          <w:bCs/>
        </w:rPr>
        <w:t>,</w:t>
      </w:r>
      <w:r>
        <w:rPr>
          <w:rFonts w:ascii="NewBaskerville" w:hAnsi="NewBaskerville"/>
          <w:bCs/>
        </w:rPr>
        <w:t xml:space="preserve"> y sentido de </w:t>
      </w:r>
      <w:r w:rsidR="004208E0">
        <w:rPr>
          <w:rFonts w:ascii="NewBaskerville" w:hAnsi="NewBaskerville"/>
          <w:bCs/>
        </w:rPr>
        <w:t xml:space="preserve">las sentencias, podrían acarrear a la Entidad responsabilidades patrimoniales y civiles. Los importes de estas obligaciones no pueden valorarse con suficiente fiabilidad.  </w:t>
      </w:r>
    </w:p>
    <w:p w:rsidR="00CC534B" w:rsidRPr="002E445F" w:rsidRDefault="00CC534B" w:rsidP="002E445F">
      <w:pPr>
        <w:tabs>
          <w:tab w:val="right" w:pos="8364"/>
        </w:tabs>
        <w:ind w:firstLine="567"/>
        <w:jc w:val="both"/>
        <w:rPr>
          <w:rFonts w:ascii="NewBaskerville" w:hAnsi="NewBaskerville"/>
          <w:bCs/>
        </w:rPr>
      </w:pPr>
    </w:p>
    <w:p w:rsidR="00F5454C" w:rsidRDefault="00F5454C">
      <w:pPr>
        <w:pStyle w:val="Epgrafe"/>
        <w:ind w:left="567" w:hanging="567"/>
        <w:rPr>
          <w:bCs w:val="0"/>
          <w:sz w:val="24"/>
          <w:szCs w:val="24"/>
          <w:u w:val="none"/>
        </w:rPr>
      </w:pPr>
    </w:p>
    <w:p w:rsidR="000C4583" w:rsidRDefault="000C4583" w:rsidP="00357986">
      <w:pPr>
        <w:pStyle w:val="Sangra3detindependiente"/>
        <w:tabs>
          <w:tab w:val="clear" w:pos="5671"/>
          <w:tab w:val="clear" w:pos="7797"/>
          <w:tab w:val="right" w:pos="8364"/>
        </w:tabs>
        <w:rPr>
          <w:sz w:val="20"/>
          <w:szCs w:val="20"/>
        </w:rPr>
      </w:pPr>
    </w:p>
    <w:p w:rsidR="000C4583" w:rsidRDefault="000C4583" w:rsidP="00357986">
      <w:pPr>
        <w:pStyle w:val="Sangra3detindependiente"/>
        <w:tabs>
          <w:tab w:val="clear" w:pos="5671"/>
          <w:tab w:val="clear" w:pos="7797"/>
          <w:tab w:val="right" w:pos="8364"/>
        </w:tabs>
        <w:rPr>
          <w:sz w:val="20"/>
          <w:szCs w:val="20"/>
        </w:rPr>
      </w:pPr>
    </w:p>
    <w:p w:rsidR="00536F43" w:rsidRPr="00536F43" w:rsidRDefault="00536F43" w:rsidP="00536F43"/>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pPr>
    </w:p>
    <w:p w:rsidR="004555FE" w:rsidRDefault="004555FE">
      <w:pPr>
        <w:pStyle w:val="Epgrafe"/>
        <w:ind w:left="567" w:hanging="567"/>
        <w:rPr>
          <w:rFonts w:ascii="NewBaskerville" w:hAnsi="NewBaskerville"/>
          <w:bCs w:val="0"/>
          <w:sz w:val="24"/>
          <w:szCs w:val="24"/>
          <w:u w:val="none"/>
        </w:rPr>
        <w:sectPr w:rsidR="004555FE" w:rsidSect="00790C4F">
          <w:pgSz w:w="11907" w:h="16840" w:code="9"/>
          <w:pgMar w:top="1701" w:right="1418" w:bottom="1701" w:left="1985" w:header="567" w:footer="720" w:gutter="0"/>
          <w:cols w:space="720"/>
          <w:docGrid w:linePitch="272"/>
        </w:sectPr>
      </w:pPr>
    </w:p>
    <w:p w:rsidR="002C4355" w:rsidRPr="009D2993" w:rsidRDefault="002E417C">
      <w:pPr>
        <w:pStyle w:val="Epgrafe"/>
        <w:ind w:left="567" w:hanging="567"/>
        <w:rPr>
          <w:rFonts w:ascii="NewBaskerville" w:hAnsi="NewBaskerville"/>
          <w:bCs w:val="0"/>
          <w:sz w:val="24"/>
          <w:szCs w:val="24"/>
          <w:u w:val="none"/>
        </w:rPr>
      </w:pPr>
      <w:r w:rsidRPr="009D2993">
        <w:rPr>
          <w:rFonts w:ascii="NewBaskerville" w:hAnsi="NewBaskerville"/>
          <w:bCs w:val="0"/>
          <w:sz w:val="24"/>
          <w:szCs w:val="24"/>
          <w:u w:val="none"/>
        </w:rPr>
        <w:lastRenderedPageBreak/>
        <w:t>1</w:t>
      </w:r>
      <w:r w:rsidR="00F706A9" w:rsidRPr="009D2993">
        <w:rPr>
          <w:rFonts w:ascii="NewBaskerville" w:hAnsi="NewBaskerville"/>
          <w:bCs w:val="0"/>
          <w:sz w:val="24"/>
          <w:szCs w:val="24"/>
          <w:u w:val="none"/>
        </w:rPr>
        <w:t>1</w:t>
      </w:r>
      <w:r w:rsidR="00BF22FE" w:rsidRPr="009D2993">
        <w:rPr>
          <w:rFonts w:ascii="NewBaskerville" w:hAnsi="NewBaskerville"/>
          <w:bCs w:val="0"/>
          <w:sz w:val="24"/>
          <w:szCs w:val="24"/>
          <w:u w:val="none"/>
        </w:rPr>
        <w:t xml:space="preserve">. </w:t>
      </w:r>
      <w:r w:rsidR="002C4355" w:rsidRPr="009D2993">
        <w:rPr>
          <w:rFonts w:ascii="NewBaskerville" w:hAnsi="NewBaskerville"/>
          <w:bCs w:val="0"/>
          <w:sz w:val="24"/>
          <w:szCs w:val="24"/>
          <w:u w:val="none"/>
        </w:rPr>
        <w:t>Subvenciones, donaciones y legados</w:t>
      </w:r>
    </w:p>
    <w:p w:rsidR="00847A98" w:rsidRDefault="00EE215C">
      <w:pPr>
        <w:rPr>
          <w:rFonts w:ascii="NewBaskerville" w:hAnsi="NewBaskerville"/>
        </w:rPr>
      </w:pPr>
      <w:r w:rsidRPr="009D2993">
        <w:rPr>
          <w:rFonts w:ascii="NewBaskerville" w:hAnsi="NewBaskerville"/>
        </w:rPr>
        <w:t xml:space="preserve">     </w:t>
      </w:r>
      <w:r w:rsidR="002C4355" w:rsidRPr="009D2993">
        <w:rPr>
          <w:rFonts w:ascii="NewBaskerville" w:hAnsi="NewBaskerville"/>
        </w:rPr>
        <w:t xml:space="preserve">Las subvenciones que ha recibido esta Autoridad Portuaria son subvenciones de capital no reintegrables </w:t>
      </w:r>
      <w:r w:rsidR="00766EC1">
        <w:rPr>
          <w:rFonts w:ascii="NewBaskerville" w:hAnsi="NewBaskerville"/>
        </w:rPr>
        <w:t xml:space="preserve">básicamente </w:t>
      </w:r>
      <w:r w:rsidR="002C4355" w:rsidRPr="009D2993">
        <w:rPr>
          <w:rFonts w:ascii="NewBaskerville" w:hAnsi="NewBaskerville"/>
        </w:rPr>
        <w:t>para la construcción de unas determinadas infraestructuras.</w:t>
      </w:r>
    </w:p>
    <w:p w:rsidR="00E12B17" w:rsidRDefault="00E12B17"/>
    <w:tbl>
      <w:tblPr>
        <w:tblW w:w="13675" w:type="dxa"/>
        <w:tblCellMar>
          <w:left w:w="70" w:type="dxa"/>
          <w:right w:w="70" w:type="dxa"/>
        </w:tblCellMar>
        <w:tblLook w:val="04A0" w:firstRow="1" w:lastRow="0" w:firstColumn="1" w:lastColumn="0" w:noHBand="0" w:noVBand="1"/>
      </w:tblPr>
      <w:tblGrid>
        <w:gridCol w:w="4695"/>
        <w:gridCol w:w="1125"/>
        <w:gridCol w:w="1349"/>
        <w:gridCol w:w="1318"/>
        <w:gridCol w:w="1459"/>
        <w:gridCol w:w="1737"/>
        <w:gridCol w:w="867"/>
        <w:gridCol w:w="1125"/>
      </w:tblGrid>
      <w:tr w:rsidR="004555FE" w:rsidRPr="004555FE" w:rsidTr="00E12B17">
        <w:trPr>
          <w:cantSplit/>
          <w:trHeight w:val="158"/>
        </w:trPr>
        <w:tc>
          <w:tcPr>
            <w:tcW w:w="0" w:type="auto"/>
            <w:gridSpan w:val="6"/>
            <w:tcBorders>
              <w:top w:val="nil"/>
              <w:left w:val="nil"/>
              <w:bottom w:val="single" w:sz="4" w:space="0" w:color="auto"/>
              <w:right w:val="nil"/>
            </w:tcBorders>
            <w:shd w:val="clear" w:color="000000" w:fill="FFFFFF"/>
            <w:noWrap/>
            <w:vAlign w:val="bottom"/>
            <w:hideMark/>
          </w:tcPr>
          <w:p w:rsidR="004555FE" w:rsidRPr="004555FE" w:rsidRDefault="004555FE" w:rsidP="004555FE">
            <w:pPr>
              <w:rPr>
                <w:rFonts w:ascii="Lucida Bright" w:hAnsi="Lucida Bright" w:cs="Calibri"/>
                <w:b/>
                <w:bCs/>
                <w:sz w:val="18"/>
                <w:szCs w:val="18"/>
                <w:lang w:val="es-ES"/>
              </w:rPr>
            </w:pPr>
            <w:r w:rsidRPr="004555FE">
              <w:rPr>
                <w:rFonts w:ascii="Lucida Bright" w:hAnsi="Lucida Bright" w:cs="Calibri"/>
                <w:b/>
                <w:bCs/>
                <w:sz w:val="18"/>
                <w:szCs w:val="18"/>
                <w:lang w:val="es-ES"/>
              </w:rPr>
              <w:t>CUADRO: SUBVENCIONES, DONACIONES Y LEGADOS RECIBIDOS 2023</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(en euros)</w:t>
            </w:r>
          </w:p>
        </w:tc>
        <w:tc>
          <w:tcPr>
            <w:tcW w:w="0" w:type="auto"/>
            <w:tcBorders>
              <w:top w:val="nil"/>
              <w:left w:val="nil"/>
              <w:bottom w:val="nil"/>
              <w:right w:val="nil"/>
            </w:tcBorders>
            <w:shd w:val="clear" w:color="000000" w:fill="FFFFFF"/>
            <w:noWrap/>
            <w:vAlign w:val="center"/>
            <w:hideMark/>
          </w:tcPr>
          <w:p w:rsidR="004555FE" w:rsidRPr="004555FE" w:rsidRDefault="004555FE" w:rsidP="004555FE">
            <w:pPr>
              <w:rPr>
                <w:rFonts w:ascii="Arial" w:hAnsi="Arial" w:cs="Arial"/>
                <w:lang w:val="es-ES"/>
              </w:rPr>
            </w:pPr>
            <w:r w:rsidRPr="004555FE">
              <w:rPr>
                <w:rFonts w:ascii="Arial" w:hAnsi="Arial" w:cs="Arial"/>
                <w:lang w:val="es-ES"/>
              </w:rPr>
              <w:t> </w:t>
            </w:r>
          </w:p>
        </w:tc>
      </w:tr>
      <w:tr w:rsidR="004555FE" w:rsidRPr="004555FE" w:rsidTr="00E12B17">
        <w:trPr>
          <w:cantSplit/>
          <w:trHeight w:val="158"/>
        </w:trPr>
        <w:tc>
          <w:tcPr>
            <w:tcW w:w="0" w:type="auto"/>
            <w:tcBorders>
              <w:top w:val="nil"/>
              <w:left w:val="single" w:sz="4" w:space="0" w:color="auto"/>
              <w:bottom w:val="nil"/>
              <w:right w:val="nil"/>
            </w:tcBorders>
            <w:shd w:val="clear" w:color="000000" w:fill="CCFFCC"/>
            <w:noWrap/>
            <w:vAlign w:val="center"/>
            <w:hideMark/>
          </w:tcPr>
          <w:p w:rsidR="004555FE" w:rsidRPr="004555FE" w:rsidRDefault="004555FE" w:rsidP="004555FE">
            <w:pPr>
              <w:jc w:val="center"/>
              <w:rPr>
                <w:rFonts w:ascii="Lucida Bright" w:hAnsi="Lucida Bright" w:cs="Calibri"/>
                <w:b/>
                <w:bCs/>
                <w:sz w:val="14"/>
                <w:szCs w:val="14"/>
                <w:lang w:val="es-ES"/>
              </w:rPr>
            </w:pPr>
            <w:r w:rsidRPr="004555FE">
              <w:rPr>
                <w:rFonts w:ascii="Lucida Bright" w:hAnsi="Lucida Bright" w:cs="Calibri"/>
                <w:b/>
                <w:bCs/>
                <w:sz w:val="14"/>
                <w:szCs w:val="14"/>
                <w:lang w:val="es-ES"/>
              </w:rPr>
              <w:t>CONCEPTO</w:t>
            </w:r>
          </w:p>
        </w:tc>
        <w:tc>
          <w:tcPr>
            <w:tcW w:w="0" w:type="auto"/>
            <w:tcBorders>
              <w:top w:val="nil"/>
              <w:left w:val="single" w:sz="4" w:space="0" w:color="auto"/>
              <w:bottom w:val="nil"/>
              <w:right w:val="single" w:sz="4" w:space="0" w:color="auto"/>
            </w:tcBorders>
            <w:shd w:val="clear" w:color="000000" w:fill="CCFFCC"/>
            <w:vAlign w:val="center"/>
            <w:hideMark/>
          </w:tcPr>
          <w:p w:rsidR="004555FE" w:rsidRPr="004555FE" w:rsidRDefault="004555FE" w:rsidP="004555FE">
            <w:pPr>
              <w:jc w:val="center"/>
              <w:rPr>
                <w:rFonts w:ascii="Lucida Bright" w:hAnsi="Lucida Bright" w:cs="Calibri"/>
                <w:sz w:val="14"/>
                <w:szCs w:val="14"/>
                <w:lang w:val="es-ES"/>
              </w:rPr>
            </w:pPr>
            <w:r w:rsidRPr="004555FE">
              <w:rPr>
                <w:rFonts w:ascii="Lucida Bright" w:hAnsi="Lucida Bright" w:cs="Calibri"/>
                <w:sz w:val="14"/>
                <w:szCs w:val="14"/>
                <w:lang w:val="es-ES"/>
              </w:rPr>
              <w:t>Saldo a</w:t>
            </w:r>
            <w:r w:rsidRPr="004555FE">
              <w:rPr>
                <w:rFonts w:ascii="Lucida Bright" w:hAnsi="Lucida Bright" w:cs="Calibri"/>
                <w:sz w:val="14"/>
                <w:szCs w:val="14"/>
                <w:lang w:val="es-ES"/>
              </w:rPr>
              <w:br/>
              <w:t>31-12-22</w:t>
            </w:r>
          </w:p>
        </w:tc>
        <w:tc>
          <w:tcPr>
            <w:tcW w:w="0" w:type="auto"/>
            <w:tcBorders>
              <w:top w:val="nil"/>
              <w:left w:val="nil"/>
              <w:bottom w:val="single" w:sz="4" w:space="0" w:color="auto"/>
              <w:right w:val="single" w:sz="4" w:space="0" w:color="auto"/>
            </w:tcBorders>
            <w:shd w:val="clear" w:color="000000" w:fill="CCFFCC"/>
            <w:vAlign w:val="center"/>
            <w:hideMark/>
          </w:tcPr>
          <w:p w:rsidR="004555FE" w:rsidRPr="004555FE" w:rsidRDefault="004555FE" w:rsidP="004555FE">
            <w:pPr>
              <w:jc w:val="center"/>
              <w:rPr>
                <w:rFonts w:ascii="Lucida Bright" w:hAnsi="Lucida Bright" w:cs="Calibri"/>
                <w:sz w:val="14"/>
                <w:szCs w:val="14"/>
                <w:lang w:val="es-ES"/>
              </w:rPr>
            </w:pPr>
            <w:r w:rsidRPr="004555FE">
              <w:rPr>
                <w:rFonts w:ascii="Lucida Bright" w:hAnsi="Lucida Bright" w:cs="Calibri"/>
                <w:sz w:val="14"/>
                <w:szCs w:val="14"/>
                <w:lang w:val="es-ES"/>
              </w:rPr>
              <w:t>Importe devengado en el ejercicio (+)</w:t>
            </w:r>
          </w:p>
        </w:tc>
        <w:tc>
          <w:tcPr>
            <w:tcW w:w="0" w:type="auto"/>
            <w:tcBorders>
              <w:top w:val="nil"/>
              <w:left w:val="nil"/>
              <w:bottom w:val="single" w:sz="4" w:space="0" w:color="auto"/>
              <w:right w:val="single" w:sz="4" w:space="0" w:color="auto"/>
            </w:tcBorders>
            <w:shd w:val="clear" w:color="000000" w:fill="CCFFCC"/>
            <w:vAlign w:val="center"/>
            <w:hideMark/>
          </w:tcPr>
          <w:p w:rsidR="004555FE" w:rsidRPr="004555FE" w:rsidRDefault="004555FE" w:rsidP="004555FE">
            <w:pPr>
              <w:jc w:val="center"/>
              <w:rPr>
                <w:rFonts w:ascii="Lucida Bright" w:hAnsi="Lucida Bright" w:cs="Calibri"/>
                <w:sz w:val="14"/>
                <w:szCs w:val="14"/>
                <w:lang w:val="es-ES"/>
              </w:rPr>
            </w:pPr>
            <w:r w:rsidRPr="004555FE">
              <w:rPr>
                <w:rFonts w:ascii="Lucida Bright" w:hAnsi="Lucida Bright" w:cs="Calibri"/>
                <w:sz w:val="14"/>
                <w:szCs w:val="14"/>
                <w:lang w:val="es-ES"/>
              </w:rPr>
              <w:t>Efecto impositivo de los devengos (-)</w:t>
            </w:r>
          </w:p>
        </w:tc>
        <w:tc>
          <w:tcPr>
            <w:tcW w:w="0" w:type="auto"/>
            <w:tcBorders>
              <w:top w:val="nil"/>
              <w:left w:val="nil"/>
              <w:bottom w:val="nil"/>
              <w:right w:val="single" w:sz="4" w:space="0" w:color="auto"/>
            </w:tcBorders>
            <w:shd w:val="clear" w:color="000000" w:fill="CCFFCC"/>
            <w:vAlign w:val="center"/>
            <w:hideMark/>
          </w:tcPr>
          <w:p w:rsidR="004555FE" w:rsidRPr="004555FE" w:rsidRDefault="004555FE" w:rsidP="004555FE">
            <w:pPr>
              <w:jc w:val="center"/>
              <w:rPr>
                <w:rFonts w:ascii="Lucida Bright" w:hAnsi="Lucida Bright" w:cs="Calibri"/>
                <w:sz w:val="14"/>
                <w:szCs w:val="14"/>
                <w:lang w:val="es-ES"/>
              </w:rPr>
            </w:pPr>
            <w:r w:rsidRPr="004555FE">
              <w:rPr>
                <w:rFonts w:ascii="Lucida Bright" w:hAnsi="Lucida Bright" w:cs="Calibri"/>
                <w:sz w:val="14"/>
                <w:szCs w:val="14"/>
                <w:lang w:val="es-ES"/>
              </w:rPr>
              <w:t>Importe traspasado al resultado del ejercicio (-)</w:t>
            </w:r>
          </w:p>
        </w:tc>
        <w:tc>
          <w:tcPr>
            <w:tcW w:w="0" w:type="auto"/>
            <w:tcBorders>
              <w:top w:val="nil"/>
              <w:left w:val="nil"/>
              <w:bottom w:val="nil"/>
              <w:right w:val="single" w:sz="4" w:space="0" w:color="auto"/>
            </w:tcBorders>
            <w:shd w:val="clear" w:color="000000" w:fill="CCFFCC"/>
            <w:vAlign w:val="center"/>
            <w:hideMark/>
          </w:tcPr>
          <w:p w:rsidR="004555FE" w:rsidRPr="004555FE" w:rsidRDefault="004555FE" w:rsidP="004555FE">
            <w:pPr>
              <w:jc w:val="center"/>
              <w:rPr>
                <w:rFonts w:ascii="Lucida Bright" w:hAnsi="Lucida Bright" w:cs="Calibri"/>
                <w:sz w:val="14"/>
                <w:szCs w:val="14"/>
                <w:lang w:val="es-ES"/>
              </w:rPr>
            </w:pPr>
            <w:proofErr w:type="spellStart"/>
            <w:r w:rsidRPr="004555FE">
              <w:rPr>
                <w:rFonts w:ascii="Lucida Bright" w:hAnsi="Lucida Bright" w:cs="Calibri"/>
                <w:sz w:val="14"/>
                <w:szCs w:val="14"/>
                <w:lang w:val="es-ES"/>
              </w:rPr>
              <w:t>Trasp</w:t>
            </w:r>
            <w:proofErr w:type="spellEnd"/>
            <w:r w:rsidRPr="004555FE">
              <w:rPr>
                <w:rFonts w:ascii="Lucida Bright" w:hAnsi="Lucida Bright" w:cs="Calibri"/>
                <w:sz w:val="14"/>
                <w:szCs w:val="14"/>
                <w:lang w:val="es-ES"/>
              </w:rPr>
              <w:t xml:space="preserve">. </w:t>
            </w:r>
            <w:proofErr w:type="gramStart"/>
            <w:r w:rsidRPr="004555FE">
              <w:rPr>
                <w:rFonts w:ascii="Lucida Bright" w:hAnsi="Lucida Bright" w:cs="Calibri"/>
                <w:sz w:val="14"/>
                <w:szCs w:val="14"/>
                <w:lang w:val="es-ES"/>
              </w:rPr>
              <w:t>a/de</w:t>
            </w:r>
            <w:proofErr w:type="gramEnd"/>
            <w:r w:rsidRPr="004555FE">
              <w:rPr>
                <w:rFonts w:ascii="Lucida Bright" w:hAnsi="Lucida Bright" w:cs="Calibri"/>
                <w:sz w:val="14"/>
                <w:szCs w:val="14"/>
                <w:lang w:val="es-ES"/>
              </w:rPr>
              <w:t xml:space="preserve"> deudas a </w:t>
            </w:r>
            <w:proofErr w:type="spellStart"/>
            <w:r w:rsidRPr="004555FE">
              <w:rPr>
                <w:rFonts w:ascii="Lucida Bright" w:hAnsi="Lucida Bright" w:cs="Calibri"/>
                <w:sz w:val="14"/>
                <w:szCs w:val="14"/>
                <w:lang w:val="es-ES"/>
              </w:rPr>
              <w:t>l.p</w:t>
            </w:r>
            <w:proofErr w:type="spellEnd"/>
            <w:r w:rsidRPr="004555FE">
              <w:rPr>
                <w:rFonts w:ascii="Lucida Bright" w:hAnsi="Lucida Bright" w:cs="Calibri"/>
                <w:sz w:val="14"/>
                <w:szCs w:val="14"/>
                <w:lang w:val="es-ES"/>
              </w:rPr>
              <w:t xml:space="preserve">. por </w:t>
            </w:r>
            <w:proofErr w:type="spellStart"/>
            <w:r w:rsidRPr="004555FE">
              <w:rPr>
                <w:rFonts w:ascii="Lucida Bright" w:hAnsi="Lucida Bright" w:cs="Calibri"/>
                <w:sz w:val="14"/>
                <w:szCs w:val="14"/>
                <w:lang w:val="es-ES"/>
              </w:rPr>
              <w:t>subvenc</w:t>
            </w:r>
            <w:proofErr w:type="spellEnd"/>
            <w:r w:rsidRPr="004555FE">
              <w:rPr>
                <w:rFonts w:ascii="Lucida Bright" w:hAnsi="Lucida Bright" w:cs="Calibri"/>
                <w:sz w:val="14"/>
                <w:szCs w:val="14"/>
                <w:lang w:val="es-ES"/>
              </w:rPr>
              <w:t xml:space="preserve">. </w:t>
            </w:r>
            <w:proofErr w:type="spellStart"/>
            <w:r w:rsidRPr="004555FE">
              <w:rPr>
                <w:rFonts w:ascii="Lucida Bright" w:hAnsi="Lucida Bright" w:cs="Calibri"/>
                <w:sz w:val="14"/>
                <w:szCs w:val="14"/>
                <w:lang w:val="es-ES"/>
              </w:rPr>
              <w:t>supceptibles</w:t>
            </w:r>
            <w:proofErr w:type="spellEnd"/>
            <w:r w:rsidRPr="004555FE">
              <w:rPr>
                <w:rFonts w:ascii="Lucida Bright" w:hAnsi="Lucida Bright" w:cs="Calibri"/>
                <w:sz w:val="14"/>
                <w:szCs w:val="14"/>
                <w:lang w:val="es-ES"/>
              </w:rPr>
              <w:t xml:space="preserve"> de reintegro (+/-)</w:t>
            </w:r>
          </w:p>
        </w:tc>
        <w:tc>
          <w:tcPr>
            <w:tcW w:w="0" w:type="auto"/>
            <w:tcBorders>
              <w:top w:val="single" w:sz="4" w:space="0" w:color="auto"/>
              <w:left w:val="nil"/>
              <w:bottom w:val="nil"/>
              <w:right w:val="single" w:sz="4" w:space="0" w:color="auto"/>
            </w:tcBorders>
            <w:shd w:val="clear" w:color="000000" w:fill="CCFFCC"/>
            <w:vAlign w:val="center"/>
            <w:hideMark/>
          </w:tcPr>
          <w:p w:rsidR="004555FE" w:rsidRPr="004555FE" w:rsidRDefault="004555FE" w:rsidP="004555FE">
            <w:pPr>
              <w:jc w:val="center"/>
              <w:rPr>
                <w:rFonts w:ascii="Lucida Bright" w:hAnsi="Lucida Bright" w:cs="Calibri"/>
                <w:sz w:val="14"/>
                <w:szCs w:val="14"/>
                <w:lang w:val="es-ES"/>
              </w:rPr>
            </w:pPr>
            <w:r w:rsidRPr="004555FE">
              <w:rPr>
                <w:rFonts w:ascii="Lucida Bright" w:hAnsi="Lucida Bright" w:cs="Calibri"/>
                <w:sz w:val="14"/>
                <w:szCs w:val="14"/>
                <w:lang w:val="es-ES"/>
              </w:rPr>
              <w:t>Otras bajas (-)</w:t>
            </w:r>
          </w:p>
        </w:tc>
        <w:tc>
          <w:tcPr>
            <w:tcW w:w="0" w:type="auto"/>
            <w:tcBorders>
              <w:top w:val="single" w:sz="4" w:space="0" w:color="auto"/>
              <w:left w:val="nil"/>
              <w:bottom w:val="nil"/>
              <w:right w:val="single" w:sz="4" w:space="0" w:color="auto"/>
            </w:tcBorders>
            <w:shd w:val="clear" w:color="000000" w:fill="CCFFCC"/>
            <w:vAlign w:val="center"/>
            <w:hideMark/>
          </w:tcPr>
          <w:p w:rsidR="004555FE" w:rsidRPr="004555FE" w:rsidRDefault="004555FE" w:rsidP="004555FE">
            <w:pPr>
              <w:jc w:val="center"/>
              <w:rPr>
                <w:rFonts w:ascii="Lucida Bright" w:hAnsi="Lucida Bright" w:cs="Calibri"/>
                <w:sz w:val="14"/>
                <w:szCs w:val="14"/>
                <w:lang w:val="es-ES"/>
              </w:rPr>
            </w:pPr>
            <w:r w:rsidRPr="004555FE">
              <w:rPr>
                <w:rFonts w:ascii="Lucida Bright" w:hAnsi="Lucida Bright" w:cs="Calibri"/>
                <w:sz w:val="14"/>
                <w:szCs w:val="14"/>
                <w:lang w:val="es-ES"/>
              </w:rPr>
              <w:t>Saldo a</w:t>
            </w:r>
            <w:r w:rsidRPr="004555FE">
              <w:rPr>
                <w:rFonts w:ascii="Lucida Bright" w:hAnsi="Lucida Bright" w:cs="Calibri"/>
                <w:sz w:val="14"/>
                <w:szCs w:val="14"/>
                <w:lang w:val="es-ES"/>
              </w:rPr>
              <w:br/>
              <w:t>31-12-23</w:t>
            </w:r>
          </w:p>
        </w:tc>
      </w:tr>
      <w:tr w:rsidR="004555FE" w:rsidRPr="004555FE" w:rsidTr="00E12B17">
        <w:trPr>
          <w:cantSplit/>
          <w:trHeight w:val="158"/>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roofErr w:type="spellStart"/>
            <w:r w:rsidRPr="004555FE">
              <w:rPr>
                <w:rFonts w:ascii="Lucida Bright" w:hAnsi="Lucida Bright" w:cs="Calibri"/>
                <w:b/>
                <w:bCs/>
                <w:sz w:val="14"/>
                <w:szCs w:val="14"/>
                <w:lang w:val="es-ES"/>
              </w:rPr>
              <w:t>Feder</w:t>
            </w:r>
            <w:proofErr w:type="spellEnd"/>
            <w:r w:rsidRPr="004555FE">
              <w:rPr>
                <w:rFonts w:ascii="Lucida Bright" w:hAnsi="Lucida Bright" w:cs="Calibri"/>
                <w:b/>
                <w:bCs/>
                <w:sz w:val="14"/>
                <w:szCs w:val="14"/>
                <w:lang w:val="es-ES"/>
              </w:rPr>
              <w:t xml:space="preserve"> M.C.A. 07/13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Fondos de Cohesión 07/13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RUP. M.C.A. 07/13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roofErr w:type="spellStart"/>
            <w:r w:rsidRPr="004555FE">
              <w:rPr>
                <w:rFonts w:ascii="Lucida Bright" w:hAnsi="Lucida Bright" w:cs="Calibri"/>
                <w:b/>
                <w:bCs/>
                <w:sz w:val="14"/>
                <w:szCs w:val="14"/>
                <w:lang w:val="es-ES"/>
              </w:rPr>
              <w:t>Feder</w:t>
            </w:r>
            <w:proofErr w:type="spellEnd"/>
            <w:r w:rsidRPr="004555FE">
              <w:rPr>
                <w:rFonts w:ascii="Lucida Bright" w:hAnsi="Lucida Bright" w:cs="Calibri"/>
                <w:b/>
                <w:bCs/>
                <w:sz w:val="14"/>
                <w:szCs w:val="14"/>
                <w:lang w:val="es-ES"/>
              </w:rPr>
              <w:t xml:space="preserve"> M.C.A. 14/20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180.244,85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(45.061,21)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(672,06)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134.511,58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xml:space="preserve">Proyecto de renovación energética de </w:t>
            </w:r>
            <w:proofErr w:type="spellStart"/>
            <w:r w:rsidRPr="004555FE">
              <w:rPr>
                <w:rFonts w:ascii="Lucida Bright" w:hAnsi="Lucida Bright" w:cs="Calibri"/>
                <w:i/>
                <w:iCs/>
                <w:sz w:val="14"/>
                <w:szCs w:val="14"/>
                <w:lang w:val="es-ES"/>
              </w:rPr>
              <w:t>ed</w:t>
            </w:r>
            <w:proofErr w:type="spellEnd"/>
            <w:r w:rsidRPr="004555FE">
              <w:rPr>
                <w:rFonts w:ascii="Lucida Bright" w:hAnsi="Lucida Bright" w:cs="Calibri"/>
                <w:i/>
                <w:iCs/>
                <w:sz w:val="14"/>
                <w:szCs w:val="14"/>
                <w:lang w:val="es-ES"/>
              </w:rPr>
              <w:t xml:space="preserve"> e </w:t>
            </w:r>
            <w:proofErr w:type="spellStart"/>
            <w:r w:rsidRPr="004555FE">
              <w:rPr>
                <w:rFonts w:ascii="Lucida Bright" w:hAnsi="Lucida Bright" w:cs="Calibri"/>
                <w:i/>
                <w:iCs/>
                <w:sz w:val="14"/>
                <w:szCs w:val="14"/>
                <w:lang w:val="es-ES"/>
              </w:rPr>
              <w:t>infrae</w:t>
            </w:r>
            <w:proofErr w:type="spellEnd"/>
            <w:r w:rsidRPr="004555FE">
              <w:rPr>
                <w:rFonts w:ascii="Lucida Bright" w:hAnsi="Lucida Bright" w:cs="Calibri"/>
                <w:i/>
                <w:iCs/>
                <w:sz w:val="14"/>
                <w:szCs w:val="14"/>
                <w:lang w:val="es-ES"/>
              </w:rPr>
              <w:t xml:space="preserve"> AGE (IDAE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180.244,85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(45.061,21)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(672,06)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134.511,58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RUP M.C.A. 14/20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Otras de la Unión Europea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18.837.525,55</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89.933,86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(22.483,46)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(598.471,49)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18.306.504,46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proofErr w:type="spellStart"/>
            <w:r w:rsidRPr="004555FE">
              <w:rPr>
                <w:rFonts w:ascii="Lucida Bright" w:hAnsi="Lucida Bright" w:cs="Calibri"/>
                <w:sz w:val="14"/>
                <w:szCs w:val="14"/>
                <w:lang w:val="es-ES"/>
              </w:rPr>
              <w:t>Feder</w:t>
            </w:r>
            <w:proofErr w:type="spellEnd"/>
            <w:r w:rsidRPr="004555FE">
              <w:rPr>
                <w:rFonts w:ascii="Lucida Bright" w:hAnsi="Lucida Bright" w:cs="Calibri"/>
                <w:sz w:val="14"/>
                <w:szCs w:val="14"/>
                <w:lang w:val="es-ES"/>
              </w:rPr>
              <w:t xml:space="preserve"> M.C.A. 89/93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proofErr w:type="spellStart"/>
            <w:r w:rsidRPr="004555FE">
              <w:rPr>
                <w:rFonts w:ascii="Lucida Bright" w:hAnsi="Lucida Bright" w:cs="Calibri"/>
                <w:sz w:val="14"/>
                <w:szCs w:val="14"/>
                <w:lang w:val="es-ES"/>
              </w:rPr>
              <w:t>Feder</w:t>
            </w:r>
            <w:proofErr w:type="spellEnd"/>
            <w:r w:rsidRPr="004555FE">
              <w:rPr>
                <w:rFonts w:ascii="Lucida Bright" w:hAnsi="Lucida Bright" w:cs="Calibri"/>
                <w:sz w:val="14"/>
                <w:szCs w:val="14"/>
                <w:lang w:val="es-ES"/>
              </w:rPr>
              <w:t xml:space="preserve"> M.C.A. 94/99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proofErr w:type="spellStart"/>
            <w:r w:rsidRPr="004555FE">
              <w:rPr>
                <w:rFonts w:ascii="Lucida Bright" w:hAnsi="Lucida Bright" w:cs="Calibri"/>
                <w:sz w:val="14"/>
                <w:szCs w:val="14"/>
                <w:lang w:val="es-ES"/>
              </w:rPr>
              <w:t>Feder</w:t>
            </w:r>
            <w:proofErr w:type="spellEnd"/>
            <w:r w:rsidRPr="004555FE">
              <w:rPr>
                <w:rFonts w:ascii="Lucida Bright" w:hAnsi="Lucida Bright" w:cs="Calibri"/>
                <w:sz w:val="14"/>
                <w:szCs w:val="14"/>
                <w:lang w:val="es-ES"/>
              </w:rPr>
              <w:t xml:space="preserve"> M.C.A. 00/06</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Fondos de Cohesión 00/06</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18.418.365,41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(584.583,08)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17.833.782,33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CEF (TEN,RTE,RET-T)</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49.902,84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89.933,86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(22.483,46)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(3.116,61)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114.236,63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xml:space="preserve">OPS Master Plan </w:t>
            </w:r>
            <w:proofErr w:type="spellStart"/>
            <w:r w:rsidRPr="004555FE">
              <w:rPr>
                <w:rFonts w:ascii="Lucida Bright" w:hAnsi="Lucida Bright" w:cs="Calibri"/>
                <w:i/>
                <w:iCs/>
                <w:sz w:val="14"/>
                <w:szCs w:val="14"/>
                <w:lang w:val="es-ES"/>
              </w:rPr>
              <w:t>for</w:t>
            </w:r>
            <w:proofErr w:type="spellEnd"/>
            <w:r w:rsidRPr="004555FE">
              <w:rPr>
                <w:rFonts w:ascii="Lucida Bright" w:hAnsi="Lucida Bright" w:cs="Calibri"/>
                <w:i/>
                <w:iCs/>
                <w:sz w:val="14"/>
                <w:szCs w:val="14"/>
                <w:lang w:val="es-ES"/>
              </w:rPr>
              <w:t xml:space="preserve"> </w:t>
            </w:r>
            <w:proofErr w:type="spellStart"/>
            <w:r w:rsidRPr="004555FE">
              <w:rPr>
                <w:rFonts w:ascii="Lucida Bright" w:hAnsi="Lucida Bright" w:cs="Calibri"/>
                <w:i/>
                <w:iCs/>
                <w:sz w:val="14"/>
                <w:szCs w:val="14"/>
                <w:lang w:val="es-ES"/>
              </w:rPr>
              <w:t>Spanish</w:t>
            </w:r>
            <w:proofErr w:type="spellEnd"/>
            <w:r w:rsidRPr="004555FE">
              <w:rPr>
                <w:rFonts w:ascii="Lucida Bright" w:hAnsi="Lucida Bright" w:cs="Calibri"/>
                <w:i/>
                <w:iCs/>
                <w:sz w:val="14"/>
                <w:szCs w:val="14"/>
                <w:lang w:val="es-ES"/>
              </w:rPr>
              <w:t xml:space="preserve"> </w:t>
            </w:r>
            <w:proofErr w:type="spellStart"/>
            <w:r w:rsidRPr="004555FE">
              <w:rPr>
                <w:rFonts w:ascii="Lucida Bright" w:hAnsi="Lucida Bright" w:cs="Calibri"/>
                <w:i/>
                <w:iCs/>
                <w:sz w:val="14"/>
                <w:szCs w:val="14"/>
                <w:lang w:val="es-ES"/>
              </w:rPr>
              <w:t>Ports</w:t>
            </w:r>
            <w:proofErr w:type="spellEnd"/>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49.902,84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89.933,86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(22.483,46)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(3.116,61)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114.236,63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Otras de la U.E. (</w:t>
            </w:r>
            <w:proofErr w:type="spellStart"/>
            <w:r w:rsidRPr="004555FE">
              <w:rPr>
                <w:rFonts w:ascii="Lucida Bright" w:hAnsi="Lucida Bright" w:cs="Calibri"/>
                <w:sz w:val="14"/>
                <w:szCs w:val="14"/>
                <w:lang w:val="es-ES"/>
              </w:rPr>
              <w:t>Feoga</w:t>
            </w:r>
            <w:proofErr w:type="spellEnd"/>
            <w:r w:rsidRPr="004555FE">
              <w:rPr>
                <w:rFonts w:ascii="Lucida Bright" w:hAnsi="Lucida Bright" w:cs="Calibri"/>
                <w:sz w:val="14"/>
                <w:szCs w:val="14"/>
                <w:lang w:val="es-ES"/>
              </w:rPr>
              <w:t xml:space="preserve">, </w:t>
            </w:r>
            <w:proofErr w:type="spellStart"/>
            <w:r w:rsidRPr="004555FE">
              <w:rPr>
                <w:rFonts w:ascii="Lucida Bright" w:hAnsi="Lucida Bright" w:cs="Calibri"/>
                <w:sz w:val="14"/>
                <w:szCs w:val="14"/>
                <w:lang w:val="es-ES"/>
              </w:rPr>
              <w:t>Ifop</w:t>
            </w:r>
            <w:proofErr w:type="spellEnd"/>
            <w:r w:rsidRPr="004555FE">
              <w:rPr>
                <w:rFonts w:ascii="Lucida Bright" w:hAnsi="Lucida Bright" w:cs="Calibri"/>
                <w:sz w:val="14"/>
                <w:szCs w:val="14"/>
                <w:lang w:val="es-ES"/>
              </w:rPr>
              <w:t xml:space="preserve">, Hada, Red, </w:t>
            </w:r>
            <w:proofErr w:type="spellStart"/>
            <w:r w:rsidRPr="004555FE">
              <w:rPr>
                <w:rFonts w:ascii="Lucida Bright" w:hAnsi="Lucida Bright" w:cs="Calibri"/>
                <w:sz w:val="14"/>
                <w:szCs w:val="14"/>
                <w:lang w:val="es-ES"/>
              </w:rPr>
              <w:t>Poctefex</w:t>
            </w:r>
            <w:proofErr w:type="spellEnd"/>
            <w:r w:rsidRPr="004555FE">
              <w:rPr>
                <w:rFonts w:ascii="Lucida Bright" w:hAnsi="Lucida Bright" w:cs="Calibri"/>
                <w:sz w:val="14"/>
                <w:szCs w:val="14"/>
                <w:lang w:val="es-ES"/>
              </w:rPr>
              <w:t xml:space="preserve">, </w:t>
            </w:r>
            <w:proofErr w:type="spellStart"/>
            <w:r w:rsidRPr="004555FE">
              <w:rPr>
                <w:rFonts w:ascii="Lucida Bright" w:hAnsi="Lucida Bright" w:cs="Calibri"/>
                <w:sz w:val="14"/>
                <w:szCs w:val="14"/>
                <w:lang w:val="es-ES"/>
              </w:rPr>
              <w:t>etc</w:t>
            </w:r>
            <w:proofErr w:type="spellEnd"/>
            <w:r w:rsidRPr="004555FE">
              <w:rPr>
                <w:rFonts w:ascii="Lucida Bright" w:hAnsi="Lucida Bright" w:cs="Calibri"/>
                <w:sz w:val="14"/>
                <w:szCs w:val="14"/>
                <w:lang w:val="es-ES"/>
              </w:rPr>
              <w:t>)</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369.257,30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(10.771,80)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358.485,50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xml:space="preserve">Mejora de edificio para utillaje y almacén en el </w:t>
            </w:r>
            <w:proofErr w:type="spellStart"/>
            <w:r w:rsidRPr="004555FE">
              <w:rPr>
                <w:rFonts w:ascii="Lucida Bright" w:hAnsi="Lucida Bright" w:cs="Calibri"/>
                <w:i/>
                <w:iCs/>
                <w:sz w:val="14"/>
                <w:szCs w:val="14"/>
                <w:lang w:val="es-ES"/>
              </w:rPr>
              <w:t>Pto</w:t>
            </w:r>
            <w:proofErr w:type="spellEnd"/>
            <w:r w:rsidRPr="004555FE">
              <w:rPr>
                <w:rFonts w:ascii="Lucida Bright" w:hAnsi="Lucida Bright" w:cs="Calibri"/>
                <w:i/>
                <w:iCs/>
                <w:sz w:val="14"/>
                <w:szCs w:val="14"/>
                <w:lang w:val="es-ES"/>
              </w:rPr>
              <w:t>. de Alcudia</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137.418,46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(4.256,40)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133.162,06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xml:space="preserve">Reforma del edificio de servicios pesqueros del </w:t>
            </w:r>
            <w:proofErr w:type="spellStart"/>
            <w:r w:rsidRPr="004555FE">
              <w:rPr>
                <w:rFonts w:ascii="Lucida Bright" w:hAnsi="Lucida Bright" w:cs="Calibri"/>
                <w:i/>
                <w:iCs/>
                <w:sz w:val="14"/>
                <w:szCs w:val="14"/>
                <w:lang w:val="es-ES"/>
              </w:rPr>
              <w:t>Pto</w:t>
            </w:r>
            <w:proofErr w:type="spellEnd"/>
            <w:r w:rsidRPr="004555FE">
              <w:rPr>
                <w:rFonts w:ascii="Lucida Bright" w:hAnsi="Lucida Bright" w:cs="Calibri"/>
                <w:i/>
                <w:iCs/>
                <w:sz w:val="14"/>
                <w:szCs w:val="14"/>
                <w:lang w:val="es-ES"/>
              </w:rPr>
              <w:t>. Ibiza</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231.838,84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(6.515,40)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i/>
                <w:iCs/>
                <w:sz w:val="14"/>
                <w:szCs w:val="14"/>
                <w:lang w:val="es-ES"/>
              </w:rPr>
            </w:pPr>
            <w:r w:rsidRPr="004555FE">
              <w:rPr>
                <w:rFonts w:ascii="Lucida Bright" w:hAnsi="Lucida Bright" w:cs="Calibri"/>
                <w:i/>
                <w:iCs/>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i/>
                <w:iCs/>
                <w:sz w:val="14"/>
                <w:szCs w:val="14"/>
                <w:lang w:val="es-ES"/>
              </w:rPr>
            </w:pPr>
            <w:r w:rsidRPr="004555FE">
              <w:rPr>
                <w:rFonts w:ascii="Lucida Bright" w:hAnsi="Lucida Bright" w:cs="Calibri"/>
                <w:i/>
                <w:iCs/>
                <w:sz w:val="14"/>
                <w:szCs w:val="14"/>
                <w:lang w:val="es-ES"/>
              </w:rPr>
              <w:t xml:space="preserve">225.323,44 </w:t>
            </w:r>
          </w:p>
        </w:tc>
      </w:tr>
      <w:tr w:rsidR="004555FE" w:rsidRPr="004555FE" w:rsidTr="00E12B17">
        <w:trPr>
          <w:cantSplit/>
          <w:trHeight w:val="158"/>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Fondos MRR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925.981,86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(231.495,46)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694.486,40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Otras subvenciones, donaciones y legados de capital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650.549,70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(170.504,83)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480.044,87 </w:t>
            </w:r>
          </w:p>
        </w:tc>
      </w:tr>
      <w:tr w:rsidR="004555FE" w:rsidRPr="004555FE" w:rsidTr="00E12B17">
        <w:trPr>
          <w:cantSplit/>
          <w:trHeight w:val="158"/>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Otras subvenciones de capital</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Donaciones y legados de capital</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650.549,70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(170.504,83)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480.044,87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VEHÍCULOS FORMA CENTRALIZADA 2021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115.457,45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(20.679,00)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94.778,45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VEHÍCULOS FORMA CENTRALIZADA 2022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535.092,25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(149.825,83)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385.266,42 </w:t>
            </w:r>
          </w:p>
        </w:tc>
      </w:tr>
      <w:tr w:rsidR="004555FE" w:rsidRPr="004555FE" w:rsidTr="00E12B17">
        <w:trPr>
          <w:cantSplit/>
          <w:trHeight w:val="158"/>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TOTAL SUBVENCIONES, DONACIONES Y LEGADOS DE CAPITAL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19.488.075,25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1.196.160,57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(299.040,13)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(769.648,38)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19.615.547,31 </w:t>
            </w:r>
          </w:p>
        </w:tc>
      </w:tr>
      <w:tr w:rsidR="004555FE" w:rsidRPr="004555FE" w:rsidTr="00E12B17">
        <w:trPr>
          <w:cantSplit/>
          <w:trHeight w:val="158"/>
        </w:trPr>
        <w:tc>
          <w:tcPr>
            <w:tcW w:w="0" w:type="auto"/>
            <w:tcBorders>
              <w:top w:val="nil"/>
              <w:left w:val="single" w:sz="4" w:space="0" w:color="auto"/>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r>
      <w:tr w:rsidR="004555FE" w:rsidRPr="004555FE" w:rsidTr="00E12B17">
        <w:trPr>
          <w:cantSplit/>
          <w:trHeight w:val="158"/>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Otras subvenciones, donaciones y legados</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Ingresos diferidos por intereses subvencionados</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sz w:val="14"/>
                <w:szCs w:val="14"/>
                <w:lang w:val="es-ES"/>
              </w:rPr>
            </w:pPr>
            <w:r w:rsidRPr="004555FE">
              <w:rPr>
                <w:rFonts w:ascii="Lucida Bright" w:hAnsi="Lucida Bright" w:cs="Calibri"/>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TOTAL OTRAS SUBVENCIONES, DONACIONES Y LEGADOS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r>
      <w:tr w:rsidR="004555FE" w:rsidRPr="004555FE" w:rsidTr="00E12B17">
        <w:trPr>
          <w:cantSplit/>
          <w:trHeight w:val="158"/>
        </w:trPr>
        <w:tc>
          <w:tcPr>
            <w:tcW w:w="0" w:type="auto"/>
            <w:tcBorders>
              <w:top w:val="nil"/>
              <w:left w:val="single" w:sz="4" w:space="0" w:color="auto"/>
              <w:bottom w:val="nil"/>
              <w:right w:val="nil"/>
            </w:tcBorders>
            <w:shd w:val="clear" w:color="000000" w:fill="FFFFFF"/>
            <w:noWrap/>
            <w:vAlign w:val="bottom"/>
            <w:hideMark/>
          </w:tcPr>
          <w:p w:rsidR="004555FE" w:rsidRPr="004555FE" w:rsidRDefault="004555FE" w:rsidP="004555FE">
            <w:pPr>
              <w:rPr>
                <w:rFonts w:ascii="Lucida Bright" w:hAnsi="Lucida Bright" w:cs="Calibri"/>
                <w:color w:val="000000"/>
                <w:sz w:val="14"/>
                <w:szCs w:val="14"/>
                <w:lang w:val="es-ES"/>
              </w:rPr>
            </w:pPr>
            <w:r w:rsidRPr="004555FE">
              <w:rPr>
                <w:rFonts w:ascii="Lucida Bright" w:hAnsi="Lucida Bright" w:cs="Calibri"/>
                <w:color w:val="000000"/>
                <w:sz w:val="14"/>
                <w:szCs w:val="14"/>
                <w:lang w:val="es-ES"/>
              </w:rPr>
              <w:t> </w:t>
            </w:r>
          </w:p>
        </w:tc>
        <w:tc>
          <w:tcPr>
            <w:tcW w:w="0" w:type="auto"/>
            <w:tcBorders>
              <w:top w:val="nil"/>
              <w:left w:val="nil"/>
              <w:bottom w:val="single" w:sz="4" w:space="0" w:color="auto"/>
              <w:right w:val="nil"/>
            </w:tcBorders>
            <w:shd w:val="clear" w:color="000000" w:fill="FFFFFF"/>
            <w:noWrap/>
            <w:vAlign w:val="bottom"/>
            <w:hideMark/>
          </w:tcPr>
          <w:p w:rsidR="004555FE" w:rsidRPr="004555FE" w:rsidRDefault="004555FE" w:rsidP="004555FE">
            <w:pPr>
              <w:rPr>
                <w:rFonts w:ascii="Lucida Bright" w:hAnsi="Lucida Bright" w:cs="Calibri"/>
                <w:color w:val="000000"/>
                <w:sz w:val="14"/>
                <w:szCs w:val="14"/>
                <w:lang w:val="es-ES"/>
              </w:rPr>
            </w:pPr>
            <w:r w:rsidRPr="004555FE">
              <w:rPr>
                <w:rFonts w:ascii="Lucida Bright" w:hAnsi="Lucida Bright" w:cs="Calibri"/>
                <w:color w:val="000000"/>
                <w:sz w:val="14"/>
                <w:szCs w:val="14"/>
                <w:lang w:val="es-ES"/>
              </w:rPr>
              <w:t> </w:t>
            </w:r>
          </w:p>
        </w:tc>
        <w:tc>
          <w:tcPr>
            <w:tcW w:w="0" w:type="auto"/>
            <w:tcBorders>
              <w:top w:val="nil"/>
              <w:left w:val="nil"/>
              <w:bottom w:val="single" w:sz="4" w:space="0" w:color="auto"/>
              <w:right w:val="nil"/>
            </w:tcBorders>
            <w:shd w:val="clear" w:color="000000" w:fill="FFFFFF"/>
            <w:noWrap/>
            <w:vAlign w:val="bottom"/>
            <w:hideMark/>
          </w:tcPr>
          <w:p w:rsidR="004555FE" w:rsidRPr="004555FE" w:rsidRDefault="004555FE" w:rsidP="004555FE">
            <w:pPr>
              <w:rPr>
                <w:rFonts w:ascii="Lucida Bright" w:hAnsi="Lucida Bright" w:cs="Calibri"/>
                <w:color w:val="000000"/>
                <w:sz w:val="14"/>
                <w:szCs w:val="14"/>
                <w:lang w:val="es-ES"/>
              </w:rPr>
            </w:pPr>
            <w:r w:rsidRPr="004555FE">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color w:val="000000"/>
                <w:sz w:val="14"/>
                <w:szCs w:val="14"/>
                <w:lang w:val="es-ES"/>
              </w:rPr>
            </w:pPr>
            <w:r w:rsidRPr="004555FE">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color w:val="000000"/>
                <w:sz w:val="14"/>
                <w:szCs w:val="14"/>
                <w:lang w:val="es-ES"/>
              </w:rPr>
            </w:pPr>
            <w:r w:rsidRPr="004555FE">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color w:val="000000"/>
                <w:sz w:val="14"/>
                <w:szCs w:val="14"/>
                <w:lang w:val="es-ES"/>
              </w:rPr>
            </w:pPr>
            <w:r w:rsidRPr="004555FE">
              <w:rPr>
                <w:rFonts w:ascii="Lucida Bright" w:hAnsi="Lucida Bright" w:cs="Calibri"/>
                <w:color w:val="000000"/>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color w:val="000000"/>
                <w:sz w:val="14"/>
                <w:szCs w:val="14"/>
                <w:lang w:val="es-ES"/>
              </w:rPr>
            </w:pPr>
            <w:r w:rsidRPr="004555FE">
              <w:rPr>
                <w:rFonts w:ascii="Lucida Bright" w:hAnsi="Lucida Bright" w:cs="Calibri"/>
                <w:color w:val="000000"/>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4555FE" w:rsidRPr="004555FE" w:rsidRDefault="004555FE" w:rsidP="004555FE">
            <w:pPr>
              <w:rPr>
                <w:rFonts w:ascii="Lucida Bright" w:hAnsi="Lucida Bright" w:cs="Calibri"/>
                <w:color w:val="000000"/>
                <w:sz w:val="14"/>
                <w:szCs w:val="14"/>
                <w:lang w:val="es-ES"/>
              </w:rPr>
            </w:pPr>
            <w:r w:rsidRPr="004555FE">
              <w:rPr>
                <w:rFonts w:ascii="Lucida Bright" w:hAnsi="Lucida Bright" w:cs="Calibri"/>
                <w:color w:val="000000"/>
                <w:sz w:val="14"/>
                <w:szCs w:val="14"/>
                <w:lang w:val="es-ES"/>
              </w:rPr>
              <w:t> </w:t>
            </w:r>
          </w:p>
        </w:tc>
      </w:tr>
      <w:tr w:rsidR="004555FE" w:rsidRPr="004555FE" w:rsidTr="00E12B17">
        <w:trPr>
          <w:cantSplit/>
          <w:trHeight w:val="158"/>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4555FE" w:rsidRPr="004555FE" w:rsidRDefault="004555FE" w:rsidP="004555FE">
            <w:pPr>
              <w:rPr>
                <w:rFonts w:ascii="Lucida Bright" w:hAnsi="Lucida Bright" w:cs="Calibri"/>
                <w:b/>
                <w:bCs/>
                <w:sz w:val="14"/>
                <w:szCs w:val="14"/>
                <w:lang w:val="es-ES"/>
              </w:rPr>
            </w:pPr>
            <w:r w:rsidRPr="004555FE">
              <w:rPr>
                <w:rFonts w:ascii="Lucida Bright" w:hAnsi="Lucida Bright" w:cs="Calibri"/>
                <w:b/>
                <w:bCs/>
                <w:sz w:val="14"/>
                <w:szCs w:val="14"/>
                <w:lang w:val="es-ES"/>
              </w:rPr>
              <w:t xml:space="preserve"> TOTAL INGRESOS POR REVERSIÓN DE CONCESIONES</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2.171.424,86 </w:t>
            </w:r>
          </w:p>
        </w:tc>
        <w:tc>
          <w:tcPr>
            <w:tcW w:w="0" w:type="auto"/>
            <w:tcBorders>
              <w:top w:val="nil"/>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(121.594,21)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2.049.830,65 </w:t>
            </w:r>
          </w:p>
        </w:tc>
      </w:tr>
      <w:tr w:rsidR="004555FE" w:rsidRPr="004555FE" w:rsidTr="00E12B17">
        <w:trPr>
          <w:cantSplit/>
          <w:trHeight w:val="158"/>
        </w:trPr>
        <w:tc>
          <w:tcPr>
            <w:tcW w:w="0" w:type="auto"/>
            <w:tcBorders>
              <w:top w:val="nil"/>
              <w:left w:val="single" w:sz="4" w:space="0" w:color="auto"/>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single" w:sz="4" w:space="0" w:color="auto"/>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nil"/>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c>
          <w:tcPr>
            <w:tcW w:w="0" w:type="auto"/>
            <w:tcBorders>
              <w:top w:val="nil"/>
              <w:left w:val="nil"/>
              <w:bottom w:val="nil"/>
              <w:right w:val="single" w:sz="4" w:space="0" w:color="auto"/>
            </w:tcBorders>
            <w:shd w:val="clear" w:color="000000" w:fill="FFFFFF"/>
            <w:noWrap/>
            <w:vAlign w:val="bottom"/>
            <w:hideMark/>
          </w:tcPr>
          <w:p w:rsidR="004555FE" w:rsidRPr="004555FE" w:rsidRDefault="004555FE" w:rsidP="004555FE">
            <w:pPr>
              <w:rPr>
                <w:rFonts w:ascii="Lucida Bright" w:hAnsi="Lucida Bright" w:cs="Calibri"/>
                <w:sz w:val="14"/>
                <w:szCs w:val="14"/>
                <w:lang w:val="es-ES"/>
              </w:rPr>
            </w:pPr>
            <w:r w:rsidRPr="004555FE">
              <w:rPr>
                <w:rFonts w:ascii="Lucida Bright" w:hAnsi="Lucida Bright" w:cs="Calibri"/>
                <w:sz w:val="14"/>
                <w:szCs w:val="14"/>
                <w:lang w:val="es-ES"/>
              </w:rPr>
              <w:t> </w:t>
            </w:r>
          </w:p>
        </w:tc>
      </w:tr>
      <w:tr w:rsidR="004555FE" w:rsidRPr="004555FE" w:rsidTr="00E12B17">
        <w:trPr>
          <w:cantSplit/>
          <w:trHeight w:val="158"/>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555FE" w:rsidRPr="004555FE" w:rsidRDefault="004555FE" w:rsidP="004555FE">
            <w:pPr>
              <w:jc w:val="center"/>
              <w:rPr>
                <w:rFonts w:ascii="Lucida Bright" w:hAnsi="Lucida Bright" w:cs="Calibri"/>
                <w:b/>
                <w:bCs/>
                <w:sz w:val="14"/>
                <w:szCs w:val="14"/>
                <w:lang w:val="es-ES"/>
              </w:rPr>
            </w:pPr>
            <w:r w:rsidRPr="004555FE">
              <w:rPr>
                <w:rFonts w:ascii="Lucida Bright" w:hAnsi="Lucida Bright" w:cs="Calibri"/>
                <w:b/>
                <w:bCs/>
                <w:sz w:val="14"/>
                <w:szCs w:val="14"/>
                <w:lang w:val="es-ES"/>
              </w:rPr>
              <w:t>TOTAL SUBVENCIONES, DONACIONES Y LEGADOS RECIBIDOS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21.659.500,11 </w:t>
            </w:r>
          </w:p>
        </w:tc>
        <w:tc>
          <w:tcPr>
            <w:tcW w:w="0" w:type="auto"/>
            <w:tcBorders>
              <w:top w:val="nil"/>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1.196.160,57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(299.040,13)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(891.242,59)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55FE" w:rsidRPr="004555FE" w:rsidRDefault="004555FE" w:rsidP="004555FE">
            <w:pPr>
              <w:jc w:val="right"/>
              <w:rPr>
                <w:rFonts w:ascii="Lucida Bright" w:hAnsi="Lucida Bright" w:cs="Calibri"/>
                <w:b/>
                <w:bCs/>
                <w:sz w:val="14"/>
                <w:szCs w:val="14"/>
                <w:lang w:val="es-ES"/>
              </w:rPr>
            </w:pPr>
            <w:r w:rsidRPr="004555FE">
              <w:rPr>
                <w:rFonts w:ascii="Lucida Bright" w:hAnsi="Lucida Bright" w:cs="Calibri"/>
                <w:b/>
                <w:bCs/>
                <w:sz w:val="14"/>
                <w:szCs w:val="14"/>
                <w:lang w:val="es-ES"/>
              </w:rPr>
              <w:t xml:space="preserve">21.665.377,96 </w:t>
            </w:r>
          </w:p>
        </w:tc>
      </w:tr>
    </w:tbl>
    <w:p w:rsidR="00BF0DDB" w:rsidRDefault="00BF0DDB">
      <w:pPr>
        <w:sectPr w:rsidR="00BF0DDB" w:rsidSect="00695D9E">
          <w:pgSz w:w="16840" w:h="11907" w:orient="landscape" w:code="9"/>
          <w:pgMar w:top="1985" w:right="1701" w:bottom="426" w:left="1701" w:header="567" w:footer="720" w:gutter="0"/>
          <w:cols w:space="720"/>
          <w:docGrid w:linePitch="272"/>
        </w:sectPr>
      </w:pPr>
    </w:p>
    <w:p w:rsidR="00BF0DDB" w:rsidRDefault="00BF0DDB"/>
    <w:p w:rsidR="00914B2C" w:rsidRPr="00500823" w:rsidRDefault="00914B2C" w:rsidP="00914B2C">
      <w:pPr>
        <w:numPr>
          <w:ilvl w:val="0"/>
          <w:numId w:val="2"/>
        </w:numPr>
        <w:tabs>
          <w:tab w:val="right" w:pos="8364"/>
        </w:tabs>
        <w:ind w:hanging="219"/>
        <w:jc w:val="both"/>
        <w:rPr>
          <w:rFonts w:ascii="NewBaskerville" w:hAnsi="NewBaskerville"/>
          <w:b/>
          <w:bCs/>
        </w:rPr>
      </w:pPr>
      <w:r w:rsidRPr="00500823">
        <w:rPr>
          <w:rFonts w:ascii="NewBaskerville" w:hAnsi="NewBaskerville"/>
        </w:rPr>
        <w:t>Subvención Fondos de Cohesión</w:t>
      </w:r>
    </w:p>
    <w:p w:rsidR="00914B2C" w:rsidRPr="00500823" w:rsidRDefault="00914B2C" w:rsidP="00914B2C">
      <w:pPr>
        <w:tabs>
          <w:tab w:val="right" w:pos="8364"/>
        </w:tabs>
        <w:jc w:val="both"/>
        <w:rPr>
          <w:rFonts w:ascii="NewBaskerville" w:hAnsi="NewBaskerville"/>
        </w:rPr>
      </w:pPr>
    </w:p>
    <w:p w:rsidR="00914B2C" w:rsidRDefault="00A861CC" w:rsidP="00914B2C">
      <w:pPr>
        <w:tabs>
          <w:tab w:val="right" w:pos="8364"/>
        </w:tabs>
        <w:ind w:firstLine="567"/>
        <w:jc w:val="both"/>
      </w:pPr>
      <w:r>
        <w:rPr>
          <w:rFonts w:ascii="NewBaskerville" w:hAnsi="NewBaskerville"/>
        </w:rPr>
        <w:t>La</w:t>
      </w:r>
      <w:r w:rsidR="00914B2C" w:rsidRPr="00500823">
        <w:rPr>
          <w:rFonts w:ascii="NewBaskerville" w:hAnsi="NewBaskerville"/>
        </w:rPr>
        <w:t xml:space="preserve"> AP</w:t>
      </w:r>
      <w:r w:rsidR="00500823">
        <w:rPr>
          <w:rFonts w:ascii="NewBaskerville" w:hAnsi="NewBaskerville"/>
        </w:rPr>
        <w:t>B</w:t>
      </w:r>
      <w:r w:rsidR="00914B2C" w:rsidRPr="00500823">
        <w:rPr>
          <w:rFonts w:ascii="NewBaskerville" w:hAnsi="NewBaskerville"/>
        </w:rPr>
        <w:t xml:space="preserve"> ha recibido Fondos de Cohesión para la construcción del Dique de </w:t>
      </w:r>
      <w:proofErr w:type="spellStart"/>
      <w:r w:rsidR="00914B2C" w:rsidRPr="00500823">
        <w:rPr>
          <w:rFonts w:ascii="NewBaskerville" w:hAnsi="NewBaskerville"/>
        </w:rPr>
        <w:t>Botafoc</w:t>
      </w:r>
      <w:proofErr w:type="spellEnd"/>
      <w:r w:rsidR="00914B2C" w:rsidRPr="00500823">
        <w:rPr>
          <w:rFonts w:ascii="NewBaskerville" w:hAnsi="NewBaskerville"/>
        </w:rPr>
        <w:t xml:space="preserve"> en el puerto de Ibiza, la Ampliación de la explanada sur de los Muelles Comerciales del puerto de Palma y la Ampliación y mejora de los Muelles del </w:t>
      </w:r>
      <w:proofErr w:type="spellStart"/>
      <w:r w:rsidR="00914B2C" w:rsidRPr="00500823">
        <w:rPr>
          <w:rFonts w:ascii="NewBaskerville" w:hAnsi="NewBaskerville"/>
        </w:rPr>
        <w:t>Cos</w:t>
      </w:r>
      <w:proofErr w:type="spellEnd"/>
      <w:r w:rsidR="00914B2C" w:rsidRPr="00500823">
        <w:rPr>
          <w:rFonts w:ascii="NewBaskerville" w:hAnsi="NewBaskerville"/>
        </w:rPr>
        <w:t xml:space="preserve"> </w:t>
      </w:r>
      <w:proofErr w:type="spellStart"/>
      <w:r w:rsidR="00914B2C" w:rsidRPr="00500823">
        <w:rPr>
          <w:rFonts w:ascii="NewBaskerville" w:hAnsi="NewBaskerville"/>
        </w:rPr>
        <w:t>Nou</w:t>
      </w:r>
      <w:proofErr w:type="spellEnd"/>
      <w:r w:rsidR="00914B2C" w:rsidRPr="00500823">
        <w:rPr>
          <w:rFonts w:ascii="NewBaskerville" w:hAnsi="NewBaskerville"/>
        </w:rPr>
        <w:t xml:space="preserve"> en el puerto de Mahón. Todos estos activos ya se han incorporado al inmovilizado por lo que se han traspasado determinados importes al </w:t>
      </w:r>
      <w:r w:rsidR="003F5177" w:rsidRPr="00500823">
        <w:rPr>
          <w:rFonts w:ascii="NewBaskerville" w:hAnsi="NewBaskerville"/>
        </w:rPr>
        <w:t>r</w:t>
      </w:r>
      <w:r w:rsidR="00E12B17">
        <w:rPr>
          <w:rFonts w:ascii="NewBaskerville" w:hAnsi="NewBaskerville"/>
        </w:rPr>
        <w:t>esultado</w:t>
      </w:r>
      <w:r w:rsidR="00FA699C" w:rsidRPr="00500823">
        <w:rPr>
          <w:rFonts w:ascii="NewBaskerville" w:hAnsi="NewBaskerville"/>
        </w:rPr>
        <w:t xml:space="preserve"> del ejercicio 202</w:t>
      </w:r>
      <w:r w:rsidR="00E12B17">
        <w:rPr>
          <w:rFonts w:ascii="NewBaskerville" w:hAnsi="NewBaskerville"/>
        </w:rPr>
        <w:t>3</w:t>
      </w:r>
      <w:r w:rsidR="00FA699C" w:rsidRPr="00500823">
        <w:rPr>
          <w:rFonts w:ascii="NewBaskerville" w:hAnsi="NewBaskerville"/>
        </w:rPr>
        <w:t xml:space="preserve"> </w:t>
      </w:r>
      <w:r w:rsidR="00914B2C" w:rsidRPr="00500823">
        <w:rPr>
          <w:rFonts w:ascii="NewBaskerville" w:hAnsi="NewBaskerville"/>
        </w:rPr>
        <w:t xml:space="preserve">según se detalla en </w:t>
      </w:r>
      <w:r w:rsidR="00E12B17">
        <w:rPr>
          <w:rFonts w:ascii="NewBaskerville" w:hAnsi="NewBaskerville"/>
        </w:rPr>
        <w:t>el cuadro</w:t>
      </w:r>
      <w:r w:rsidR="00914B2C" w:rsidRPr="00AE63D4">
        <w:t>.</w:t>
      </w:r>
    </w:p>
    <w:p w:rsidR="00E12B17" w:rsidRPr="00BF1AFD" w:rsidRDefault="00E12B17" w:rsidP="00914B2C">
      <w:pPr>
        <w:tabs>
          <w:tab w:val="right" w:pos="8364"/>
        </w:tabs>
        <w:ind w:firstLine="567"/>
        <w:jc w:val="both"/>
      </w:pPr>
    </w:p>
    <w:tbl>
      <w:tblPr>
        <w:tblW w:w="5000" w:type="pct"/>
        <w:tblCellMar>
          <w:left w:w="70" w:type="dxa"/>
          <w:right w:w="70" w:type="dxa"/>
        </w:tblCellMar>
        <w:tblLook w:val="04A0" w:firstRow="1" w:lastRow="0" w:firstColumn="1" w:lastColumn="0" w:noHBand="0" w:noVBand="1"/>
      </w:tblPr>
      <w:tblGrid>
        <w:gridCol w:w="2372"/>
        <w:gridCol w:w="272"/>
        <w:gridCol w:w="336"/>
        <w:gridCol w:w="1207"/>
        <w:gridCol w:w="1073"/>
        <w:gridCol w:w="1054"/>
        <w:gridCol w:w="1205"/>
        <w:gridCol w:w="1125"/>
      </w:tblGrid>
      <w:tr w:rsidR="00E12B17" w:rsidRPr="00E12B17" w:rsidTr="00E12B17">
        <w:trPr>
          <w:trHeight w:val="555"/>
        </w:trPr>
        <w:tc>
          <w:tcPr>
            <w:tcW w:w="1568" w:type="pct"/>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E12B17" w:rsidRPr="00E12B17" w:rsidRDefault="00E12B17" w:rsidP="00E12B17">
            <w:pPr>
              <w:jc w:val="center"/>
              <w:rPr>
                <w:rFonts w:ascii="Lucida Bright" w:hAnsi="Lucida Bright" w:cs="Calibri"/>
                <w:b/>
                <w:bCs/>
                <w:color w:val="000000"/>
                <w:sz w:val="18"/>
                <w:szCs w:val="18"/>
                <w:lang w:val="es-ES"/>
              </w:rPr>
            </w:pPr>
            <w:r w:rsidRPr="00E12B17">
              <w:rPr>
                <w:rFonts w:ascii="Lucida Bright" w:hAnsi="Lucida Bright" w:cs="Calibri"/>
                <w:b/>
                <w:bCs/>
                <w:color w:val="000000"/>
                <w:sz w:val="18"/>
                <w:szCs w:val="18"/>
                <w:lang w:val="es-ES"/>
              </w:rPr>
              <w:t>Fondos de Cohesión</w:t>
            </w:r>
          </w:p>
        </w:tc>
        <w:tc>
          <w:tcPr>
            <w:tcW w:w="737" w:type="pct"/>
            <w:tcBorders>
              <w:top w:val="single" w:sz="8" w:space="0" w:color="auto"/>
              <w:left w:val="nil"/>
              <w:bottom w:val="single" w:sz="8" w:space="0" w:color="auto"/>
              <w:right w:val="single" w:sz="8" w:space="0" w:color="auto"/>
            </w:tcBorders>
            <w:shd w:val="clear" w:color="000000" w:fill="CCFFCC"/>
            <w:vAlign w:val="center"/>
            <w:hideMark/>
          </w:tcPr>
          <w:p w:rsidR="00E12B17" w:rsidRPr="00E12B17" w:rsidRDefault="00E12B17" w:rsidP="00E12B17">
            <w:pPr>
              <w:jc w:val="center"/>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Saldo a 31/12/2022</w:t>
            </w:r>
          </w:p>
        </w:tc>
        <w:tc>
          <w:tcPr>
            <w:tcW w:w="659" w:type="pct"/>
            <w:tcBorders>
              <w:top w:val="single" w:sz="8" w:space="0" w:color="auto"/>
              <w:left w:val="nil"/>
              <w:bottom w:val="single" w:sz="8" w:space="0" w:color="auto"/>
              <w:right w:val="single" w:sz="8" w:space="0" w:color="auto"/>
            </w:tcBorders>
            <w:shd w:val="clear" w:color="000000" w:fill="CCFFCC"/>
            <w:vAlign w:val="center"/>
            <w:hideMark/>
          </w:tcPr>
          <w:p w:rsidR="00E12B17" w:rsidRPr="00E12B17" w:rsidRDefault="00E12B17" w:rsidP="00E12B17">
            <w:pPr>
              <w:jc w:val="center"/>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Importe devengado en el ejerci</w:t>
            </w:r>
            <w:r w:rsidR="00355986">
              <w:rPr>
                <w:rFonts w:ascii="Lucida Bright" w:hAnsi="Lucida Bright" w:cs="Calibri"/>
                <w:b/>
                <w:bCs/>
                <w:color w:val="000000"/>
                <w:sz w:val="14"/>
                <w:szCs w:val="14"/>
                <w:lang w:val="es-ES"/>
              </w:rPr>
              <w:t>ci</w:t>
            </w:r>
            <w:r w:rsidRPr="00E12B17">
              <w:rPr>
                <w:rFonts w:ascii="Lucida Bright" w:hAnsi="Lucida Bright" w:cs="Calibri"/>
                <w:b/>
                <w:bCs/>
                <w:color w:val="000000"/>
                <w:sz w:val="14"/>
                <w:szCs w:val="14"/>
                <w:lang w:val="es-ES"/>
              </w:rPr>
              <w:t>o</w:t>
            </w:r>
          </w:p>
        </w:tc>
        <w:tc>
          <w:tcPr>
            <w:tcW w:w="648" w:type="pct"/>
            <w:tcBorders>
              <w:top w:val="single" w:sz="8" w:space="0" w:color="auto"/>
              <w:left w:val="nil"/>
              <w:bottom w:val="single" w:sz="8" w:space="0" w:color="auto"/>
              <w:right w:val="single" w:sz="8" w:space="0" w:color="auto"/>
            </w:tcBorders>
            <w:shd w:val="clear" w:color="000000" w:fill="CCFFCC"/>
            <w:vAlign w:val="center"/>
            <w:hideMark/>
          </w:tcPr>
          <w:p w:rsidR="00E12B17" w:rsidRPr="00E12B17" w:rsidRDefault="00E12B17" w:rsidP="00E12B17">
            <w:pPr>
              <w:jc w:val="center"/>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Efecto impositivo devengo</w:t>
            </w:r>
          </w:p>
        </w:tc>
        <w:tc>
          <w:tcPr>
            <w:tcW w:w="735" w:type="pct"/>
            <w:tcBorders>
              <w:top w:val="single" w:sz="8" w:space="0" w:color="auto"/>
              <w:left w:val="nil"/>
              <w:bottom w:val="single" w:sz="8" w:space="0" w:color="auto"/>
              <w:right w:val="single" w:sz="8" w:space="0" w:color="auto"/>
            </w:tcBorders>
            <w:shd w:val="clear" w:color="000000" w:fill="CCFFCC"/>
            <w:vAlign w:val="center"/>
            <w:hideMark/>
          </w:tcPr>
          <w:p w:rsidR="00E12B17" w:rsidRPr="00E12B17" w:rsidRDefault="00E12B17" w:rsidP="00E12B17">
            <w:pPr>
              <w:jc w:val="center"/>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Importe traspas</w:t>
            </w:r>
            <w:r w:rsidR="00355986">
              <w:rPr>
                <w:rFonts w:ascii="Lucida Bright" w:hAnsi="Lucida Bright" w:cs="Calibri"/>
                <w:b/>
                <w:bCs/>
                <w:color w:val="000000"/>
                <w:sz w:val="14"/>
                <w:szCs w:val="14"/>
                <w:lang w:val="es-ES"/>
              </w:rPr>
              <w:t>a</w:t>
            </w:r>
            <w:r w:rsidRPr="00E12B17">
              <w:rPr>
                <w:rFonts w:ascii="Lucida Bright" w:hAnsi="Lucida Bright" w:cs="Calibri"/>
                <w:b/>
                <w:bCs/>
                <w:color w:val="000000"/>
                <w:sz w:val="14"/>
                <w:szCs w:val="14"/>
                <w:lang w:val="es-ES"/>
              </w:rPr>
              <w:t>do al resultado</w:t>
            </w:r>
          </w:p>
        </w:tc>
        <w:tc>
          <w:tcPr>
            <w:tcW w:w="654" w:type="pct"/>
            <w:tcBorders>
              <w:top w:val="single" w:sz="8" w:space="0" w:color="auto"/>
              <w:left w:val="nil"/>
              <w:bottom w:val="single" w:sz="8" w:space="0" w:color="auto"/>
              <w:right w:val="single" w:sz="8" w:space="0" w:color="auto"/>
            </w:tcBorders>
            <w:shd w:val="clear" w:color="000000" w:fill="CCFFCC"/>
            <w:vAlign w:val="center"/>
            <w:hideMark/>
          </w:tcPr>
          <w:p w:rsidR="00E12B17" w:rsidRPr="00E12B17" w:rsidRDefault="00E12B17" w:rsidP="00E12B17">
            <w:pPr>
              <w:jc w:val="center"/>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Saldo a 31/12/2023</w:t>
            </w:r>
          </w:p>
        </w:tc>
      </w:tr>
      <w:tr w:rsidR="00E12B17" w:rsidRPr="00E12B17" w:rsidTr="00E12B17">
        <w:trPr>
          <w:trHeight w:val="315"/>
        </w:trPr>
        <w:tc>
          <w:tcPr>
            <w:tcW w:w="156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12B17" w:rsidRPr="00E12B17" w:rsidRDefault="00E12B17" w:rsidP="00E12B17">
            <w:pPr>
              <w:rPr>
                <w:rFonts w:ascii="Lucida Bright" w:hAnsi="Lucida Bright" w:cs="Calibri"/>
                <w:color w:val="000000"/>
                <w:sz w:val="14"/>
                <w:szCs w:val="14"/>
                <w:lang w:val="es-ES"/>
              </w:rPr>
            </w:pPr>
            <w:r w:rsidRPr="00E12B17">
              <w:rPr>
                <w:rFonts w:ascii="Lucida Bright" w:hAnsi="Lucida Bright" w:cs="Calibri"/>
                <w:color w:val="000000"/>
                <w:sz w:val="14"/>
                <w:szCs w:val="14"/>
                <w:lang w:val="es-ES"/>
              </w:rPr>
              <w:t xml:space="preserve">Dique de </w:t>
            </w:r>
            <w:proofErr w:type="spellStart"/>
            <w:r w:rsidRPr="00E12B17">
              <w:rPr>
                <w:rFonts w:ascii="Lucida Bright" w:hAnsi="Lucida Bright" w:cs="Calibri"/>
                <w:color w:val="000000"/>
                <w:sz w:val="14"/>
                <w:szCs w:val="14"/>
                <w:lang w:val="es-ES"/>
              </w:rPr>
              <w:t>Botafoc</w:t>
            </w:r>
            <w:proofErr w:type="spellEnd"/>
            <w:r w:rsidRPr="00E12B17">
              <w:rPr>
                <w:rFonts w:ascii="Lucida Bright" w:hAnsi="Lucida Bright" w:cs="Calibri"/>
                <w:color w:val="000000"/>
                <w:sz w:val="14"/>
                <w:szCs w:val="14"/>
                <w:lang w:val="es-ES"/>
              </w:rPr>
              <w:t xml:space="preserve"> del </w:t>
            </w:r>
            <w:proofErr w:type="spellStart"/>
            <w:r w:rsidRPr="00E12B17">
              <w:rPr>
                <w:rFonts w:ascii="Lucida Bright" w:hAnsi="Lucida Bright" w:cs="Calibri"/>
                <w:color w:val="000000"/>
                <w:sz w:val="14"/>
                <w:szCs w:val="14"/>
                <w:lang w:val="es-ES"/>
              </w:rPr>
              <w:t>Pto</w:t>
            </w:r>
            <w:proofErr w:type="spellEnd"/>
            <w:r w:rsidRPr="00E12B17">
              <w:rPr>
                <w:rFonts w:ascii="Lucida Bright" w:hAnsi="Lucida Bright" w:cs="Calibri"/>
                <w:color w:val="000000"/>
                <w:sz w:val="14"/>
                <w:szCs w:val="14"/>
                <w:lang w:val="es-ES"/>
              </w:rPr>
              <w:t>. Ibiza</w:t>
            </w:r>
          </w:p>
        </w:tc>
        <w:tc>
          <w:tcPr>
            <w:tcW w:w="737" w:type="pct"/>
            <w:tcBorders>
              <w:top w:val="nil"/>
              <w:left w:val="nil"/>
              <w:bottom w:val="single" w:sz="4" w:space="0" w:color="auto"/>
              <w:right w:val="single" w:sz="4" w:space="0" w:color="auto"/>
            </w:tcBorders>
            <w:shd w:val="clear" w:color="auto" w:fill="auto"/>
            <w:noWrap/>
            <w:vAlign w:val="center"/>
            <w:hideMark/>
          </w:tcPr>
          <w:p w:rsidR="00E12B17" w:rsidRPr="00E12B17" w:rsidRDefault="00E12B17" w:rsidP="00E12B17">
            <w:pPr>
              <w:jc w:val="right"/>
              <w:rPr>
                <w:rFonts w:ascii="Lucida Bright" w:hAnsi="Lucida Bright" w:cs="Calibri"/>
                <w:color w:val="000000"/>
                <w:sz w:val="14"/>
                <w:szCs w:val="14"/>
                <w:lang w:val="es-ES"/>
              </w:rPr>
            </w:pPr>
            <w:r w:rsidRPr="00E12B17">
              <w:rPr>
                <w:rFonts w:ascii="Lucida Bright" w:hAnsi="Lucida Bright" w:cs="Calibri"/>
                <w:color w:val="000000"/>
                <w:sz w:val="14"/>
                <w:szCs w:val="14"/>
                <w:lang w:val="es-ES"/>
              </w:rPr>
              <w:t xml:space="preserve">8.624.192,40 </w:t>
            </w:r>
          </w:p>
        </w:tc>
        <w:tc>
          <w:tcPr>
            <w:tcW w:w="659"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12B17" w:rsidRPr="00E12B17" w:rsidRDefault="00E12B17" w:rsidP="00E12B17">
            <w:pPr>
              <w:rPr>
                <w:color w:val="000000"/>
                <w:sz w:val="14"/>
                <w:szCs w:val="14"/>
                <w:lang w:val="es-ES"/>
              </w:rPr>
            </w:pPr>
            <w:r w:rsidRPr="00E12B17">
              <w:rPr>
                <w:color w:val="000000"/>
                <w:sz w:val="14"/>
                <w:szCs w:val="14"/>
                <w:lang w:val="es-ES"/>
              </w:rPr>
              <w:t> </w:t>
            </w:r>
          </w:p>
        </w:tc>
        <w:tc>
          <w:tcPr>
            <w:tcW w:w="648" w:type="pct"/>
            <w:tcBorders>
              <w:top w:val="single" w:sz="8" w:space="0" w:color="auto"/>
              <w:left w:val="nil"/>
              <w:bottom w:val="single" w:sz="4" w:space="0" w:color="auto"/>
              <w:right w:val="single" w:sz="4" w:space="0" w:color="auto"/>
            </w:tcBorders>
            <w:shd w:val="clear" w:color="auto" w:fill="auto"/>
            <w:noWrap/>
            <w:vAlign w:val="center"/>
            <w:hideMark/>
          </w:tcPr>
          <w:p w:rsidR="00E12B17" w:rsidRPr="00E12B17" w:rsidRDefault="00E12B17" w:rsidP="00E12B17">
            <w:pPr>
              <w:rPr>
                <w:color w:val="000000"/>
                <w:sz w:val="14"/>
                <w:szCs w:val="14"/>
                <w:lang w:val="es-ES"/>
              </w:rPr>
            </w:pPr>
            <w:r w:rsidRPr="00E12B17">
              <w:rPr>
                <w:color w:val="000000"/>
                <w:sz w:val="14"/>
                <w:szCs w:val="14"/>
                <w:lang w:val="es-ES"/>
              </w:rPr>
              <w:t> </w:t>
            </w:r>
          </w:p>
        </w:tc>
        <w:tc>
          <w:tcPr>
            <w:tcW w:w="735" w:type="pct"/>
            <w:tcBorders>
              <w:top w:val="single" w:sz="8" w:space="0" w:color="auto"/>
              <w:left w:val="nil"/>
              <w:bottom w:val="single" w:sz="4" w:space="0" w:color="auto"/>
              <w:right w:val="single" w:sz="4" w:space="0" w:color="auto"/>
            </w:tcBorders>
            <w:shd w:val="clear" w:color="auto" w:fill="auto"/>
            <w:noWrap/>
            <w:vAlign w:val="center"/>
            <w:hideMark/>
          </w:tcPr>
          <w:p w:rsidR="00E12B17" w:rsidRPr="00E12B17" w:rsidRDefault="00E12B17" w:rsidP="00E12B17">
            <w:pPr>
              <w:jc w:val="right"/>
              <w:rPr>
                <w:rFonts w:ascii="Lucida Bright" w:hAnsi="Lucida Bright" w:cs="Calibri"/>
                <w:color w:val="000000"/>
                <w:sz w:val="14"/>
                <w:szCs w:val="14"/>
                <w:lang w:val="es-ES"/>
              </w:rPr>
            </w:pPr>
            <w:r w:rsidRPr="00E12B17">
              <w:rPr>
                <w:rFonts w:ascii="Lucida Bright" w:hAnsi="Lucida Bright" w:cs="Calibri"/>
                <w:color w:val="000000"/>
                <w:sz w:val="14"/>
                <w:szCs w:val="14"/>
                <w:lang w:val="es-ES"/>
              </w:rPr>
              <w:t xml:space="preserve">(279.759,72) </w:t>
            </w:r>
          </w:p>
        </w:tc>
        <w:tc>
          <w:tcPr>
            <w:tcW w:w="654" w:type="pct"/>
            <w:tcBorders>
              <w:top w:val="single" w:sz="8" w:space="0" w:color="auto"/>
              <w:left w:val="nil"/>
              <w:bottom w:val="single" w:sz="4" w:space="0" w:color="auto"/>
              <w:right w:val="single" w:sz="8" w:space="0" w:color="auto"/>
            </w:tcBorders>
            <w:shd w:val="clear" w:color="auto" w:fill="auto"/>
            <w:noWrap/>
            <w:vAlign w:val="center"/>
            <w:hideMark/>
          </w:tcPr>
          <w:p w:rsidR="00E12B17" w:rsidRPr="00694956" w:rsidRDefault="00E12B17" w:rsidP="00E12B17">
            <w:pPr>
              <w:jc w:val="right"/>
              <w:rPr>
                <w:rFonts w:ascii="Lucida Bright" w:hAnsi="Lucida Bright"/>
                <w:color w:val="000000"/>
                <w:sz w:val="14"/>
                <w:szCs w:val="14"/>
                <w:lang w:val="es-ES"/>
              </w:rPr>
            </w:pPr>
            <w:r w:rsidRPr="00694956">
              <w:rPr>
                <w:rFonts w:ascii="Lucida Bright" w:hAnsi="Lucida Bright"/>
                <w:color w:val="000000"/>
                <w:sz w:val="14"/>
                <w:szCs w:val="14"/>
                <w:lang w:val="es-ES"/>
              </w:rPr>
              <w:t xml:space="preserve">8.344.432,68 </w:t>
            </w:r>
          </w:p>
        </w:tc>
      </w:tr>
      <w:tr w:rsidR="00E12B17" w:rsidRPr="00E12B17" w:rsidTr="00E12B17">
        <w:trPr>
          <w:trHeight w:val="315"/>
        </w:trPr>
        <w:tc>
          <w:tcPr>
            <w:tcW w:w="156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12B17" w:rsidRPr="00E12B17" w:rsidRDefault="00E12B17" w:rsidP="00E12B17">
            <w:pPr>
              <w:rPr>
                <w:rFonts w:ascii="Lucida Bright" w:hAnsi="Lucida Bright" w:cs="Calibri"/>
                <w:color w:val="000000"/>
                <w:sz w:val="14"/>
                <w:szCs w:val="14"/>
                <w:lang w:val="es-ES"/>
              </w:rPr>
            </w:pPr>
            <w:proofErr w:type="spellStart"/>
            <w:r w:rsidRPr="00E12B17">
              <w:rPr>
                <w:rFonts w:ascii="Lucida Bright" w:hAnsi="Lucida Bright" w:cs="Calibri"/>
                <w:color w:val="000000"/>
                <w:sz w:val="14"/>
                <w:szCs w:val="14"/>
                <w:lang w:val="es-ES"/>
              </w:rPr>
              <w:t>Ampl</w:t>
            </w:r>
            <w:proofErr w:type="spellEnd"/>
            <w:r w:rsidRPr="00E12B17">
              <w:rPr>
                <w:rFonts w:ascii="Lucida Bright" w:hAnsi="Lucida Bright" w:cs="Calibri"/>
                <w:color w:val="000000"/>
                <w:sz w:val="14"/>
                <w:szCs w:val="14"/>
                <w:lang w:val="es-ES"/>
              </w:rPr>
              <w:t>. Explanada sur MMCC de Palma</w:t>
            </w:r>
          </w:p>
        </w:tc>
        <w:tc>
          <w:tcPr>
            <w:tcW w:w="737" w:type="pct"/>
            <w:tcBorders>
              <w:top w:val="nil"/>
              <w:left w:val="nil"/>
              <w:bottom w:val="single" w:sz="4" w:space="0" w:color="auto"/>
              <w:right w:val="single" w:sz="4" w:space="0" w:color="auto"/>
            </w:tcBorders>
            <w:shd w:val="clear" w:color="auto" w:fill="auto"/>
            <w:noWrap/>
            <w:vAlign w:val="center"/>
            <w:hideMark/>
          </w:tcPr>
          <w:p w:rsidR="00E12B17" w:rsidRPr="00E12B17" w:rsidRDefault="00E12B17" w:rsidP="00E12B17">
            <w:pPr>
              <w:jc w:val="right"/>
              <w:rPr>
                <w:rFonts w:ascii="Lucida Bright" w:hAnsi="Lucida Bright" w:cs="Calibri"/>
                <w:color w:val="000000"/>
                <w:sz w:val="14"/>
                <w:szCs w:val="14"/>
                <w:lang w:val="es-ES"/>
              </w:rPr>
            </w:pPr>
            <w:r w:rsidRPr="00E12B17">
              <w:rPr>
                <w:rFonts w:ascii="Lucida Bright" w:hAnsi="Lucida Bright" w:cs="Calibri"/>
                <w:color w:val="000000"/>
                <w:sz w:val="14"/>
                <w:szCs w:val="14"/>
                <w:lang w:val="es-ES"/>
              </w:rPr>
              <w:t xml:space="preserve">6.884.299,32 </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rsidR="00E12B17" w:rsidRPr="00E12B17" w:rsidRDefault="00E12B17" w:rsidP="00E12B17">
            <w:pPr>
              <w:rPr>
                <w:color w:val="000000"/>
                <w:sz w:val="14"/>
                <w:szCs w:val="14"/>
                <w:lang w:val="es-ES"/>
              </w:rPr>
            </w:pPr>
            <w:r w:rsidRPr="00E12B17">
              <w:rPr>
                <w:color w:val="000000"/>
                <w:sz w:val="14"/>
                <w:szCs w:val="14"/>
                <w:lang w:val="es-ES"/>
              </w:rPr>
              <w:t> </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E12B17" w:rsidRPr="00E12B17" w:rsidRDefault="00E12B17" w:rsidP="00E12B17">
            <w:pPr>
              <w:rPr>
                <w:color w:val="000000"/>
                <w:sz w:val="14"/>
                <w:szCs w:val="14"/>
                <w:lang w:val="es-ES"/>
              </w:rPr>
            </w:pPr>
            <w:r w:rsidRPr="00E12B17">
              <w:rPr>
                <w:color w:val="000000"/>
                <w:sz w:val="14"/>
                <w:szCs w:val="14"/>
                <w:lang w:val="es-ES"/>
              </w:rPr>
              <w:t> </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E12B17" w:rsidRPr="00E12B17" w:rsidRDefault="00E12B17" w:rsidP="00E12B17">
            <w:pPr>
              <w:jc w:val="right"/>
              <w:rPr>
                <w:rFonts w:ascii="Lucida Bright" w:hAnsi="Lucida Bright" w:cs="Calibri"/>
                <w:color w:val="000000"/>
                <w:sz w:val="14"/>
                <w:szCs w:val="14"/>
                <w:lang w:val="es-ES"/>
              </w:rPr>
            </w:pPr>
            <w:r w:rsidRPr="00E12B17">
              <w:rPr>
                <w:rFonts w:ascii="Lucida Bright" w:hAnsi="Lucida Bright" w:cs="Calibri"/>
                <w:color w:val="000000"/>
                <w:sz w:val="14"/>
                <w:szCs w:val="14"/>
                <w:lang w:val="es-ES"/>
              </w:rPr>
              <w:t xml:space="preserve">(104.895,71) </w:t>
            </w:r>
          </w:p>
        </w:tc>
        <w:tc>
          <w:tcPr>
            <w:tcW w:w="654" w:type="pct"/>
            <w:tcBorders>
              <w:top w:val="nil"/>
              <w:left w:val="single" w:sz="4" w:space="0" w:color="auto"/>
              <w:bottom w:val="single" w:sz="4" w:space="0" w:color="auto"/>
              <w:right w:val="single" w:sz="8" w:space="0" w:color="auto"/>
            </w:tcBorders>
            <w:shd w:val="clear" w:color="auto" w:fill="auto"/>
            <w:noWrap/>
            <w:vAlign w:val="center"/>
            <w:hideMark/>
          </w:tcPr>
          <w:p w:rsidR="00E12B17" w:rsidRPr="00694956" w:rsidRDefault="00E12B17" w:rsidP="00E12B17">
            <w:pPr>
              <w:jc w:val="right"/>
              <w:rPr>
                <w:rFonts w:ascii="Lucida Bright" w:hAnsi="Lucida Bright"/>
                <w:color w:val="000000"/>
                <w:sz w:val="14"/>
                <w:szCs w:val="14"/>
                <w:lang w:val="es-ES"/>
              </w:rPr>
            </w:pPr>
            <w:r w:rsidRPr="00694956">
              <w:rPr>
                <w:rFonts w:ascii="Lucida Bright" w:hAnsi="Lucida Bright"/>
                <w:color w:val="000000"/>
                <w:sz w:val="14"/>
                <w:szCs w:val="14"/>
                <w:lang w:val="es-ES"/>
              </w:rPr>
              <w:t xml:space="preserve">6.779.403,61 </w:t>
            </w:r>
          </w:p>
        </w:tc>
      </w:tr>
      <w:tr w:rsidR="00E12B17" w:rsidRPr="00E12B17" w:rsidTr="00E12B17">
        <w:trPr>
          <w:trHeight w:val="315"/>
        </w:trPr>
        <w:tc>
          <w:tcPr>
            <w:tcW w:w="156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12B17" w:rsidRPr="00E12B17" w:rsidRDefault="00E12B17" w:rsidP="00E12B17">
            <w:pPr>
              <w:rPr>
                <w:rFonts w:ascii="Lucida Bright" w:hAnsi="Lucida Bright" w:cs="Calibri"/>
                <w:color w:val="000000"/>
                <w:sz w:val="14"/>
                <w:szCs w:val="14"/>
                <w:lang w:val="es-ES"/>
              </w:rPr>
            </w:pPr>
            <w:proofErr w:type="spellStart"/>
            <w:r w:rsidRPr="00E12B17">
              <w:rPr>
                <w:rFonts w:ascii="Lucida Bright" w:hAnsi="Lucida Bright" w:cs="Calibri"/>
                <w:color w:val="000000"/>
                <w:sz w:val="14"/>
                <w:szCs w:val="14"/>
                <w:lang w:val="es-ES"/>
              </w:rPr>
              <w:t>Ampl</w:t>
            </w:r>
            <w:proofErr w:type="spellEnd"/>
            <w:r w:rsidRPr="00E12B17">
              <w:rPr>
                <w:rFonts w:ascii="Lucida Bright" w:hAnsi="Lucida Bright" w:cs="Calibri"/>
                <w:color w:val="000000"/>
                <w:sz w:val="14"/>
                <w:szCs w:val="14"/>
                <w:lang w:val="es-ES"/>
              </w:rPr>
              <w:t xml:space="preserve">. Muelles del </w:t>
            </w:r>
            <w:proofErr w:type="spellStart"/>
            <w:r w:rsidRPr="00E12B17">
              <w:rPr>
                <w:rFonts w:ascii="Lucida Bright" w:hAnsi="Lucida Bright" w:cs="Calibri"/>
                <w:color w:val="000000"/>
                <w:sz w:val="14"/>
                <w:szCs w:val="14"/>
                <w:lang w:val="es-ES"/>
              </w:rPr>
              <w:t>Cos</w:t>
            </w:r>
            <w:proofErr w:type="spellEnd"/>
            <w:r w:rsidRPr="00E12B17">
              <w:rPr>
                <w:rFonts w:ascii="Lucida Bright" w:hAnsi="Lucida Bright" w:cs="Calibri"/>
                <w:color w:val="000000"/>
                <w:sz w:val="14"/>
                <w:szCs w:val="14"/>
                <w:lang w:val="es-ES"/>
              </w:rPr>
              <w:t xml:space="preserve"> </w:t>
            </w:r>
            <w:proofErr w:type="spellStart"/>
            <w:r w:rsidRPr="00E12B17">
              <w:rPr>
                <w:rFonts w:ascii="Lucida Bright" w:hAnsi="Lucida Bright" w:cs="Calibri"/>
                <w:color w:val="000000"/>
                <w:sz w:val="14"/>
                <w:szCs w:val="14"/>
                <w:lang w:val="es-ES"/>
              </w:rPr>
              <w:t>Nou</w:t>
            </w:r>
            <w:proofErr w:type="spellEnd"/>
            <w:r w:rsidRPr="00E12B17">
              <w:rPr>
                <w:rFonts w:ascii="Lucida Bright" w:hAnsi="Lucida Bright" w:cs="Calibri"/>
                <w:color w:val="000000"/>
                <w:sz w:val="14"/>
                <w:szCs w:val="14"/>
                <w:lang w:val="es-ES"/>
              </w:rPr>
              <w:t xml:space="preserve"> del </w:t>
            </w:r>
            <w:proofErr w:type="spellStart"/>
            <w:r w:rsidRPr="00E12B17">
              <w:rPr>
                <w:rFonts w:ascii="Lucida Bright" w:hAnsi="Lucida Bright" w:cs="Calibri"/>
                <w:color w:val="000000"/>
                <w:sz w:val="14"/>
                <w:szCs w:val="14"/>
                <w:lang w:val="es-ES"/>
              </w:rPr>
              <w:t>Pto.Mahón</w:t>
            </w:r>
            <w:proofErr w:type="spellEnd"/>
          </w:p>
        </w:tc>
        <w:tc>
          <w:tcPr>
            <w:tcW w:w="737" w:type="pct"/>
            <w:tcBorders>
              <w:top w:val="nil"/>
              <w:left w:val="nil"/>
              <w:bottom w:val="nil"/>
              <w:right w:val="single" w:sz="4" w:space="0" w:color="auto"/>
            </w:tcBorders>
            <w:shd w:val="clear" w:color="auto" w:fill="auto"/>
            <w:noWrap/>
            <w:vAlign w:val="center"/>
            <w:hideMark/>
          </w:tcPr>
          <w:p w:rsidR="00E12B17" w:rsidRPr="00E12B17" w:rsidRDefault="00E12B17" w:rsidP="00E12B17">
            <w:pPr>
              <w:jc w:val="right"/>
              <w:rPr>
                <w:rFonts w:ascii="Lucida Bright" w:hAnsi="Lucida Bright" w:cs="Calibri"/>
                <w:color w:val="000000"/>
                <w:sz w:val="14"/>
                <w:szCs w:val="14"/>
                <w:lang w:val="es-ES"/>
              </w:rPr>
            </w:pPr>
            <w:r w:rsidRPr="00E12B17">
              <w:rPr>
                <w:rFonts w:ascii="Lucida Bright" w:hAnsi="Lucida Bright" w:cs="Calibri"/>
                <w:color w:val="000000"/>
                <w:sz w:val="14"/>
                <w:szCs w:val="14"/>
                <w:lang w:val="es-ES"/>
              </w:rPr>
              <w:t xml:space="preserve">2.909.873,69 </w:t>
            </w:r>
          </w:p>
        </w:tc>
        <w:tc>
          <w:tcPr>
            <w:tcW w:w="659" w:type="pct"/>
            <w:tcBorders>
              <w:top w:val="nil"/>
              <w:left w:val="nil"/>
              <w:bottom w:val="nil"/>
              <w:right w:val="single" w:sz="4" w:space="0" w:color="auto"/>
            </w:tcBorders>
            <w:shd w:val="clear" w:color="auto" w:fill="auto"/>
            <w:noWrap/>
            <w:vAlign w:val="center"/>
            <w:hideMark/>
          </w:tcPr>
          <w:p w:rsidR="00E12B17" w:rsidRPr="00E12B17" w:rsidRDefault="00E12B17" w:rsidP="00E12B17">
            <w:pPr>
              <w:rPr>
                <w:color w:val="000000"/>
                <w:sz w:val="14"/>
                <w:szCs w:val="14"/>
                <w:lang w:val="es-ES"/>
              </w:rPr>
            </w:pPr>
            <w:r w:rsidRPr="00E12B17">
              <w:rPr>
                <w:color w:val="000000"/>
                <w:sz w:val="14"/>
                <w:szCs w:val="14"/>
                <w:lang w:val="es-ES"/>
              </w:rPr>
              <w:t> </w:t>
            </w:r>
          </w:p>
        </w:tc>
        <w:tc>
          <w:tcPr>
            <w:tcW w:w="648" w:type="pct"/>
            <w:tcBorders>
              <w:top w:val="nil"/>
              <w:left w:val="nil"/>
              <w:bottom w:val="nil"/>
              <w:right w:val="single" w:sz="4" w:space="0" w:color="auto"/>
            </w:tcBorders>
            <w:shd w:val="clear" w:color="auto" w:fill="auto"/>
            <w:noWrap/>
            <w:vAlign w:val="center"/>
            <w:hideMark/>
          </w:tcPr>
          <w:p w:rsidR="00E12B17" w:rsidRPr="00E12B17" w:rsidRDefault="00E12B17" w:rsidP="00E12B17">
            <w:pPr>
              <w:rPr>
                <w:color w:val="000000"/>
                <w:sz w:val="14"/>
                <w:szCs w:val="14"/>
                <w:lang w:val="es-ES"/>
              </w:rPr>
            </w:pPr>
            <w:r w:rsidRPr="00E12B17">
              <w:rPr>
                <w:color w:val="000000"/>
                <w:sz w:val="14"/>
                <w:szCs w:val="14"/>
                <w:lang w:val="es-ES"/>
              </w:rPr>
              <w:t> </w:t>
            </w:r>
          </w:p>
        </w:tc>
        <w:tc>
          <w:tcPr>
            <w:tcW w:w="735" w:type="pct"/>
            <w:tcBorders>
              <w:top w:val="nil"/>
              <w:left w:val="nil"/>
              <w:bottom w:val="nil"/>
              <w:right w:val="single" w:sz="4" w:space="0" w:color="auto"/>
            </w:tcBorders>
            <w:shd w:val="clear" w:color="auto" w:fill="auto"/>
            <w:noWrap/>
            <w:vAlign w:val="center"/>
            <w:hideMark/>
          </w:tcPr>
          <w:p w:rsidR="00E12B17" w:rsidRPr="00694956" w:rsidRDefault="00E12B17" w:rsidP="00E12B17">
            <w:pPr>
              <w:jc w:val="right"/>
              <w:rPr>
                <w:rFonts w:ascii="Lucida Bright" w:hAnsi="Lucida Bright"/>
                <w:color w:val="000000"/>
                <w:sz w:val="14"/>
                <w:szCs w:val="14"/>
                <w:lang w:val="es-ES"/>
              </w:rPr>
            </w:pPr>
            <w:r w:rsidRPr="00694956">
              <w:rPr>
                <w:rFonts w:ascii="Lucida Bright" w:hAnsi="Lucida Bright"/>
                <w:color w:val="000000"/>
                <w:sz w:val="14"/>
                <w:szCs w:val="14"/>
                <w:lang w:val="es-ES"/>
              </w:rPr>
              <w:t xml:space="preserve">(199.927,65) </w:t>
            </w:r>
          </w:p>
        </w:tc>
        <w:tc>
          <w:tcPr>
            <w:tcW w:w="654" w:type="pct"/>
            <w:tcBorders>
              <w:top w:val="nil"/>
              <w:left w:val="single" w:sz="4" w:space="0" w:color="auto"/>
              <w:bottom w:val="nil"/>
              <w:right w:val="single" w:sz="8" w:space="0" w:color="auto"/>
            </w:tcBorders>
            <w:shd w:val="clear" w:color="auto" w:fill="auto"/>
            <w:noWrap/>
            <w:vAlign w:val="center"/>
            <w:hideMark/>
          </w:tcPr>
          <w:p w:rsidR="00E12B17" w:rsidRPr="00694956" w:rsidRDefault="00E12B17" w:rsidP="00E12B17">
            <w:pPr>
              <w:jc w:val="right"/>
              <w:rPr>
                <w:rFonts w:ascii="Lucida Bright" w:hAnsi="Lucida Bright"/>
                <w:color w:val="000000"/>
                <w:sz w:val="14"/>
                <w:szCs w:val="14"/>
                <w:lang w:val="es-ES"/>
              </w:rPr>
            </w:pPr>
            <w:r w:rsidRPr="00694956">
              <w:rPr>
                <w:rFonts w:ascii="Lucida Bright" w:hAnsi="Lucida Bright"/>
                <w:color w:val="000000"/>
                <w:sz w:val="14"/>
                <w:szCs w:val="14"/>
                <w:lang w:val="es-ES"/>
              </w:rPr>
              <w:t xml:space="preserve">2.709.946,04 </w:t>
            </w:r>
          </w:p>
        </w:tc>
      </w:tr>
      <w:tr w:rsidR="00E12B17" w:rsidRPr="00E12B17" w:rsidTr="00E12B17">
        <w:trPr>
          <w:trHeight w:val="315"/>
        </w:trPr>
        <w:tc>
          <w:tcPr>
            <w:tcW w:w="1248" w:type="pct"/>
            <w:tcBorders>
              <w:top w:val="nil"/>
              <w:left w:val="single" w:sz="8" w:space="0" w:color="auto"/>
              <w:bottom w:val="single" w:sz="8" w:space="0" w:color="auto"/>
              <w:right w:val="nil"/>
            </w:tcBorders>
            <w:shd w:val="clear" w:color="auto" w:fill="auto"/>
            <w:noWrap/>
            <w:vAlign w:val="center"/>
            <w:hideMark/>
          </w:tcPr>
          <w:p w:rsidR="00E12B17" w:rsidRPr="00E12B17" w:rsidRDefault="00E12B17" w:rsidP="00E12B17">
            <w:pPr>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Total</w:t>
            </w:r>
          </w:p>
        </w:tc>
        <w:tc>
          <w:tcPr>
            <w:tcW w:w="143" w:type="pct"/>
            <w:tcBorders>
              <w:top w:val="nil"/>
              <w:left w:val="nil"/>
              <w:bottom w:val="single" w:sz="8" w:space="0" w:color="auto"/>
              <w:right w:val="nil"/>
            </w:tcBorders>
            <w:shd w:val="clear" w:color="auto" w:fill="auto"/>
            <w:noWrap/>
            <w:vAlign w:val="center"/>
            <w:hideMark/>
          </w:tcPr>
          <w:p w:rsidR="00E12B17" w:rsidRPr="00E12B17" w:rsidRDefault="00E12B17" w:rsidP="00E12B17">
            <w:pPr>
              <w:rPr>
                <w:rFonts w:ascii="Lucida Bright" w:hAnsi="Lucida Bright" w:cs="Calibri"/>
                <w:color w:val="000000"/>
                <w:sz w:val="14"/>
                <w:szCs w:val="14"/>
                <w:lang w:val="es-ES"/>
              </w:rPr>
            </w:pPr>
            <w:r w:rsidRPr="00E12B17">
              <w:rPr>
                <w:rFonts w:ascii="Lucida Bright" w:hAnsi="Lucida Bright" w:cs="Calibri"/>
                <w:color w:val="000000"/>
                <w:sz w:val="14"/>
                <w:szCs w:val="14"/>
                <w:lang w:val="es-ES"/>
              </w:rPr>
              <w:t> </w:t>
            </w:r>
          </w:p>
        </w:tc>
        <w:tc>
          <w:tcPr>
            <w:tcW w:w="177" w:type="pct"/>
            <w:tcBorders>
              <w:top w:val="nil"/>
              <w:left w:val="nil"/>
              <w:bottom w:val="single" w:sz="8" w:space="0" w:color="auto"/>
              <w:right w:val="single" w:sz="8" w:space="0" w:color="auto"/>
            </w:tcBorders>
            <w:shd w:val="clear" w:color="auto" w:fill="auto"/>
            <w:noWrap/>
            <w:vAlign w:val="center"/>
            <w:hideMark/>
          </w:tcPr>
          <w:p w:rsidR="00E12B17" w:rsidRPr="00E12B17" w:rsidRDefault="00E12B17" w:rsidP="00E12B17">
            <w:pPr>
              <w:rPr>
                <w:rFonts w:ascii="Lucida Bright" w:hAnsi="Lucida Bright" w:cs="Calibri"/>
                <w:color w:val="000000"/>
                <w:sz w:val="14"/>
                <w:szCs w:val="14"/>
                <w:lang w:val="es-ES"/>
              </w:rPr>
            </w:pPr>
            <w:r w:rsidRPr="00E12B17">
              <w:rPr>
                <w:rFonts w:ascii="Lucida Bright" w:hAnsi="Lucida Bright" w:cs="Calibri"/>
                <w:color w:val="000000"/>
                <w:sz w:val="14"/>
                <w:szCs w:val="14"/>
                <w:lang w:val="es-ES"/>
              </w:rPr>
              <w:t> </w:t>
            </w:r>
          </w:p>
        </w:tc>
        <w:tc>
          <w:tcPr>
            <w:tcW w:w="737" w:type="pct"/>
            <w:tcBorders>
              <w:top w:val="single" w:sz="8" w:space="0" w:color="auto"/>
              <w:left w:val="nil"/>
              <w:bottom w:val="single" w:sz="8" w:space="0" w:color="auto"/>
              <w:right w:val="single" w:sz="8" w:space="0" w:color="auto"/>
            </w:tcBorders>
            <w:shd w:val="clear" w:color="auto" w:fill="auto"/>
            <w:noWrap/>
            <w:vAlign w:val="center"/>
            <w:hideMark/>
          </w:tcPr>
          <w:p w:rsidR="00E12B17" w:rsidRPr="00E12B17" w:rsidRDefault="00E12B17" w:rsidP="00E12B17">
            <w:pPr>
              <w:jc w:val="right"/>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 xml:space="preserve">18.418.365,41 </w:t>
            </w:r>
          </w:p>
        </w:tc>
        <w:tc>
          <w:tcPr>
            <w:tcW w:w="659" w:type="pct"/>
            <w:tcBorders>
              <w:top w:val="single" w:sz="8" w:space="0" w:color="auto"/>
              <w:left w:val="nil"/>
              <w:bottom w:val="single" w:sz="8" w:space="0" w:color="auto"/>
              <w:right w:val="single" w:sz="8" w:space="0" w:color="auto"/>
            </w:tcBorders>
            <w:shd w:val="clear" w:color="auto" w:fill="auto"/>
            <w:noWrap/>
            <w:vAlign w:val="center"/>
            <w:hideMark/>
          </w:tcPr>
          <w:p w:rsidR="00E12B17" w:rsidRPr="00E12B17" w:rsidRDefault="00E12B17" w:rsidP="00E12B17">
            <w:pPr>
              <w:jc w:val="right"/>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 </w:t>
            </w:r>
          </w:p>
        </w:tc>
        <w:tc>
          <w:tcPr>
            <w:tcW w:w="648" w:type="pct"/>
            <w:tcBorders>
              <w:top w:val="single" w:sz="8" w:space="0" w:color="auto"/>
              <w:left w:val="nil"/>
              <w:bottom w:val="single" w:sz="8" w:space="0" w:color="auto"/>
              <w:right w:val="single" w:sz="8" w:space="0" w:color="auto"/>
            </w:tcBorders>
            <w:shd w:val="clear" w:color="auto" w:fill="auto"/>
            <w:noWrap/>
            <w:vAlign w:val="center"/>
            <w:hideMark/>
          </w:tcPr>
          <w:p w:rsidR="00E12B17" w:rsidRPr="00E12B17" w:rsidRDefault="00E12B17" w:rsidP="00E12B17">
            <w:pPr>
              <w:jc w:val="right"/>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 </w:t>
            </w:r>
          </w:p>
        </w:tc>
        <w:tc>
          <w:tcPr>
            <w:tcW w:w="735" w:type="pct"/>
            <w:tcBorders>
              <w:top w:val="single" w:sz="8" w:space="0" w:color="auto"/>
              <w:left w:val="nil"/>
              <w:bottom w:val="single" w:sz="8" w:space="0" w:color="auto"/>
              <w:right w:val="single" w:sz="8" w:space="0" w:color="auto"/>
            </w:tcBorders>
            <w:shd w:val="clear" w:color="auto" w:fill="auto"/>
            <w:noWrap/>
            <w:vAlign w:val="center"/>
            <w:hideMark/>
          </w:tcPr>
          <w:p w:rsidR="00E12B17" w:rsidRPr="00E12B17" w:rsidRDefault="00E12B17" w:rsidP="00E12B17">
            <w:pPr>
              <w:jc w:val="right"/>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 xml:space="preserve">(584.583,08) </w:t>
            </w:r>
          </w:p>
        </w:tc>
        <w:tc>
          <w:tcPr>
            <w:tcW w:w="654" w:type="pct"/>
            <w:tcBorders>
              <w:top w:val="single" w:sz="8" w:space="0" w:color="auto"/>
              <w:left w:val="nil"/>
              <w:bottom w:val="single" w:sz="8" w:space="0" w:color="auto"/>
              <w:right w:val="single" w:sz="8" w:space="0" w:color="auto"/>
            </w:tcBorders>
            <w:shd w:val="clear" w:color="auto" w:fill="auto"/>
            <w:noWrap/>
            <w:vAlign w:val="center"/>
            <w:hideMark/>
          </w:tcPr>
          <w:p w:rsidR="00E12B17" w:rsidRPr="00E12B17" w:rsidRDefault="00E12B17" w:rsidP="00E12B17">
            <w:pPr>
              <w:jc w:val="right"/>
              <w:rPr>
                <w:rFonts w:ascii="Lucida Bright" w:hAnsi="Lucida Bright" w:cs="Calibri"/>
                <w:b/>
                <w:bCs/>
                <w:color w:val="000000"/>
                <w:sz w:val="14"/>
                <w:szCs w:val="14"/>
                <w:lang w:val="es-ES"/>
              </w:rPr>
            </w:pPr>
            <w:r w:rsidRPr="00E12B17">
              <w:rPr>
                <w:rFonts w:ascii="Lucida Bright" w:hAnsi="Lucida Bright" w:cs="Calibri"/>
                <w:b/>
                <w:bCs/>
                <w:color w:val="000000"/>
                <w:sz w:val="14"/>
                <w:szCs w:val="14"/>
                <w:lang w:val="es-ES"/>
              </w:rPr>
              <w:t xml:space="preserve">17.833.782,33 </w:t>
            </w:r>
          </w:p>
        </w:tc>
      </w:tr>
    </w:tbl>
    <w:p w:rsidR="00181994" w:rsidRDefault="00181994" w:rsidP="00C22A45">
      <w:pPr>
        <w:tabs>
          <w:tab w:val="right" w:pos="8364"/>
        </w:tabs>
        <w:jc w:val="both"/>
      </w:pPr>
    </w:p>
    <w:p w:rsidR="008016E5" w:rsidRDefault="008016E5" w:rsidP="00C22A45">
      <w:pPr>
        <w:tabs>
          <w:tab w:val="right" w:pos="8364"/>
        </w:tabs>
        <w:jc w:val="both"/>
      </w:pPr>
    </w:p>
    <w:p w:rsidR="00446CF7" w:rsidRDefault="00446CF7" w:rsidP="00C22A45">
      <w:pPr>
        <w:tabs>
          <w:tab w:val="right" w:pos="8364"/>
        </w:tabs>
        <w:jc w:val="both"/>
      </w:pPr>
    </w:p>
    <w:p w:rsidR="002C4355" w:rsidRPr="00653857" w:rsidRDefault="002C4355" w:rsidP="005D0B44">
      <w:pPr>
        <w:pStyle w:val="Sangradetextonormal"/>
        <w:numPr>
          <w:ilvl w:val="0"/>
          <w:numId w:val="2"/>
        </w:numPr>
        <w:ind w:hanging="219"/>
        <w:rPr>
          <w:rFonts w:ascii="NewBaskerville" w:hAnsi="NewBaskerville"/>
          <w:sz w:val="20"/>
        </w:rPr>
      </w:pPr>
      <w:r w:rsidRPr="00653857">
        <w:rPr>
          <w:rFonts w:ascii="NewBaskerville" w:hAnsi="NewBaskerville"/>
          <w:sz w:val="20"/>
        </w:rPr>
        <w:t>Subvenciones IFOP</w:t>
      </w:r>
    </w:p>
    <w:p w:rsidR="00605444" w:rsidRPr="00653857" w:rsidRDefault="00605444">
      <w:pPr>
        <w:tabs>
          <w:tab w:val="right" w:pos="8364"/>
        </w:tabs>
        <w:jc w:val="both"/>
        <w:rPr>
          <w:rFonts w:ascii="NewBaskerville" w:hAnsi="NewBaskerville"/>
        </w:rPr>
      </w:pPr>
    </w:p>
    <w:p w:rsidR="00605444" w:rsidRDefault="002C4355" w:rsidP="002537FF">
      <w:pPr>
        <w:pStyle w:val="Textoindependiente2"/>
        <w:ind w:firstLine="540"/>
        <w:rPr>
          <w:rFonts w:ascii="NewBaskerville" w:hAnsi="NewBaskerville"/>
          <w:sz w:val="20"/>
          <w:szCs w:val="20"/>
        </w:rPr>
      </w:pPr>
      <w:r w:rsidRPr="00653857">
        <w:rPr>
          <w:rFonts w:ascii="NewBaskerville" w:hAnsi="NewBaskerville"/>
          <w:sz w:val="20"/>
          <w:szCs w:val="20"/>
        </w:rPr>
        <w:t xml:space="preserve">Se recibieron subvenciones con cargo a los fondos IFOP para las obras “Mejora de edificio para utillaje y almacén en el </w:t>
      </w:r>
      <w:proofErr w:type="spellStart"/>
      <w:r w:rsidRPr="00653857">
        <w:rPr>
          <w:rFonts w:ascii="NewBaskerville" w:hAnsi="NewBaskerville"/>
          <w:sz w:val="20"/>
          <w:szCs w:val="20"/>
        </w:rPr>
        <w:t>Pto</w:t>
      </w:r>
      <w:proofErr w:type="spellEnd"/>
      <w:r w:rsidRPr="00653857">
        <w:rPr>
          <w:rFonts w:ascii="NewBaskerville" w:hAnsi="NewBaskerville"/>
          <w:sz w:val="20"/>
          <w:szCs w:val="20"/>
        </w:rPr>
        <w:t xml:space="preserve">. </w:t>
      </w:r>
      <w:proofErr w:type="gramStart"/>
      <w:r w:rsidRPr="00653857">
        <w:rPr>
          <w:rFonts w:ascii="NewBaskerville" w:hAnsi="NewBaskerville"/>
          <w:sz w:val="20"/>
          <w:szCs w:val="20"/>
        </w:rPr>
        <w:t>de</w:t>
      </w:r>
      <w:proofErr w:type="gramEnd"/>
      <w:r w:rsidRPr="00653857">
        <w:rPr>
          <w:rFonts w:ascii="NewBaskerville" w:hAnsi="NewBaskerville"/>
          <w:sz w:val="20"/>
          <w:szCs w:val="20"/>
        </w:rPr>
        <w:t xml:space="preserve"> </w:t>
      </w:r>
      <w:proofErr w:type="spellStart"/>
      <w:r w:rsidRPr="00653857">
        <w:rPr>
          <w:rFonts w:ascii="NewBaskerville" w:hAnsi="NewBaskerville"/>
          <w:sz w:val="20"/>
          <w:szCs w:val="20"/>
        </w:rPr>
        <w:t>Alc</w:t>
      </w:r>
      <w:r w:rsidR="00A861CC">
        <w:rPr>
          <w:rFonts w:ascii="NewBaskerville" w:hAnsi="NewBaskerville"/>
          <w:sz w:val="20"/>
          <w:szCs w:val="20"/>
        </w:rPr>
        <w:t>ú</w:t>
      </w:r>
      <w:r w:rsidRPr="00653857">
        <w:rPr>
          <w:rFonts w:ascii="NewBaskerville" w:hAnsi="NewBaskerville"/>
          <w:sz w:val="20"/>
          <w:szCs w:val="20"/>
        </w:rPr>
        <w:t>dia</w:t>
      </w:r>
      <w:proofErr w:type="spellEnd"/>
      <w:r w:rsidRPr="00653857">
        <w:rPr>
          <w:rFonts w:ascii="NewBaskerville" w:hAnsi="NewBaskerville"/>
          <w:sz w:val="20"/>
          <w:szCs w:val="20"/>
        </w:rPr>
        <w:t xml:space="preserve">” y “Reforma del edificio de servicios pesqueros del </w:t>
      </w:r>
      <w:proofErr w:type="spellStart"/>
      <w:r w:rsidRPr="00653857">
        <w:rPr>
          <w:rFonts w:ascii="NewBaskerville" w:hAnsi="NewBaskerville"/>
          <w:sz w:val="20"/>
          <w:szCs w:val="20"/>
        </w:rPr>
        <w:t>Pto</w:t>
      </w:r>
      <w:proofErr w:type="spellEnd"/>
      <w:r w:rsidRPr="00653857">
        <w:rPr>
          <w:rFonts w:ascii="NewBaskerville" w:hAnsi="NewBaskerville"/>
          <w:sz w:val="20"/>
          <w:szCs w:val="20"/>
        </w:rPr>
        <w:t>. Ibiza”. Estas inversiones se incorporaron al inmovilizado en ejercicios anteriores por lo que se han traspasado al resultado</w:t>
      </w:r>
      <w:r w:rsidR="00184A43" w:rsidRPr="00653857">
        <w:rPr>
          <w:rFonts w:ascii="NewBaskerville" w:hAnsi="NewBaskerville"/>
          <w:sz w:val="20"/>
          <w:szCs w:val="20"/>
        </w:rPr>
        <w:t xml:space="preserve"> del</w:t>
      </w:r>
      <w:r w:rsidRPr="00653857">
        <w:rPr>
          <w:rFonts w:ascii="NewBaskerville" w:hAnsi="NewBaskerville"/>
          <w:sz w:val="20"/>
          <w:szCs w:val="20"/>
        </w:rPr>
        <w:t xml:space="preserve"> ejercicio 20</w:t>
      </w:r>
      <w:r w:rsidR="00FA699C" w:rsidRPr="00653857">
        <w:rPr>
          <w:rFonts w:ascii="NewBaskerville" w:hAnsi="NewBaskerville"/>
          <w:sz w:val="20"/>
          <w:szCs w:val="20"/>
        </w:rPr>
        <w:t>2</w:t>
      </w:r>
      <w:r w:rsidR="00FF4194">
        <w:rPr>
          <w:rFonts w:ascii="NewBaskerville" w:hAnsi="NewBaskerville"/>
          <w:sz w:val="20"/>
          <w:szCs w:val="20"/>
        </w:rPr>
        <w:t>3 según se detalla en el cuadro</w:t>
      </w:r>
      <w:r w:rsidR="00653857">
        <w:rPr>
          <w:rFonts w:ascii="NewBaskerville" w:hAnsi="NewBaskerville"/>
          <w:sz w:val="20"/>
          <w:szCs w:val="20"/>
        </w:rPr>
        <w:t>.</w:t>
      </w:r>
    </w:p>
    <w:p w:rsidR="00FF4194" w:rsidRDefault="00FF4194" w:rsidP="002537FF">
      <w:pPr>
        <w:pStyle w:val="Textoindependiente2"/>
        <w:ind w:firstLine="540"/>
        <w:rPr>
          <w:rFonts w:ascii="NewBaskerville" w:hAnsi="NewBaskerville"/>
          <w:sz w:val="20"/>
          <w:szCs w:val="20"/>
        </w:rPr>
      </w:pPr>
    </w:p>
    <w:tbl>
      <w:tblPr>
        <w:tblW w:w="5000" w:type="pct"/>
        <w:tblCellMar>
          <w:left w:w="70" w:type="dxa"/>
          <w:right w:w="70" w:type="dxa"/>
        </w:tblCellMar>
        <w:tblLook w:val="04A0" w:firstRow="1" w:lastRow="0" w:firstColumn="1" w:lastColumn="0" w:noHBand="0" w:noVBand="1"/>
      </w:tblPr>
      <w:tblGrid>
        <w:gridCol w:w="2096"/>
        <w:gridCol w:w="240"/>
        <w:gridCol w:w="297"/>
        <w:gridCol w:w="1290"/>
        <w:gridCol w:w="1157"/>
        <w:gridCol w:w="1138"/>
        <w:gridCol w:w="1290"/>
        <w:gridCol w:w="1136"/>
      </w:tblGrid>
      <w:tr w:rsidR="00FF4194" w:rsidRPr="00FF4194" w:rsidTr="00FF4194">
        <w:trPr>
          <w:trHeight w:val="555"/>
        </w:trPr>
        <w:tc>
          <w:tcPr>
            <w:tcW w:w="1524" w:type="pct"/>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FF4194" w:rsidRPr="00FF4194" w:rsidRDefault="00FF4194" w:rsidP="00FF4194">
            <w:pPr>
              <w:jc w:val="center"/>
              <w:rPr>
                <w:rFonts w:ascii="Lucida Bright" w:hAnsi="Lucida Bright" w:cs="Calibri"/>
                <w:b/>
                <w:bCs/>
                <w:color w:val="000000"/>
                <w:sz w:val="18"/>
                <w:szCs w:val="18"/>
                <w:lang w:val="es-ES"/>
              </w:rPr>
            </w:pPr>
            <w:r w:rsidRPr="00FF4194">
              <w:rPr>
                <w:rFonts w:ascii="Lucida Bright" w:hAnsi="Lucida Bright" w:cs="Calibri"/>
                <w:b/>
                <w:bCs/>
                <w:color w:val="000000"/>
                <w:sz w:val="18"/>
                <w:szCs w:val="18"/>
                <w:lang w:val="es-ES"/>
              </w:rPr>
              <w:t>IFOP</w:t>
            </w:r>
          </w:p>
        </w:tc>
        <w:tc>
          <w:tcPr>
            <w:tcW w:w="746" w:type="pct"/>
            <w:tcBorders>
              <w:top w:val="single" w:sz="8" w:space="0" w:color="auto"/>
              <w:left w:val="nil"/>
              <w:bottom w:val="single" w:sz="8" w:space="0" w:color="auto"/>
              <w:right w:val="single" w:sz="8" w:space="0" w:color="auto"/>
            </w:tcBorders>
            <w:shd w:val="clear" w:color="000000" w:fill="CCFFCC"/>
            <w:vAlign w:val="center"/>
            <w:hideMark/>
          </w:tcPr>
          <w:p w:rsidR="00FF4194" w:rsidRPr="00FF4194" w:rsidRDefault="00FF4194" w:rsidP="00FF4194">
            <w:pPr>
              <w:jc w:val="center"/>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Saldo a 31/12/2022</w:t>
            </w:r>
          </w:p>
        </w:tc>
        <w:tc>
          <w:tcPr>
            <w:tcW w:w="669" w:type="pct"/>
            <w:tcBorders>
              <w:top w:val="single" w:sz="8" w:space="0" w:color="auto"/>
              <w:left w:val="nil"/>
              <w:bottom w:val="single" w:sz="8" w:space="0" w:color="auto"/>
              <w:right w:val="single" w:sz="8" w:space="0" w:color="auto"/>
            </w:tcBorders>
            <w:shd w:val="clear" w:color="000000" w:fill="CCFFCC"/>
            <w:vAlign w:val="center"/>
            <w:hideMark/>
          </w:tcPr>
          <w:p w:rsidR="00FF4194" w:rsidRPr="00FF4194" w:rsidRDefault="00FF4194" w:rsidP="00FF4194">
            <w:pPr>
              <w:jc w:val="center"/>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Importe devengado en el ejerci</w:t>
            </w:r>
            <w:r w:rsidR="00355986">
              <w:rPr>
                <w:rFonts w:ascii="Lucida Bright" w:hAnsi="Lucida Bright" w:cs="Calibri"/>
                <w:b/>
                <w:bCs/>
                <w:color w:val="000000"/>
                <w:sz w:val="14"/>
                <w:szCs w:val="14"/>
                <w:lang w:val="es-ES"/>
              </w:rPr>
              <w:t>ci</w:t>
            </w:r>
            <w:r w:rsidRPr="00FF4194">
              <w:rPr>
                <w:rFonts w:ascii="Lucida Bright" w:hAnsi="Lucida Bright" w:cs="Calibri"/>
                <w:b/>
                <w:bCs/>
                <w:color w:val="000000"/>
                <w:sz w:val="14"/>
                <w:szCs w:val="14"/>
                <w:lang w:val="es-ES"/>
              </w:rPr>
              <w:t>o</w:t>
            </w:r>
          </w:p>
        </w:tc>
        <w:tc>
          <w:tcPr>
            <w:tcW w:w="658" w:type="pct"/>
            <w:tcBorders>
              <w:top w:val="single" w:sz="8" w:space="0" w:color="auto"/>
              <w:left w:val="nil"/>
              <w:bottom w:val="single" w:sz="8" w:space="0" w:color="auto"/>
              <w:right w:val="single" w:sz="8" w:space="0" w:color="auto"/>
            </w:tcBorders>
            <w:shd w:val="clear" w:color="000000" w:fill="CCFFCC"/>
            <w:vAlign w:val="center"/>
            <w:hideMark/>
          </w:tcPr>
          <w:p w:rsidR="00FF4194" w:rsidRPr="00FF4194" w:rsidRDefault="00FF4194" w:rsidP="00FF4194">
            <w:pPr>
              <w:jc w:val="center"/>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Efecto impositivo devengo</w:t>
            </w:r>
          </w:p>
        </w:tc>
        <w:tc>
          <w:tcPr>
            <w:tcW w:w="746" w:type="pct"/>
            <w:tcBorders>
              <w:top w:val="single" w:sz="8" w:space="0" w:color="auto"/>
              <w:left w:val="nil"/>
              <w:bottom w:val="single" w:sz="8" w:space="0" w:color="auto"/>
              <w:right w:val="single" w:sz="8" w:space="0" w:color="auto"/>
            </w:tcBorders>
            <w:shd w:val="clear" w:color="000000" w:fill="CCFFCC"/>
            <w:vAlign w:val="center"/>
            <w:hideMark/>
          </w:tcPr>
          <w:p w:rsidR="00FF4194" w:rsidRPr="00FF4194" w:rsidRDefault="00FF4194" w:rsidP="00FF4194">
            <w:pPr>
              <w:jc w:val="center"/>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Importe traspas</w:t>
            </w:r>
            <w:r w:rsidR="00355986">
              <w:rPr>
                <w:rFonts w:ascii="Lucida Bright" w:hAnsi="Lucida Bright" w:cs="Calibri"/>
                <w:b/>
                <w:bCs/>
                <w:color w:val="000000"/>
                <w:sz w:val="14"/>
                <w:szCs w:val="14"/>
                <w:lang w:val="es-ES"/>
              </w:rPr>
              <w:t>a</w:t>
            </w:r>
            <w:r w:rsidRPr="00FF4194">
              <w:rPr>
                <w:rFonts w:ascii="Lucida Bright" w:hAnsi="Lucida Bright" w:cs="Calibri"/>
                <w:b/>
                <w:bCs/>
                <w:color w:val="000000"/>
                <w:sz w:val="14"/>
                <w:szCs w:val="14"/>
                <w:lang w:val="es-ES"/>
              </w:rPr>
              <w:t>do al resultado</w:t>
            </w:r>
          </w:p>
        </w:tc>
        <w:tc>
          <w:tcPr>
            <w:tcW w:w="658" w:type="pct"/>
            <w:tcBorders>
              <w:top w:val="single" w:sz="8" w:space="0" w:color="auto"/>
              <w:left w:val="nil"/>
              <w:bottom w:val="single" w:sz="8" w:space="0" w:color="auto"/>
              <w:right w:val="single" w:sz="8" w:space="0" w:color="auto"/>
            </w:tcBorders>
            <w:shd w:val="clear" w:color="000000" w:fill="CCFFCC"/>
            <w:vAlign w:val="center"/>
            <w:hideMark/>
          </w:tcPr>
          <w:p w:rsidR="00FF4194" w:rsidRPr="00FF4194" w:rsidRDefault="00FF4194" w:rsidP="00FF4194">
            <w:pPr>
              <w:jc w:val="center"/>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Saldo a 31/12/2023</w:t>
            </w:r>
          </w:p>
        </w:tc>
      </w:tr>
      <w:tr w:rsidR="00FF4194" w:rsidRPr="00FF4194" w:rsidTr="00FF4194">
        <w:trPr>
          <w:trHeight w:val="510"/>
        </w:trPr>
        <w:tc>
          <w:tcPr>
            <w:tcW w:w="1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4194" w:rsidRPr="00FF4194" w:rsidRDefault="00FF4194" w:rsidP="00FF4194">
            <w:pPr>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xml:space="preserve">Mejora edificio para utillaje y almacén </w:t>
            </w:r>
            <w:proofErr w:type="spellStart"/>
            <w:r w:rsidRPr="00FF4194">
              <w:rPr>
                <w:rFonts w:ascii="Lucida Bright" w:hAnsi="Lucida Bright" w:cs="Calibri"/>
                <w:color w:val="000000"/>
                <w:sz w:val="14"/>
                <w:szCs w:val="14"/>
                <w:lang w:val="es-ES"/>
              </w:rPr>
              <w:t>Pto</w:t>
            </w:r>
            <w:proofErr w:type="spellEnd"/>
            <w:r w:rsidRPr="00FF4194">
              <w:rPr>
                <w:rFonts w:ascii="Lucida Bright" w:hAnsi="Lucida Bright" w:cs="Calibri"/>
                <w:color w:val="000000"/>
                <w:sz w:val="14"/>
                <w:szCs w:val="14"/>
                <w:lang w:val="es-ES"/>
              </w:rPr>
              <w:t xml:space="preserve"> Alcudia</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rsidR="00FF4194" w:rsidRPr="00FF4194" w:rsidRDefault="00FF4194" w:rsidP="00FF4194">
            <w:pPr>
              <w:jc w:val="right"/>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xml:space="preserve">137.418,46 </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FF4194" w:rsidRPr="00FF4194" w:rsidRDefault="00FF4194" w:rsidP="00FF4194">
            <w:pPr>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rsidR="00FF4194" w:rsidRPr="00FF4194" w:rsidRDefault="00FF4194" w:rsidP="00FF4194">
            <w:pPr>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rsidR="00FF4194" w:rsidRPr="00FF4194" w:rsidRDefault="00FF4194" w:rsidP="00FF4194">
            <w:pPr>
              <w:jc w:val="right"/>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xml:space="preserve">(4.256,40) </w:t>
            </w:r>
          </w:p>
        </w:tc>
        <w:tc>
          <w:tcPr>
            <w:tcW w:w="65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F4194" w:rsidRPr="00FF4194" w:rsidRDefault="00FF4194" w:rsidP="00FF4194">
            <w:pPr>
              <w:jc w:val="right"/>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xml:space="preserve">133.162,06 </w:t>
            </w:r>
          </w:p>
        </w:tc>
      </w:tr>
      <w:tr w:rsidR="00FF4194" w:rsidRPr="00FF4194" w:rsidTr="00FF4194">
        <w:trPr>
          <w:trHeight w:val="510"/>
        </w:trPr>
        <w:tc>
          <w:tcPr>
            <w:tcW w:w="1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F4194" w:rsidRPr="00FF4194" w:rsidRDefault="00FF4194" w:rsidP="00FF4194">
            <w:pPr>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xml:space="preserve">Reforma del edificio de servicios pesqueros del </w:t>
            </w:r>
            <w:proofErr w:type="spellStart"/>
            <w:r w:rsidRPr="00FF4194">
              <w:rPr>
                <w:rFonts w:ascii="Lucida Bright" w:hAnsi="Lucida Bright" w:cs="Calibri"/>
                <w:color w:val="000000"/>
                <w:sz w:val="14"/>
                <w:szCs w:val="14"/>
                <w:lang w:val="es-ES"/>
              </w:rPr>
              <w:t>Pto</w:t>
            </w:r>
            <w:proofErr w:type="spellEnd"/>
            <w:r w:rsidRPr="00FF4194">
              <w:rPr>
                <w:rFonts w:ascii="Lucida Bright" w:hAnsi="Lucida Bright" w:cs="Calibri"/>
                <w:color w:val="000000"/>
                <w:sz w:val="14"/>
                <w:szCs w:val="14"/>
                <w:lang w:val="es-ES"/>
              </w:rPr>
              <w:t>. De Ibiza</w:t>
            </w:r>
          </w:p>
        </w:tc>
        <w:tc>
          <w:tcPr>
            <w:tcW w:w="746" w:type="pct"/>
            <w:tcBorders>
              <w:top w:val="nil"/>
              <w:left w:val="nil"/>
              <w:bottom w:val="single" w:sz="8" w:space="0" w:color="auto"/>
              <w:right w:val="single" w:sz="4" w:space="0" w:color="auto"/>
            </w:tcBorders>
            <w:shd w:val="clear" w:color="auto" w:fill="auto"/>
            <w:noWrap/>
            <w:vAlign w:val="center"/>
            <w:hideMark/>
          </w:tcPr>
          <w:p w:rsidR="00FF4194" w:rsidRPr="00FF4194" w:rsidRDefault="00FF4194" w:rsidP="00FF4194">
            <w:pPr>
              <w:jc w:val="right"/>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xml:space="preserve">231.838,84 </w:t>
            </w:r>
          </w:p>
        </w:tc>
        <w:tc>
          <w:tcPr>
            <w:tcW w:w="669"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FF4194" w:rsidRPr="00FF4194" w:rsidRDefault="00FF4194" w:rsidP="00FF4194">
            <w:pPr>
              <w:jc w:val="right"/>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w:t>
            </w:r>
          </w:p>
        </w:tc>
        <w:tc>
          <w:tcPr>
            <w:tcW w:w="658" w:type="pct"/>
            <w:tcBorders>
              <w:top w:val="single" w:sz="4" w:space="0" w:color="auto"/>
              <w:left w:val="nil"/>
              <w:bottom w:val="single" w:sz="8" w:space="0" w:color="auto"/>
              <w:right w:val="single" w:sz="4" w:space="0" w:color="auto"/>
            </w:tcBorders>
            <w:shd w:val="clear" w:color="auto" w:fill="auto"/>
            <w:noWrap/>
            <w:vAlign w:val="center"/>
            <w:hideMark/>
          </w:tcPr>
          <w:p w:rsidR="00FF4194" w:rsidRPr="00FF4194" w:rsidRDefault="00FF4194" w:rsidP="00FF4194">
            <w:pPr>
              <w:jc w:val="right"/>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w:t>
            </w:r>
          </w:p>
        </w:tc>
        <w:tc>
          <w:tcPr>
            <w:tcW w:w="746" w:type="pct"/>
            <w:tcBorders>
              <w:top w:val="single" w:sz="4" w:space="0" w:color="auto"/>
              <w:left w:val="nil"/>
              <w:bottom w:val="single" w:sz="8" w:space="0" w:color="auto"/>
              <w:right w:val="single" w:sz="4" w:space="0" w:color="auto"/>
            </w:tcBorders>
            <w:shd w:val="clear" w:color="auto" w:fill="auto"/>
            <w:noWrap/>
            <w:vAlign w:val="center"/>
            <w:hideMark/>
          </w:tcPr>
          <w:p w:rsidR="00FF4194" w:rsidRPr="00FF4194" w:rsidRDefault="00FF4194" w:rsidP="00FF4194">
            <w:pPr>
              <w:jc w:val="right"/>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xml:space="preserve">(6.515,40) </w:t>
            </w:r>
          </w:p>
        </w:tc>
        <w:tc>
          <w:tcPr>
            <w:tcW w:w="658" w:type="pct"/>
            <w:tcBorders>
              <w:top w:val="nil"/>
              <w:left w:val="nil"/>
              <w:bottom w:val="single" w:sz="8" w:space="0" w:color="auto"/>
              <w:right w:val="single" w:sz="8" w:space="0" w:color="auto"/>
            </w:tcBorders>
            <w:shd w:val="clear" w:color="auto" w:fill="auto"/>
            <w:noWrap/>
            <w:vAlign w:val="center"/>
            <w:hideMark/>
          </w:tcPr>
          <w:p w:rsidR="00FF4194" w:rsidRPr="00FF4194" w:rsidRDefault="00FF4194" w:rsidP="00FF4194">
            <w:pPr>
              <w:jc w:val="right"/>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xml:space="preserve">225.323,44 </w:t>
            </w:r>
          </w:p>
        </w:tc>
      </w:tr>
      <w:tr w:rsidR="00FF4194" w:rsidRPr="00FF4194" w:rsidTr="00FF4194">
        <w:trPr>
          <w:trHeight w:val="315"/>
        </w:trPr>
        <w:tc>
          <w:tcPr>
            <w:tcW w:w="1213" w:type="pct"/>
            <w:tcBorders>
              <w:top w:val="nil"/>
              <w:left w:val="single" w:sz="8" w:space="0" w:color="auto"/>
              <w:bottom w:val="single" w:sz="8" w:space="0" w:color="auto"/>
              <w:right w:val="nil"/>
            </w:tcBorders>
            <w:shd w:val="clear" w:color="auto" w:fill="auto"/>
            <w:noWrap/>
            <w:vAlign w:val="center"/>
            <w:hideMark/>
          </w:tcPr>
          <w:p w:rsidR="00FF4194" w:rsidRPr="00FF4194" w:rsidRDefault="00FF4194" w:rsidP="00FF4194">
            <w:pPr>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Total</w:t>
            </w:r>
          </w:p>
        </w:tc>
        <w:tc>
          <w:tcPr>
            <w:tcW w:w="139" w:type="pct"/>
            <w:tcBorders>
              <w:top w:val="nil"/>
              <w:left w:val="nil"/>
              <w:bottom w:val="single" w:sz="8" w:space="0" w:color="auto"/>
              <w:right w:val="nil"/>
            </w:tcBorders>
            <w:shd w:val="clear" w:color="auto" w:fill="auto"/>
            <w:noWrap/>
            <w:vAlign w:val="center"/>
            <w:hideMark/>
          </w:tcPr>
          <w:p w:rsidR="00FF4194" w:rsidRPr="00FF4194" w:rsidRDefault="00FF4194" w:rsidP="00FF4194">
            <w:pPr>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w:t>
            </w:r>
          </w:p>
        </w:tc>
        <w:tc>
          <w:tcPr>
            <w:tcW w:w="172" w:type="pct"/>
            <w:tcBorders>
              <w:top w:val="nil"/>
              <w:left w:val="nil"/>
              <w:bottom w:val="single" w:sz="8" w:space="0" w:color="auto"/>
              <w:right w:val="single" w:sz="8" w:space="0" w:color="auto"/>
            </w:tcBorders>
            <w:shd w:val="clear" w:color="auto" w:fill="auto"/>
            <w:noWrap/>
            <w:vAlign w:val="center"/>
            <w:hideMark/>
          </w:tcPr>
          <w:p w:rsidR="00FF4194" w:rsidRPr="00FF4194" w:rsidRDefault="00FF4194" w:rsidP="00FF4194">
            <w:pPr>
              <w:rPr>
                <w:rFonts w:ascii="Lucida Bright" w:hAnsi="Lucida Bright" w:cs="Calibri"/>
                <w:color w:val="000000"/>
                <w:sz w:val="14"/>
                <w:szCs w:val="14"/>
                <w:lang w:val="es-ES"/>
              </w:rPr>
            </w:pPr>
            <w:r w:rsidRPr="00FF4194">
              <w:rPr>
                <w:rFonts w:ascii="Lucida Bright" w:hAnsi="Lucida Bright" w:cs="Calibri"/>
                <w:color w:val="000000"/>
                <w:sz w:val="14"/>
                <w:szCs w:val="14"/>
                <w:lang w:val="es-ES"/>
              </w:rPr>
              <w:t> </w:t>
            </w:r>
          </w:p>
        </w:tc>
        <w:tc>
          <w:tcPr>
            <w:tcW w:w="746" w:type="pct"/>
            <w:tcBorders>
              <w:top w:val="nil"/>
              <w:left w:val="nil"/>
              <w:bottom w:val="single" w:sz="8" w:space="0" w:color="auto"/>
              <w:right w:val="single" w:sz="8" w:space="0" w:color="auto"/>
            </w:tcBorders>
            <w:shd w:val="clear" w:color="auto" w:fill="auto"/>
            <w:noWrap/>
            <w:vAlign w:val="center"/>
            <w:hideMark/>
          </w:tcPr>
          <w:p w:rsidR="00FF4194" w:rsidRPr="00FF4194" w:rsidRDefault="00FF4194" w:rsidP="00FF4194">
            <w:pPr>
              <w:jc w:val="right"/>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 xml:space="preserve">369.257,30 </w:t>
            </w:r>
          </w:p>
        </w:tc>
        <w:tc>
          <w:tcPr>
            <w:tcW w:w="669" w:type="pct"/>
            <w:tcBorders>
              <w:top w:val="nil"/>
              <w:left w:val="nil"/>
              <w:bottom w:val="single" w:sz="8" w:space="0" w:color="auto"/>
              <w:right w:val="single" w:sz="8" w:space="0" w:color="auto"/>
            </w:tcBorders>
            <w:shd w:val="clear" w:color="auto" w:fill="auto"/>
            <w:noWrap/>
            <w:vAlign w:val="center"/>
            <w:hideMark/>
          </w:tcPr>
          <w:p w:rsidR="00FF4194" w:rsidRPr="00FF4194" w:rsidRDefault="00FF4194" w:rsidP="00FF4194">
            <w:pPr>
              <w:jc w:val="right"/>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 </w:t>
            </w:r>
          </w:p>
        </w:tc>
        <w:tc>
          <w:tcPr>
            <w:tcW w:w="658" w:type="pct"/>
            <w:tcBorders>
              <w:top w:val="nil"/>
              <w:left w:val="nil"/>
              <w:bottom w:val="single" w:sz="8" w:space="0" w:color="auto"/>
              <w:right w:val="single" w:sz="8" w:space="0" w:color="auto"/>
            </w:tcBorders>
            <w:shd w:val="clear" w:color="auto" w:fill="auto"/>
            <w:noWrap/>
            <w:vAlign w:val="center"/>
            <w:hideMark/>
          </w:tcPr>
          <w:p w:rsidR="00FF4194" w:rsidRPr="00FF4194" w:rsidRDefault="00FF4194" w:rsidP="00FF4194">
            <w:pPr>
              <w:jc w:val="right"/>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 </w:t>
            </w:r>
          </w:p>
        </w:tc>
        <w:tc>
          <w:tcPr>
            <w:tcW w:w="746" w:type="pct"/>
            <w:tcBorders>
              <w:top w:val="nil"/>
              <w:left w:val="nil"/>
              <w:bottom w:val="single" w:sz="8" w:space="0" w:color="auto"/>
              <w:right w:val="single" w:sz="8" w:space="0" w:color="auto"/>
            </w:tcBorders>
            <w:shd w:val="clear" w:color="auto" w:fill="auto"/>
            <w:noWrap/>
            <w:vAlign w:val="center"/>
            <w:hideMark/>
          </w:tcPr>
          <w:p w:rsidR="00FF4194" w:rsidRPr="00FF4194" w:rsidRDefault="00FF4194" w:rsidP="00FF4194">
            <w:pPr>
              <w:jc w:val="right"/>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 xml:space="preserve">(10.771,80) </w:t>
            </w:r>
          </w:p>
        </w:tc>
        <w:tc>
          <w:tcPr>
            <w:tcW w:w="658" w:type="pct"/>
            <w:tcBorders>
              <w:top w:val="nil"/>
              <w:left w:val="nil"/>
              <w:bottom w:val="single" w:sz="8" w:space="0" w:color="auto"/>
              <w:right w:val="single" w:sz="8" w:space="0" w:color="auto"/>
            </w:tcBorders>
            <w:shd w:val="clear" w:color="auto" w:fill="auto"/>
            <w:noWrap/>
            <w:vAlign w:val="center"/>
            <w:hideMark/>
          </w:tcPr>
          <w:p w:rsidR="00FF4194" w:rsidRPr="00FF4194" w:rsidRDefault="00FF4194" w:rsidP="00FF4194">
            <w:pPr>
              <w:jc w:val="right"/>
              <w:rPr>
                <w:rFonts w:ascii="Lucida Bright" w:hAnsi="Lucida Bright" w:cs="Calibri"/>
                <w:b/>
                <w:bCs/>
                <w:color w:val="000000"/>
                <w:sz w:val="14"/>
                <w:szCs w:val="14"/>
                <w:lang w:val="es-ES"/>
              </w:rPr>
            </w:pPr>
            <w:r w:rsidRPr="00FF4194">
              <w:rPr>
                <w:rFonts w:ascii="Lucida Bright" w:hAnsi="Lucida Bright" w:cs="Calibri"/>
                <w:b/>
                <w:bCs/>
                <w:color w:val="000000"/>
                <w:sz w:val="14"/>
                <w:szCs w:val="14"/>
                <w:lang w:val="es-ES"/>
              </w:rPr>
              <w:t xml:space="preserve">358.485,50 </w:t>
            </w:r>
          </w:p>
        </w:tc>
      </w:tr>
    </w:tbl>
    <w:p w:rsidR="00653857" w:rsidRDefault="00653857" w:rsidP="002537FF">
      <w:pPr>
        <w:pStyle w:val="Textoindependiente2"/>
        <w:ind w:firstLine="540"/>
        <w:rPr>
          <w:rFonts w:ascii="NewBaskerville" w:hAnsi="NewBaskerville"/>
          <w:sz w:val="20"/>
          <w:szCs w:val="20"/>
        </w:rPr>
      </w:pPr>
    </w:p>
    <w:p w:rsidR="00FF4194" w:rsidRDefault="00FF4194" w:rsidP="00FF4194">
      <w:pPr>
        <w:pStyle w:val="Sangradetextonormal"/>
        <w:ind w:left="720" w:firstLine="0"/>
        <w:rPr>
          <w:rFonts w:ascii="NewBaskerville" w:hAnsi="NewBaskerville"/>
          <w:sz w:val="20"/>
        </w:rPr>
      </w:pPr>
    </w:p>
    <w:p w:rsidR="00FF4194" w:rsidRDefault="00FF4194" w:rsidP="00FF4194">
      <w:pPr>
        <w:pStyle w:val="Sangradetextonormal"/>
        <w:numPr>
          <w:ilvl w:val="0"/>
          <w:numId w:val="2"/>
        </w:numPr>
        <w:ind w:hanging="219"/>
        <w:rPr>
          <w:rFonts w:ascii="NewBaskerville" w:hAnsi="NewBaskerville"/>
          <w:sz w:val="20"/>
        </w:rPr>
      </w:pPr>
      <w:r>
        <w:rPr>
          <w:rFonts w:ascii="NewBaskerville" w:hAnsi="NewBaskerville"/>
          <w:sz w:val="20"/>
        </w:rPr>
        <w:t xml:space="preserve">Fondos del Mecanismo de Recuperación y </w:t>
      </w:r>
      <w:proofErr w:type="spellStart"/>
      <w:r>
        <w:rPr>
          <w:rFonts w:ascii="NewBaskerville" w:hAnsi="NewBaskerville"/>
          <w:sz w:val="20"/>
        </w:rPr>
        <w:t>Resiliencia</w:t>
      </w:r>
      <w:proofErr w:type="spellEnd"/>
      <w:r>
        <w:rPr>
          <w:rFonts w:ascii="NewBaskerville" w:hAnsi="NewBaskerville"/>
          <w:sz w:val="20"/>
        </w:rPr>
        <w:t xml:space="preserve"> (MRR)</w:t>
      </w:r>
    </w:p>
    <w:p w:rsidR="00C25E67" w:rsidRDefault="00C25E67" w:rsidP="00C25E67">
      <w:pPr>
        <w:pStyle w:val="Sangradetextonormal"/>
        <w:ind w:left="720" w:firstLine="0"/>
        <w:rPr>
          <w:rFonts w:ascii="NewBaskerville" w:hAnsi="NewBaskerville"/>
          <w:sz w:val="20"/>
        </w:rPr>
      </w:pPr>
    </w:p>
    <w:p w:rsidR="00C25E67" w:rsidRDefault="00C25E67" w:rsidP="00C25E67">
      <w:pPr>
        <w:pStyle w:val="Sangradetextonormal"/>
        <w:rPr>
          <w:rFonts w:ascii="NewBaskerville" w:hAnsi="NewBaskerville"/>
          <w:sz w:val="20"/>
        </w:rPr>
      </w:pPr>
      <w:r>
        <w:rPr>
          <w:rFonts w:ascii="NewBaskerville" w:hAnsi="NewBaskerville"/>
          <w:sz w:val="20"/>
        </w:rPr>
        <w:t xml:space="preserve">La APB participa en actuaciones en sostenibilidad ambiental y energía del componente 6, inversión 3 del Plan. </w:t>
      </w:r>
      <w:r w:rsidR="00431F7C">
        <w:rPr>
          <w:rFonts w:ascii="NewBaskerville" w:hAnsi="NewBaskerville"/>
          <w:sz w:val="20"/>
        </w:rPr>
        <w:t>Durante el ejercicio 2023 se han materializado inversiones en curso en consonancia a la contribución del cumplimiento de hitos y objetivos. Y se han registrado el devengo de estas ayudas según se detalla en el cuadro.</w:t>
      </w:r>
    </w:p>
    <w:p w:rsidR="00431F7C" w:rsidRDefault="00431F7C" w:rsidP="00C25E67">
      <w:pPr>
        <w:pStyle w:val="Sangradetextonormal"/>
        <w:rPr>
          <w:rFonts w:ascii="NewBaskerville" w:hAnsi="NewBaskerville"/>
          <w:sz w:val="20"/>
        </w:rPr>
      </w:pPr>
    </w:p>
    <w:tbl>
      <w:tblPr>
        <w:tblW w:w="5000" w:type="pct"/>
        <w:tblCellMar>
          <w:left w:w="70" w:type="dxa"/>
          <w:right w:w="70" w:type="dxa"/>
        </w:tblCellMar>
        <w:tblLook w:val="04A0" w:firstRow="1" w:lastRow="0" w:firstColumn="1" w:lastColumn="0" w:noHBand="0" w:noVBand="1"/>
      </w:tblPr>
      <w:tblGrid>
        <w:gridCol w:w="2096"/>
        <w:gridCol w:w="240"/>
        <w:gridCol w:w="297"/>
        <w:gridCol w:w="1290"/>
        <w:gridCol w:w="1157"/>
        <w:gridCol w:w="1138"/>
        <w:gridCol w:w="1290"/>
        <w:gridCol w:w="1136"/>
      </w:tblGrid>
      <w:tr w:rsidR="00431F7C" w:rsidRPr="00431F7C" w:rsidTr="00431F7C">
        <w:trPr>
          <w:trHeight w:val="555"/>
        </w:trPr>
        <w:tc>
          <w:tcPr>
            <w:tcW w:w="1524" w:type="pct"/>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431F7C" w:rsidRPr="00431F7C" w:rsidRDefault="00431F7C" w:rsidP="00431F7C">
            <w:pPr>
              <w:jc w:val="center"/>
              <w:rPr>
                <w:rFonts w:ascii="Lucida Bright" w:hAnsi="Lucida Bright" w:cs="Calibri"/>
                <w:b/>
                <w:bCs/>
                <w:color w:val="000000"/>
                <w:sz w:val="18"/>
                <w:szCs w:val="18"/>
                <w:lang w:val="es-ES"/>
              </w:rPr>
            </w:pPr>
            <w:r w:rsidRPr="00431F7C">
              <w:rPr>
                <w:rFonts w:ascii="Lucida Bright" w:hAnsi="Lucida Bright" w:cs="Calibri"/>
                <w:b/>
                <w:bCs/>
                <w:color w:val="000000"/>
                <w:sz w:val="18"/>
                <w:szCs w:val="18"/>
                <w:lang w:val="es-ES"/>
              </w:rPr>
              <w:t>FONDOS MRR</w:t>
            </w:r>
          </w:p>
        </w:tc>
        <w:tc>
          <w:tcPr>
            <w:tcW w:w="746" w:type="pct"/>
            <w:tcBorders>
              <w:top w:val="single" w:sz="8" w:space="0" w:color="auto"/>
              <w:left w:val="nil"/>
              <w:bottom w:val="single" w:sz="8" w:space="0" w:color="auto"/>
              <w:right w:val="single" w:sz="8" w:space="0" w:color="auto"/>
            </w:tcBorders>
            <w:shd w:val="clear" w:color="000000" w:fill="CCFFCC"/>
            <w:vAlign w:val="center"/>
            <w:hideMark/>
          </w:tcPr>
          <w:p w:rsidR="00431F7C" w:rsidRPr="00431F7C" w:rsidRDefault="00431F7C" w:rsidP="00431F7C">
            <w:pPr>
              <w:jc w:val="center"/>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Saldo a 31/12/2022</w:t>
            </w:r>
          </w:p>
        </w:tc>
        <w:tc>
          <w:tcPr>
            <w:tcW w:w="669" w:type="pct"/>
            <w:tcBorders>
              <w:top w:val="single" w:sz="8" w:space="0" w:color="auto"/>
              <w:left w:val="nil"/>
              <w:bottom w:val="single" w:sz="8" w:space="0" w:color="auto"/>
              <w:right w:val="single" w:sz="8" w:space="0" w:color="auto"/>
            </w:tcBorders>
            <w:shd w:val="clear" w:color="000000" w:fill="CCFFCC"/>
            <w:vAlign w:val="center"/>
            <w:hideMark/>
          </w:tcPr>
          <w:p w:rsidR="00431F7C" w:rsidRPr="00431F7C" w:rsidRDefault="00431F7C" w:rsidP="00431F7C">
            <w:pPr>
              <w:jc w:val="center"/>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Importe devengado en el ejerci</w:t>
            </w:r>
            <w:r w:rsidR="00355986">
              <w:rPr>
                <w:rFonts w:ascii="Lucida Bright" w:hAnsi="Lucida Bright" w:cs="Calibri"/>
                <w:b/>
                <w:bCs/>
                <w:color w:val="000000"/>
                <w:sz w:val="14"/>
                <w:szCs w:val="14"/>
                <w:lang w:val="es-ES"/>
              </w:rPr>
              <w:t>ci</w:t>
            </w:r>
            <w:r w:rsidRPr="00431F7C">
              <w:rPr>
                <w:rFonts w:ascii="Lucida Bright" w:hAnsi="Lucida Bright" w:cs="Calibri"/>
                <w:b/>
                <w:bCs/>
                <w:color w:val="000000"/>
                <w:sz w:val="14"/>
                <w:szCs w:val="14"/>
                <w:lang w:val="es-ES"/>
              </w:rPr>
              <w:t>o</w:t>
            </w:r>
          </w:p>
        </w:tc>
        <w:tc>
          <w:tcPr>
            <w:tcW w:w="658" w:type="pct"/>
            <w:tcBorders>
              <w:top w:val="single" w:sz="8" w:space="0" w:color="auto"/>
              <w:left w:val="nil"/>
              <w:bottom w:val="single" w:sz="8" w:space="0" w:color="auto"/>
              <w:right w:val="single" w:sz="8" w:space="0" w:color="auto"/>
            </w:tcBorders>
            <w:shd w:val="clear" w:color="000000" w:fill="CCFFCC"/>
            <w:vAlign w:val="center"/>
            <w:hideMark/>
          </w:tcPr>
          <w:p w:rsidR="00431F7C" w:rsidRPr="00431F7C" w:rsidRDefault="00431F7C" w:rsidP="00431F7C">
            <w:pPr>
              <w:jc w:val="center"/>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Efecto impositivo devengo</w:t>
            </w:r>
          </w:p>
        </w:tc>
        <w:tc>
          <w:tcPr>
            <w:tcW w:w="746" w:type="pct"/>
            <w:tcBorders>
              <w:top w:val="single" w:sz="8" w:space="0" w:color="auto"/>
              <w:left w:val="nil"/>
              <w:bottom w:val="single" w:sz="8" w:space="0" w:color="auto"/>
              <w:right w:val="single" w:sz="8" w:space="0" w:color="auto"/>
            </w:tcBorders>
            <w:shd w:val="clear" w:color="000000" w:fill="CCFFCC"/>
            <w:vAlign w:val="center"/>
            <w:hideMark/>
          </w:tcPr>
          <w:p w:rsidR="00431F7C" w:rsidRPr="00431F7C" w:rsidRDefault="00431F7C" w:rsidP="00431F7C">
            <w:pPr>
              <w:jc w:val="center"/>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Importe traspas</w:t>
            </w:r>
            <w:r w:rsidR="00355986">
              <w:rPr>
                <w:rFonts w:ascii="Lucida Bright" w:hAnsi="Lucida Bright" w:cs="Calibri"/>
                <w:b/>
                <w:bCs/>
                <w:color w:val="000000"/>
                <w:sz w:val="14"/>
                <w:szCs w:val="14"/>
                <w:lang w:val="es-ES"/>
              </w:rPr>
              <w:t>a</w:t>
            </w:r>
            <w:r w:rsidRPr="00431F7C">
              <w:rPr>
                <w:rFonts w:ascii="Lucida Bright" w:hAnsi="Lucida Bright" w:cs="Calibri"/>
                <w:b/>
                <w:bCs/>
                <w:color w:val="000000"/>
                <w:sz w:val="14"/>
                <w:szCs w:val="14"/>
                <w:lang w:val="es-ES"/>
              </w:rPr>
              <w:t>do al resultado</w:t>
            </w:r>
          </w:p>
        </w:tc>
        <w:tc>
          <w:tcPr>
            <w:tcW w:w="658" w:type="pct"/>
            <w:tcBorders>
              <w:top w:val="single" w:sz="8" w:space="0" w:color="auto"/>
              <w:left w:val="nil"/>
              <w:bottom w:val="single" w:sz="8" w:space="0" w:color="auto"/>
              <w:right w:val="single" w:sz="8" w:space="0" w:color="auto"/>
            </w:tcBorders>
            <w:shd w:val="clear" w:color="000000" w:fill="CCFFCC"/>
            <w:vAlign w:val="center"/>
            <w:hideMark/>
          </w:tcPr>
          <w:p w:rsidR="00431F7C" w:rsidRPr="00431F7C" w:rsidRDefault="00431F7C" w:rsidP="00431F7C">
            <w:pPr>
              <w:jc w:val="center"/>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Saldo a 31/12/2023</w:t>
            </w:r>
          </w:p>
        </w:tc>
      </w:tr>
      <w:tr w:rsidR="00431F7C" w:rsidRPr="00431F7C" w:rsidTr="00431F7C">
        <w:trPr>
          <w:trHeight w:val="315"/>
        </w:trPr>
        <w:tc>
          <w:tcPr>
            <w:tcW w:w="1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31F7C" w:rsidRPr="00431F7C" w:rsidRDefault="00431F7C" w:rsidP="00431F7C">
            <w:pPr>
              <w:rPr>
                <w:rFonts w:ascii="Lucida Bright" w:hAnsi="Lucida Bright" w:cs="Calibri"/>
                <w:color w:val="000000"/>
                <w:sz w:val="14"/>
                <w:szCs w:val="14"/>
                <w:lang w:val="es-ES"/>
              </w:rPr>
            </w:pPr>
            <w:r w:rsidRPr="00431F7C">
              <w:rPr>
                <w:rFonts w:ascii="Lucida Bright" w:hAnsi="Lucida Bright" w:cs="Calibri"/>
                <w:color w:val="000000"/>
                <w:sz w:val="14"/>
                <w:szCs w:val="14"/>
                <w:lang w:val="es-ES"/>
              </w:rPr>
              <w:t xml:space="preserve">Fondos MRR </w:t>
            </w:r>
          </w:p>
        </w:tc>
        <w:tc>
          <w:tcPr>
            <w:tcW w:w="746" w:type="pct"/>
            <w:tcBorders>
              <w:top w:val="single" w:sz="4" w:space="0" w:color="auto"/>
              <w:left w:val="nil"/>
              <w:bottom w:val="nil"/>
              <w:right w:val="single" w:sz="4" w:space="0" w:color="auto"/>
            </w:tcBorders>
            <w:shd w:val="clear" w:color="auto" w:fill="auto"/>
            <w:noWrap/>
            <w:vAlign w:val="center"/>
            <w:hideMark/>
          </w:tcPr>
          <w:p w:rsidR="00431F7C" w:rsidRPr="00431F7C" w:rsidRDefault="00431F7C" w:rsidP="00431F7C">
            <w:pPr>
              <w:jc w:val="right"/>
              <w:rPr>
                <w:rFonts w:ascii="Lucida Bright" w:hAnsi="Lucida Bright" w:cs="Calibri"/>
                <w:color w:val="000000"/>
                <w:sz w:val="14"/>
                <w:szCs w:val="14"/>
                <w:lang w:val="es-ES"/>
              </w:rPr>
            </w:pPr>
            <w:r w:rsidRPr="00431F7C">
              <w:rPr>
                <w:rFonts w:ascii="Lucida Bright" w:hAnsi="Lucida Bright" w:cs="Calibri"/>
                <w:color w:val="000000"/>
                <w:sz w:val="14"/>
                <w:szCs w:val="14"/>
                <w:lang w:val="es-ES"/>
              </w:rPr>
              <w:t> </w:t>
            </w:r>
          </w:p>
        </w:tc>
        <w:tc>
          <w:tcPr>
            <w:tcW w:w="669" w:type="pct"/>
            <w:tcBorders>
              <w:top w:val="single" w:sz="4" w:space="0" w:color="auto"/>
              <w:left w:val="nil"/>
              <w:bottom w:val="nil"/>
              <w:right w:val="single" w:sz="4" w:space="0" w:color="auto"/>
            </w:tcBorders>
            <w:shd w:val="clear" w:color="auto" w:fill="auto"/>
            <w:noWrap/>
            <w:vAlign w:val="center"/>
            <w:hideMark/>
          </w:tcPr>
          <w:p w:rsidR="00431F7C" w:rsidRPr="00431F7C" w:rsidRDefault="00431F7C" w:rsidP="00431F7C">
            <w:pPr>
              <w:jc w:val="right"/>
              <w:rPr>
                <w:rFonts w:ascii="Lucida Bright" w:hAnsi="Lucida Bright" w:cs="Calibri"/>
                <w:color w:val="000000"/>
                <w:sz w:val="14"/>
                <w:szCs w:val="14"/>
                <w:lang w:val="es-ES"/>
              </w:rPr>
            </w:pPr>
            <w:r w:rsidRPr="00431F7C">
              <w:rPr>
                <w:rFonts w:ascii="Lucida Bright" w:hAnsi="Lucida Bright" w:cs="Calibri"/>
                <w:color w:val="000000"/>
                <w:sz w:val="14"/>
                <w:szCs w:val="14"/>
                <w:lang w:val="es-ES"/>
              </w:rPr>
              <w:t xml:space="preserve">925.981,86 </w:t>
            </w:r>
          </w:p>
        </w:tc>
        <w:tc>
          <w:tcPr>
            <w:tcW w:w="658" w:type="pct"/>
            <w:tcBorders>
              <w:top w:val="single" w:sz="4" w:space="0" w:color="auto"/>
              <w:left w:val="nil"/>
              <w:bottom w:val="nil"/>
              <w:right w:val="single" w:sz="4" w:space="0" w:color="auto"/>
            </w:tcBorders>
            <w:shd w:val="clear" w:color="auto" w:fill="auto"/>
            <w:noWrap/>
            <w:vAlign w:val="center"/>
            <w:hideMark/>
          </w:tcPr>
          <w:p w:rsidR="00431F7C" w:rsidRPr="00431F7C" w:rsidRDefault="00431F7C" w:rsidP="00431F7C">
            <w:pPr>
              <w:jc w:val="right"/>
              <w:rPr>
                <w:rFonts w:ascii="Lucida Bright" w:hAnsi="Lucida Bright" w:cs="Calibri"/>
                <w:color w:val="000000"/>
                <w:sz w:val="14"/>
                <w:szCs w:val="14"/>
                <w:lang w:val="es-ES"/>
              </w:rPr>
            </w:pPr>
            <w:r w:rsidRPr="00431F7C">
              <w:rPr>
                <w:rFonts w:ascii="Lucida Bright" w:hAnsi="Lucida Bright" w:cs="Calibri"/>
                <w:color w:val="000000"/>
                <w:sz w:val="14"/>
                <w:szCs w:val="14"/>
                <w:lang w:val="es-ES"/>
              </w:rPr>
              <w:t xml:space="preserve">(231.495,46) </w:t>
            </w:r>
          </w:p>
        </w:tc>
        <w:tc>
          <w:tcPr>
            <w:tcW w:w="746" w:type="pct"/>
            <w:tcBorders>
              <w:top w:val="single" w:sz="4" w:space="0" w:color="auto"/>
              <w:left w:val="nil"/>
              <w:bottom w:val="nil"/>
              <w:right w:val="single" w:sz="4" w:space="0" w:color="auto"/>
            </w:tcBorders>
            <w:shd w:val="clear" w:color="auto" w:fill="auto"/>
            <w:noWrap/>
            <w:vAlign w:val="center"/>
            <w:hideMark/>
          </w:tcPr>
          <w:p w:rsidR="00431F7C" w:rsidRPr="00431F7C" w:rsidRDefault="00431F7C" w:rsidP="00431F7C">
            <w:pPr>
              <w:rPr>
                <w:rFonts w:ascii="Lucida Bright" w:hAnsi="Lucida Bright" w:cs="Calibri"/>
                <w:color w:val="000000"/>
                <w:sz w:val="14"/>
                <w:szCs w:val="14"/>
                <w:lang w:val="es-ES"/>
              </w:rPr>
            </w:pPr>
            <w:r w:rsidRPr="00431F7C">
              <w:rPr>
                <w:rFonts w:ascii="Lucida Bright" w:hAnsi="Lucida Bright" w:cs="Calibri"/>
                <w:color w:val="000000"/>
                <w:sz w:val="14"/>
                <w:szCs w:val="14"/>
                <w:lang w:val="es-ES"/>
              </w:rPr>
              <w:t> </w:t>
            </w:r>
          </w:p>
        </w:tc>
        <w:tc>
          <w:tcPr>
            <w:tcW w:w="658" w:type="pct"/>
            <w:tcBorders>
              <w:top w:val="single" w:sz="4" w:space="0" w:color="auto"/>
              <w:left w:val="single" w:sz="4" w:space="0" w:color="auto"/>
              <w:bottom w:val="nil"/>
              <w:right w:val="single" w:sz="8" w:space="0" w:color="auto"/>
            </w:tcBorders>
            <w:shd w:val="clear" w:color="auto" w:fill="auto"/>
            <w:noWrap/>
            <w:vAlign w:val="center"/>
            <w:hideMark/>
          </w:tcPr>
          <w:p w:rsidR="00431F7C" w:rsidRPr="00431F7C" w:rsidRDefault="00431F7C" w:rsidP="00431F7C">
            <w:pPr>
              <w:jc w:val="right"/>
              <w:rPr>
                <w:rFonts w:ascii="Lucida Bright" w:hAnsi="Lucida Bright" w:cs="Calibri"/>
                <w:color w:val="000000"/>
                <w:sz w:val="14"/>
                <w:szCs w:val="14"/>
                <w:lang w:val="es-ES"/>
              </w:rPr>
            </w:pPr>
            <w:r w:rsidRPr="00431F7C">
              <w:rPr>
                <w:rFonts w:ascii="Lucida Bright" w:hAnsi="Lucida Bright" w:cs="Calibri"/>
                <w:color w:val="000000"/>
                <w:sz w:val="14"/>
                <w:szCs w:val="14"/>
                <w:lang w:val="es-ES"/>
              </w:rPr>
              <w:t xml:space="preserve">694.486,40 </w:t>
            </w:r>
          </w:p>
        </w:tc>
      </w:tr>
      <w:tr w:rsidR="00431F7C" w:rsidRPr="00431F7C" w:rsidTr="00431F7C">
        <w:trPr>
          <w:trHeight w:val="315"/>
        </w:trPr>
        <w:tc>
          <w:tcPr>
            <w:tcW w:w="1213" w:type="pct"/>
            <w:tcBorders>
              <w:top w:val="nil"/>
              <w:left w:val="single" w:sz="8" w:space="0" w:color="auto"/>
              <w:bottom w:val="single" w:sz="8" w:space="0" w:color="auto"/>
              <w:right w:val="nil"/>
            </w:tcBorders>
            <w:shd w:val="clear" w:color="auto" w:fill="auto"/>
            <w:noWrap/>
            <w:vAlign w:val="center"/>
            <w:hideMark/>
          </w:tcPr>
          <w:p w:rsidR="00431F7C" w:rsidRPr="00431F7C" w:rsidRDefault="00431F7C" w:rsidP="00431F7C">
            <w:pPr>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Total</w:t>
            </w:r>
          </w:p>
        </w:tc>
        <w:tc>
          <w:tcPr>
            <w:tcW w:w="139" w:type="pct"/>
            <w:tcBorders>
              <w:top w:val="nil"/>
              <w:left w:val="nil"/>
              <w:bottom w:val="single" w:sz="8" w:space="0" w:color="auto"/>
              <w:right w:val="nil"/>
            </w:tcBorders>
            <w:shd w:val="clear" w:color="auto" w:fill="auto"/>
            <w:noWrap/>
            <w:vAlign w:val="center"/>
            <w:hideMark/>
          </w:tcPr>
          <w:p w:rsidR="00431F7C" w:rsidRPr="00431F7C" w:rsidRDefault="00431F7C" w:rsidP="00431F7C">
            <w:pPr>
              <w:rPr>
                <w:rFonts w:ascii="Lucida Bright" w:hAnsi="Lucida Bright" w:cs="Calibri"/>
                <w:color w:val="000000"/>
                <w:sz w:val="14"/>
                <w:szCs w:val="14"/>
                <w:lang w:val="es-ES"/>
              </w:rPr>
            </w:pPr>
            <w:r w:rsidRPr="00431F7C">
              <w:rPr>
                <w:rFonts w:ascii="Lucida Bright" w:hAnsi="Lucida Bright" w:cs="Calibri"/>
                <w:color w:val="000000"/>
                <w:sz w:val="14"/>
                <w:szCs w:val="14"/>
                <w:lang w:val="es-ES"/>
              </w:rPr>
              <w:t> </w:t>
            </w:r>
          </w:p>
        </w:tc>
        <w:tc>
          <w:tcPr>
            <w:tcW w:w="172" w:type="pct"/>
            <w:tcBorders>
              <w:top w:val="nil"/>
              <w:left w:val="nil"/>
              <w:bottom w:val="single" w:sz="8" w:space="0" w:color="auto"/>
              <w:right w:val="single" w:sz="8" w:space="0" w:color="auto"/>
            </w:tcBorders>
            <w:shd w:val="clear" w:color="auto" w:fill="auto"/>
            <w:noWrap/>
            <w:vAlign w:val="center"/>
            <w:hideMark/>
          </w:tcPr>
          <w:p w:rsidR="00431F7C" w:rsidRPr="00431F7C" w:rsidRDefault="00431F7C" w:rsidP="00431F7C">
            <w:pPr>
              <w:rPr>
                <w:rFonts w:ascii="Lucida Bright" w:hAnsi="Lucida Bright" w:cs="Calibri"/>
                <w:color w:val="000000"/>
                <w:sz w:val="14"/>
                <w:szCs w:val="14"/>
                <w:lang w:val="es-ES"/>
              </w:rPr>
            </w:pPr>
            <w:r w:rsidRPr="00431F7C">
              <w:rPr>
                <w:rFonts w:ascii="Lucida Bright" w:hAnsi="Lucida Bright" w:cs="Calibri"/>
                <w:color w:val="000000"/>
                <w:sz w:val="14"/>
                <w:szCs w:val="14"/>
                <w:lang w:val="es-ES"/>
              </w:rPr>
              <w:t> </w:t>
            </w:r>
          </w:p>
        </w:tc>
        <w:tc>
          <w:tcPr>
            <w:tcW w:w="746" w:type="pct"/>
            <w:tcBorders>
              <w:top w:val="single" w:sz="8" w:space="0" w:color="auto"/>
              <w:left w:val="nil"/>
              <w:bottom w:val="single" w:sz="8" w:space="0" w:color="auto"/>
              <w:right w:val="single" w:sz="8" w:space="0" w:color="auto"/>
            </w:tcBorders>
            <w:shd w:val="clear" w:color="auto" w:fill="auto"/>
            <w:noWrap/>
            <w:vAlign w:val="center"/>
            <w:hideMark/>
          </w:tcPr>
          <w:p w:rsidR="00431F7C" w:rsidRPr="00431F7C" w:rsidRDefault="00431F7C" w:rsidP="00431F7C">
            <w:pPr>
              <w:jc w:val="right"/>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 </w:t>
            </w:r>
          </w:p>
        </w:tc>
        <w:tc>
          <w:tcPr>
            <w:tcW w:w="669" w:type="pct"/>
            <w:tcBorders>
              <w:top w:val="single" w:sz="8" w:space="0" w:color="auto"/>
              <w:left w:val="nil"/>
              <w:bottom w:val="single" w:sz="8" w:space="0" w:color="auto"/>
              <w:right w:val="single" w:sz="8" w:space="0" w:color="auto"/>
            </w:tcBorders>
            <w:shd w:val="clear" w:color="auto" w:fill="auto"/>
            <w:noWrap/>
            <w:vAlign w:val="center"/>
            <w:hideMark/>
          </w:tcPr>
          <w:p w:rsidR="00431F7C" w:rsidRPr="00431F7C" w:rsidRDefault="00431F7C" w:rsidP="00431F7C">
            <w:pPr>
              <w:jc w:val="right"/>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 xml:space="preserve">925.981,86 </w:t>
            </w:r>
          </w:p>
        </w:tc>
        <w:tc>
          <w:tcPr>
            <w:tcW w:w="658" w:type="pct"/>
            <w:tcBorders>
              <w:top w:val="single" w:sz="8" w:space="0" w:color="auto"/>
              <w:left w:val="nil"/>
              <w:bottom w:val="single" w:sz="8" w:space="0" w:color="auto"/>
              <w:right w:val="single" w:sz="8" w:space="0" w:color="auto"/>
            </w:tcBorders>
            <w:shd w:val="clear" w:color="auto" w:fill="auto"/>
            <w:noWrap/>
            <w:vAlign w:val="center"/>
            <w:hideMark/>
          </w:tcPr>
          <w:p w:rsidR="00431F7C" w:rsidRPr="00431F7C" w:rsidRDefault="00431F7C" w:rsidP="00431F7C">
            <w:pPr>
              <w:jc w:val="right"/>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 xml:space="preserve">(231.495,46) </w:t>
            </w:r>
          </w:p>
        </w:tc>
        <w:tc>
          <w:tcPr>
            <w:tcW w:w="746" w:type="pct"/>
            <w:tcBorders>
              <w:top w:val="single" w:sz="8" w:space="0" w:color="auto"/>
              <w:left w:val="nil"/>
              <w:bottom w:val="single" w:sz="8" w:space="0" w:color="auto"/>
              <w:right w:val="single" w:sz="8" w:space="0" w:color="auto"/>
            </w:tcBorders>
            <w:shd w:val="clear" w:color="auto" w:fill="auto"/>
            <w:noWrap/>
            <w:vAlign w:val="center"/>
            <w:hideMark/>
          </w:tcPr>
          <w:p w:rsidR="00431F7C" w:rsidRPr="00431F7C" w:rsidRDefault="00431F7C" w:rsidP="00431F7C">
            <w:pPr>
              <w:jc w:val="right"/>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 </w:t>
            </w:r>
          </w:p>
        </w:tc>
        <w:tc>
          <w:tcPr>
            <w:tcW w:w="658" w:type="pct"/>
            <w:tcBorders>
              <w:top w:val="single" w:sz="8" w:space="0" w:color="auto"/>
              <w:left w:val="nil"/>
              <w:bottom w:val="single" w:sz="8" w:space="0" w:color="auto"/>
              <w:right w:val="single" w:sz="8" w:space="0" w:color="auto"/>
            </w:tcBorders>
            <w:shd w:val="clear" w:color="auto" w:fill="auto"/>
            <w:noWrap/>
            <w:vAlign w:val="center"/>
            <w:hideMark/>
          </w:tcPr>
          <w:p w:rsidR="00431F7C" w:rsidRPr="00431F7C" w:rsidRDefault="00431F7C" w:rsidP="00431F7C">
            <w:pPr>
              <w:jc w:val="right"/>
              <w:rPr>
                <w:rFonts w:ascii="Lucida Bright" w:hAnsi="Lucida Bright" w:cs="Calibri"/>
                <w:b/>
                <w:bCs/>
                <w:color w:val="000000"/>
                <w:sz w:val="14"/>
                <w:szCs w:val="14"/>
                <w:lang w:val="es-ES"/>
              </w:rPr>
            </w:pPr>
            <w:r w:rsidRPr="00431F7C">
              <w:rPr>
                <w:rFonts w:ascii="Lucida Bright" w:hAnsi="Lucida Bright" w:cs="Calibri"/>
                <w:b/>
                <w:bCs/>
                <w:color w:val="000000"/>
                <w:sz w:val="14"/>
                <w:szCs w:val="14"/>
                <w:lang w:val="es-ES"/>
              </w:rPr>
              <w:t xml:space="preserve">694.486,40 </w:t>
            </w:r>
          </w:p>
        </w:tc>
      </w:tr>
    </w:tbl>
    <w:p w:rsidR="00431F7C" w:rsidRPr="00653857" w:rsidRDefault="00431F7C" w:rsidP="00C25E67">
      <w:pPr>
        <w:pStyle w:val="Sangradetextonormal"/>
        <w:rPr>
          <w:rFonts w:ascii="NewBaskerville" w:hAnsi="NewBaskerville"/>
          <w:sz w:val="20"/>
        </w:rPr>
      </w:pPr>
    </w:p>
    <w:p w:rsidR="00653857" w:rsidRDefault="00653857" w:rsidP="00653857">
      <w:pPr>
        <w:pStyle w:val="Textoindependiente2"/>
        <w:rPr>
          <w:rFonts w:ascii="NewBaskerville" w:hAnsi="NewBaskerville"/>
          <w:sz w:val="20"/>
          <w:szCs w:val="20"/>
        </w:rPr>
      </w:pPr>
    </w:p>
    <w:p w:rsidR="00BB7BD3" w:rsidRDefault="00BB7BD3" w:rsidP="00653857">
      <w:pPr>
        <w:pStyle w:val="Textoindependiente2"/>
        <w:rPr>
          <w:rFonts w:ascii="NewBaskerville" w:hAnsi="NewBaskerville"/>
          <w:sz w:val="20"/>
          <w:szCs w:val="20"/>
        </w:rPr>
      </w:pPr>
    </w:p>
    <w:p w:rsidR="00486982" w:rsidRDefault="00486982" w:rsidP="00653857">
      <w:pPr>
        <w:pStyle w:val="Textoindependiente2"/>
        <w:rPr>
          <w:rFonts w:ascii="NewBaskerville" w:hAnsi="NewBaskerville"/>
          <w:sz w:val="20"/>
          <w:szCs w:val="20"/>
        </w:rPr>
      </w:pPr>
    </w:p>
    <w:p w:rsidR="00F174B7" w:rsidRDefault="00F174B7" w:rsidP="00F174B7">
      <w:pPr>
        <w:pStyle w:val="Sangradetextonormal"/>
        <w:numPr>
          <w:ilvl w:val="0"/>
          <w:numId w:val="2"/>
        </w:numPr>
        <w:ind w:hanging="219"/>
        <w:rPr>
          <w:rFonts w:ascii="NewBaskerville" w:hAnsi="NewBaskerville"/>
          <w:sz w:val="20"/>
        </w:rPr>
      </w:pPr>
      <w:r>
        <w:rPr>
          <w:rFonts w:ascii="NewBaskerville" w:hAnsi="NewBaskerville"/>
          <w:sz w:val="20"/>
        </w:rPr>
        <w:t xml:space="preserve">Fondos </w:t>
      </w:r>
      <w:proofErr w:type="spellStart"/>
      <w:r>
        <w:rPr>
          <w:rFonts w:ascii="NewBaskerville" w:hAnsi="NewBaskerville"/>
          <w:sz w:val="20"/>
        </w:rPr>
        <w:t>Feder</w:t>
      </w:r>
      <w:proofErr w:type="spellEnd"/>
      <w:r>
        <w:rPr>
          <w:rFonts w:ascii="NewBaskerville" w:hAnsi="NewBaskerville"/>
          <w:sz w:val="20"/>
        </w:rPr>
        <w:t xml:space="preserve"> M.C.A. 14/20.</w:t>
      </w:r>
    </w:p>
    <w:p w:rsidR="00F174B7" w:rsidRDefault="00F174B7" w:rsidP="00F174B7">
      <w:pPr>
        <w:pStyle w:val="Sangradetextonormal"/>
        <w:rPr>
          <w:rFonts w:ascii="NewBaskerville" w:hAnsi="NewBaskerville"/>
          <w:sz w:val="20"/>
        </w:rPr>
      </w:pPr>
    </w:p>
    <w:p w:rsidR="00F174B7" w:rsidRDefault="00F174B7" w:rsidP="00F174B7">
      <w:pPr>
        <w:pStyle w:val="Sangradetextonormal"/>
        <w:rPr>
          <w:rFonts w:ascii="NewBaskerville" w:hAnsi="NewBaskerville"/>
          <w:sz w:val="20"/>
        </w:rPr>
      </w:pPr>
      <w:r>
        <w:rPr>
          <w:rFonts w:ascii="NewBaskerville" w:hAnsi="NewBaskerville"/>
          <w:sz w:val="20"/>
        </w:rPr>
        <w:t xml:space="preserve">La APB </w:t>
      </w:r>
      <w:r w:rsidR="007C3C8B">
        <w:rPr>
          <w:rFonts w:ascii="NewBaskerville" w:hAnsi="NewBaskerville"/>
          <w:sz w:val="20"/>
        </w:rPr>
        <w:t xml:space="preserve">ha recibido durante el ejercicio 2023 </w:t>
      </w:r>
      <w:r w:rsidR="001E0345">
        <w:rPr>
          <w:rFonts w:ascii="NewBaskerville" w:hAnsi="NewBaskerville"/>
          <w:sz w:val="20"/>
        </w:rPr>
        <w:t xml:space="preserve">Fondos </w:t>
      </w:r>
      <w:proofErr w:type="spellStart"/>
      <w:r w:rsidR="001E0345">
        <w:rPr>
          <w:rFonts w:ascii="NewBaskerville" w:hAnsi="NewBaskerville"/>
          <w:sz w:val="20"/>
        </w:rPr>
        <w:t>Feder</w:t>
      </w:r>
      <w:proofErr w:type="spellEnd"/>
      <w:r w:rsidR="001E0345">
        <w:rPr>
          <w:rFonts w:ascii="NewBaskerville" w:hAnsi="NewBaskerville"/>
          <w:sz w:val="20"/>
        </w:rPr>
        <w:t xml:space="preserve"> para la realización de proyectos de renovación energética de edificios e infraestructuras existentes de la Administración General del Estado, proyectos cofinanciados por la Unión Europea a través del Fondo </w:t>
      </w:r>
      <w:proofErr w:type="spellStart"/>
      <w:r w:rsidR="001E0345">
        <w:rPr>
          <w:rFonts w:ascii="NewBaskerville" w:hAnsi="NewBaskerville"/>
          <w:sz w:val="20"/>
        </w:rPr>
        <w:t>Feder</w:t>
      </w:r>
      <w:proofErr w:type="spellEnd"/>
      <w:r w:rsidR="001E0345">
        <w:rPr>
          <w:rFonts w:ascii="NewBaskerville" w:hAnsi="NewBaskerville"/>
          <w:sz w:val="20"/>
        </w:rPr>
        <w:t xml:space="preserve">. Dicha subvención fue convocada y resuelta por el Instituto para la Diversificación y Ahorro de la Energía (IDAE), y resultó favorable el proyecto de Mejora de la Eficiencia Energética de parte del </w:t>
      </w:r>
      <w:r w:rsidR="00DD448C">
        <w:rPr>
          <w:rFonts w:ascii="NewBaskerville" w:hAnsi="NewBaskerville"/>
          <w:sz w:val="20"/>
        </w:rPr>
        <w:t>Alumbrado</w:t>
      </w:r>
      <w:r w:rsidR="001E0345">
        <w:rPr>
          <w:rFonts w:ascii="NewBaskerville" w:hAnsi="NewBaskerville"/>
          <w:sz w:val="20"/>
        </w:rPr>
        <w:t xml:space="preserve"> Exterior del Puerto de </w:t>
      </w:r>
      <w:proofErr w:type="spellStart"/>
      <w:r w:rsidR="001E0345">
        <w:rPr>
          <w:rFonts w:ascii="NewBaskerville" w:hAnsi="NewBaskerville"/>
          <w:sz w:val="20"/>
        </w:rPr>
        <w:t>Maó</w:t>
      </w:r>
      <w:proofErr w:type="spellEnd"/>
      <w:r w:rsidR="001E0345">
        <w:rPr>
          <w:rFonts w:ascii="NewBaskerville" w:hAnsi="NewBaskerville"/>
          <w:sz w:val="20"/>
        </w:rPr>
        <w:t xml:space="preserve"> perteneciente a la APB. Las cantidades devengadas y traspasadas al</w:t>
      </w:r>
      <w:r w:rsidR="0048433C">
        <w:rPr>
          <w:rFonts w:ascii="NewBaskerville" w:hAnsi="NewBaskerville"/>
          <w:sz w:val="20"/>
        </w:rPr>
        <w:t xml:space="preserve"> resultado son las detalladas en el cuadro.</w:t>
      </w:r>
    </w:p>
    <w:p w:rsidR="0048433C" w:rsidRDefault="0048433C" w:rsidP="00F174B7">
      <w:pPr>
        <w:pStyle w:val="Sangradetextonormal"/>
        <w:rPr>
          <w:rFonts w:ascii="NewBaskerville" w:hAnsi="NewBaskerville"/>
          <w:sz w:val="20"/>
        </w:rPr>
      </w:pPr>
    </w:p>
    <w:tbl>
      <w:tblPr>
        <w:tblW w:w="5000" w:type="pct"/>
        <w:tblCellMar>
          <w:left w:w="70" w:type="dxa"/>
          <w:right w:w="70" w:type="dxa"/>
        </w:tblCellMar>
        <w:tblLook w:val="04A0" w:firstRow="1" w:lastRow="0" w:firstColumn="1" w:lastColumn="0" w:noHBand="0" w:noVBand="1"/>
      </w:tblPr>
      <w:tblGrid>
        <w:gridCol w:w="2096"/>
        <w:gridCol w:w="240"/>
        <w:gridCol w:w="297"/>
        <w:gridCol w:w="1290"/>
        <w:gridCol w:w="1157"/>
        <w:gridCol w:w="1138"/>
        <w:gridCol w:w="1290"/>
        <w:gridCol w:w="1136"/>
      </w:tblGrid>
      <w:tr w:rsidR="0048433C" w:rsidRPr="0048433C" w:rsidTr="0048433C">
        <w:trPr>
          <w:trHeight w:val="555"/>
        </w:trPr>
        <w:tc>
          <w:tcPr>
            <w:tcW w:w="1524" w:type="pct"/>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48433C" w:rsidRPr="0048433C" w:rsidRDefault="0048433C" w:rsidP="0048433C">
            <w:pPr>
              <w:jc w:val="center"/>
              <w:rPr>
                <w:rFonts w:ascii="Lucida Bright" w:hAnsi="Lucida Bright" w:cs="Calibri"/>
                <w:b/>
                <w:bCs/>
                <w:color w:val="000000"/>
                <w:sz w:val="18"/>
                <w:szCs w:val="18"/>
                <w:lang w:val="es-ES"/>
              </w:rPr>
            </w:pPr>
            <w:proofErr w:type="spellStart"/>
            <w:r w:rsidRPr="0048433C">
              <w:rPr>
                <w:rFonts w:ascii="Lucida Bright" w:hAnsi="Lucida Bright" w:cs="Calibri"/>
                <w:b/>
                <w:bCs/>
                <w:color w:val="000000"/>
                <w:sz w:val="18"/>
                <w:szCs w:val="18"/>
                <w:lang w:val="es-ES"/>
              </w:rPr>
              <w:t>Feder</w:t>
            </w:r>
            <w:proofErr w:type="spellEnd"/>
            <w:r w:rsidRPr="0048433C">
              <w:rPr>
                <w:rFonts w:ascii="Lucida Bright" w:hAnsi="Lucida Bright" w:cs="Calibri"/>
                <w:b/>
                <w:bCs/>
                <w:color w:val="000000"/>
                <w:sz w:val="18"/>
                <w:szCs w:val="18"/>
                <w:lang w:val="es-ES"/>
              </w:rPr>
              <w:t xml:space="preserve"> M.C.A. 14/20</w:t>
            </w:r>
          </w:p>
        </w:tc>
        <w:tc>
          <w:tcPr>
            <w:tcW w:w="746" w:type="pct"/>
            <w:tcBorders>
              <w:top w:val="single" w:sz="8" w:space="0" w:color="auto"/>
              <w:left w:val="nil"/>
              <w:bottom w:val="single" w:sz="8" w:space="0" w:color="auto"/>
              <w:right w:val="single" w:sz="8" w:space="0" w:color="auto"/>
            </w:tcBorders>
            <w:shd w:val="clear" w:color="000000" w:fill="CCFFCC"/>
            <w:vAlign w:val="center"/>
            <w:hideMark/>
          </w:tcPr>
          <w:p w:rsidR="0048433C" w:rsidRPr="0048433C" w:rsidRDefault="0048433C" w:rsidP="0048433C">
            <w:pPr>
              <w:jc w:val="center"/>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Saldo a 31/12/2022</w:t>
            </w:r>
          </w:p>
        </w:tc>
        <w:tc>
          <w:tcPr>
            <w:tcW w:w="669" w:type="pct"/>
            <w:tcBorders>
              <w:top w:val="single" w:sz="8" w:space="0" w:color="auto"/>
              <w:left w:val="nil"/>
              <w:bottom w:val="single" w:sz="8" w:space="0" w:color="auto"/>
              <w:right w:val="single" w:sz="8" w:space="0" w:color="auto"/>
            </w:tcBorders>
            <w:shd w:val="clear" w:color="000000" w:fill="CCFFCC"/>
            <w:vAlign w:val="center"/>
            <w:hideMark/>
          </w:tcPr>
          <w:p w:rsidR="0048433C" w:rsidRPr="0048433C" w:rsidRDefault="00355986" w:rsidP="0048433C">
            <w:pPr>
              <w:jc w:val="center"/>
              <w:rPr>
                <w:rFonts w:ascii="Lucida Bright" w:hAnsi="Lucida Bright" w:cs="Calibri"/>
                <w:b/>
                <w:bCs/>
                <w:color w:val="000000"/>
                <w:sz w:val="14"/>
                <w:szCs w:val="14"/>
                <w:lang w:val="es-ES"/>
              </w:rPr>
            </w:pPr>
            <w:r>
              <w:rPr>
                <w:rFonts w:ascii="Lucida Bright" w:hAnsi="Lucida Bright" w:cs="Calibri"/>
                <w:b/>
                <w:bCs/>
                <w:color w:val="000000"/>
                <w:sz w:val="14"/>
                <w:szCs w:val="14"/>
                <w:lang w:val="es-ES"/>
              </w:rPr>
              <w:t>Importe devengado en el ejercicio</w:t>
            </w:r>
          </w:p>
        </w:tc>
        <w:tc>
          <w:tcPr>
            <w:tcW w:w="658" w:type="pct"/>
            <w:tcBorders>
              <w:top w:val="single" w:sz="8" w:space="0" w:color="auto"/>
              <w:left w:val="nil"/>
              <w:bottom w:val="single" w:sz="8" w:space="0" w:color="auto"/>
              <w:right w:val="single" w:sz="8" w:space="0" w:color="auto"/>
            </w:tcBorders>
            <w:shd w:val="clear" w:color="000000" w:fill="CCFFCC"/>
            <w:vAlign w:val="center"/>
            <w:hideMark/>
          </w:tcPr>
          <w:p w:rsidR="0048433C" w:rsidRPr="0048433C" w:rsidRDefault="0048433C" w:rsidP="0048433C">
            <w:pPr>
              <w:jc w:val="center"/>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Efecto impositivo devengo</w:t>
            </w:r>
          </w:p>
        </w:tc>
        <w:tc>
          <w:tcPr>
            <w:tcW w:w="746" w:type="pct"/>
            <w:tcBorders>
              <w:top w:val="single" w:sz="8" w:space="0" w:color="auto"/>
              <w:left w:val="nil"/>
              <w:bottom w:val="single" w:sz="8" w:space="0" w:color="auto"/>
              <w:right w:val="single" w:sz="8" w:space="0" w:color="auto"/>
            </w:tcBorders>
            <w:shd w:val="clear" w:color="000000" w:fill="CCFFCC"/>
            <w:vAlign w:val="center"/>
            <w:hideMark/>
          </w:tcPr>
          <w:p w:rsidR="0048433C" w:rsidRPr="0048433C" w:rsidRDefault="0048433C" w:rsidP="0048433C">
            <w:pPr>
              <w:jc w:val="center"/>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Importe traspas</w:t>
            </w:r>
            <w:r w:rsidR="00355986">
              <w:rPr>
                <w:rFonts w:ascii="Lucida Bright" w:hAnsi="Lucida Bright" w:cs="Calibri"/>
                <w:b/>
                <w:bCs/>
                <w:color w:val="000000"/>
                <w:sz w:val="14"/>
                <w:szCs w:val="14"/>
                <w:lang w:val="es-ES"/>
              </w:rPr>
              <w:t>a</w:t>
            </w:r>
            <w:r w:rsidRPr="0048433C">
              <w:rPr>
                <w:rFonts w:ascii="Lucida Bright" w:hAnsi="Lucida Bright" w:cs="Calibri"/>
                <w:b/>
                <w:bCs/>
                <w:color w:val="000000"/>
                <w:sz w:val="14"/>
                <w:szCs w:val="14"/>
                <w:lang w:val="es-ES"/>
              </w:rPr>
              <w:t>do al resultado</w:t>
            </w:r>
          </w:p>
        </w:tc>
        <w:tc>
          <w:tcPr>
            <w:tcW w:w="658" w:type="pct"/>
            <w:tcBorders>
              <w:top w:val="single" w:sz="8" w:space="0" w:color="auto"/>
              <w:left w:val="nil"/>
              <w:bottom w:val="single" w:sz="8" w:space="0" w:color="auto"/>
              <w:right w:val="single" w:sz="8" w:space="0" w:color="auto"/>
            </w:tcBorders>
            <w:shd w:val="clear" w:color="000000" w:fill="CCFFCC"/>
            <w:vAlign w:val="center"/>
            <w:hideMark/>
          </w:tcPr>
          <w:p w:rsidR="0048433C" w:rsidRPr="0048433C" w:rsidRDefault="0048433C" w:rsidP="0048433C">
            <w:pPr>
              <w:jc w:val="center"/>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Saldo a 31/12/2023</w:t>
            </w:r>
          </w:p>
        </w:tc>
      </w:tr>
      <w:tr w:rsidR="0048433C" w:rsidRPr="0048433C" w:rsidTr="0048433C">
        <w:trPr>
          <w:trHeight w:val="315"/>
        </w:trPr>
        <w:tc>
          <w:tcPr>
            <w:tcW w:w="1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8433C" w:rsidRPr="0048433C" w:rsidRDefault="0048433C" w:rsidP="0048433C">
            <w:pPr>
              <w:rPr>
                <w:rFonts w:ascii="Lucida Bright" w:hAnsi="Lucida Bright" w:cs="Calibri"/>
                <w:color w:val="000000"/>
                <w:sz w:val="14"/>
                <w:szCs w:val="14"/>
                <w:lang w:val="es-ES"/>
              </w:rPr>
            </w:pPr>
            <w:r w:rsidRPr="0048433C">
              <w:rPr>
                <w:rFonts w:ascii="Lucida Bright" w:hAnsi="Lucida Bright" w:cs="Calibri"/>
                <w:color w:val="000000"/>
                <w:sz w:val="14"/>
                <w:szCs w:val="14"/>
                <w:lang w:val="es-ES"/>
              </w:rPr>
              <w:t xml:space="preserve">Proyecto de renovación energética de </w:t>
            </w:r>
            <w:proofErr w:type="spellStart"/>
            <w:r w:rsidRPr="0048433C">
              <w:rPr>
                <w:rFonts w:ascii="Lucida Bright" w:hAnsi="Lucida Bright" w:cs="Calibri"/>
                <w:color w:val="000000"/>
                <w:sz w:val="14"/>
                <w:szCs w:val="14"/>
                <w:lang w:val="es-ES"/>
              </w:rPr>
              <w:t>ed</w:t>
            </w:r>
            <w:proofErr w:type="spellEnd"/>
            <w:r w:rsidRPr="0048433C">
              <w:rPr>
                <w:rFonts w:ascii="Lucida Bright" w:hAnsi="Lucida Bright" w:cs="Calibri"/>
                <w:color w:val="000000"/>
                <w:sz w:val="14"/>
                <w:szCs w:val="14"/>
                <w:lang w:val="es-ES"/>
              </w:rPr>
              <w:t xml:space="preserve"> e </w:t>
            </w:r>
            <w:proofErr w:type="spellStart"/>
            <w:r w:rsidRPr="0048433C">
              <w:rPr>
                <w:rFonts w:ascii="Lucida Bright" w:hAnsi="Lucida Bright" w:cs="Calibri"/>
                <w:color w:val="000000"/>
                <w:sz w:val="14"/>
                <w:szCs w:val="14"/>
                <w:lang w:val="es-ES"/>
              </w:rPr>
              <w:t>infrae</w:t>
            </w:r>
            <w:proofErr w:type="spellEnd"/>
            <w:r w:rsidRPr="0048433C">
              <w:rPr>
                <w:rFonts w:ascii="Lucida Bright" w:hAnsi="Lucida Bright" w:cs="Calibri"/>
                <w:color w:val="000000"/>
                <w:sz w:val="14"/>
                <w:szCs w:val="14"/>
                <w:lang w:val="es-ES"/>
              </w:rPr>
              <w:t xml:space="preserve"> AGE (IDAE )</w:t>
            </w:r>
          </w:p>
        </w:tc>
        <w:tc>
          <w:tcPr>
            <w:tcW w:w="746" w:type="pct"/>
            <w:tcBorders>
              <w:top w:val="single" w:sz="4" w:space="0" w:color="auto"/>
              <w:left w:val="nil"/>
              <w:bottom w:val="nil"/>
              <w:right w:val="single" w:sz="4" w:space="0" w:color="auto"/>
            </w:tcBorders>
            <w:shd w:val="clear" w:color="auto" w:fill="auto"/>
            <w:noWrap/>
            <w:vAlign w:val="center"/>
            <w:hideMark/>
          </w:tcPr>
          <w:p w:rsidR="0048433C" w:rsidRPr="0048433C" w:rsidRDefault="0048433C" w:rsidP="0048433C">
            <w:pPr>
              <w:jc w:val="right"/>
              <w:rPr>
                <w:rFonts w:ascii="Lucida Bright" w:hAnsi="Lucida Bright" w:cs="Calibri"/>
                <w:color w:val="000000"/>
                <w:sz w:val="14"/>
                <w:szCs w:val="14"/>
                <w:lang w:val="es-ES"/>
              </w:rPr>
            </w:pPr>
            <w:r w:rsidRPr="0048433C">
              <w:rPr>
                <w:rFonts w:ascii="Lucida Bright" w:hAnsi="Lucida Bright" w:cs="Calibri"/>
                <w:color w:val="000000"/>
                <w:sz w:val="14"/>
                <w:szCs w:val="14"/>
                <w:lang w:val="es-ES"/>
              </w:rPr>
              <w:t> </w:t>
            </w:r>
          </w:p>
        </w:tc>
        <w:tc>
          <w:tcPr>
            <w:tcW w:w="669" w:type="pct"/>
            <w:tcBorders>
              <w:top w:val="single" w:sz="4" w:space="0" w:color="auto"/>
              <w:left w:val="nil"/>
              <w:bottom w:val="nil"/>
              <w:right w:val="single" w:sz="4" w:space="0" w:color="auto"/>
            </w:tcBorders>
            <w:shd w:val="clear" w:color="auto" w:fill="auto"/>
            <w:noWrap/>
            <w:vAlign w:val="center"/>
            <w:hideMark/>
          </w:tcPr>
          <w:p w:rsidR="0048433C" w:rsidRPr="0048433C" w:rsidRDefault="0048433C" w:rsidP="0048433C">
            <w:pPr>
              <w:jc w:val="right"/>
              <w:rPr>
                <w:rFonts w:ascii="Lucida Bright" w:hAnsi="Lucida Bright" w:cs="Calibri"/>
                <w:color w:val="000000"/>
                <w:sz w:val="14"/>
                <w:szCs w:val="14"/>
                <w:lang w:val="es-ES"/>
              </w:rPr>
            </w:pPr>
            <w:r w:rsidRPr="0048433C">
              <w:rPr>
                <w:rFonts w:ascii="Lucida Bright" w:hAnsi="Lucida Bright" w:cs="Calibri"/>
                <w:color w:val="000000"/>
                <w:sz w:val="14"/>
                <w:szCs w:val="14"/>
                <w:lang w:val="es-ES"/>
              </w:rPr>
              <w:t xml:space="preserve">180.244,85 </w:t>
            </w:r>
          </w:p>
        </w:tc>
        <w:tc>
          <w:tcPr>
            <w:tcW w:w="658" w:type="pct"/>
            <w:tcBorders>
              <w:top w:val="single" w:sz="4" w:space="0" w:color="auto"/>
              <w:left w:val="nil"/>
              <w:bottom w:val="nil"/>
              <w:right w:val="single" w:sz="4" w:space="0" w:color="auto"/>
            </w:tcBorders>
            <w:shd w:val="clear" w:color="auto" w:fill="auto"/>
            <w:noWrap/>
            <w:vAlign w:val="center"/>
            <w:hideMark/>
          </w:tcPr>
          <w:p w:rsidR="0048433C" w:rsidRPr="0048433C" w:rsidRDefault="0048433C" w:rsidP="0048433C">
            <w:pPr>
              <w:jc w:val="right"/>
              <w:rPr>
                <w:rFonts w:ascii="Lucida Bright" w:hAnsi="Lucida Bright" w:cs="Calibri"/>
                <w:color w:val="000000"/>
                <w:sz w:val="14"/>
                <w:szCs w:val="14"/>
                <w:lang w:val="es-ES"/>
              </w:rPr>
            </w:pPr>
            <w:r w:rsidRPr="0048433C">
              <w:rPr>
                <w:rFonts w:ascii="Lucida Bright" w:hAnsi="Lucida Bright" w:cs="Calibri"/>
                <w:color w:val="000000"/>
                <w:sz w:val="14"/>
                <w:szCs w:val="14"/>
                <w:lang w:val="es-ES"/>
              </w:rPr>
              <w:t xml:space="preserve">(45.061,21) </w:t>
            </w:r>
          </w:p>
        </w:tc>
        <w:tc>
          <w:tcPr>
            <w:tcW w:w="746" w:type="pct"/>
            <w:tcBorders>
              <w:top w:val="single" w:sz="4" w:space="0" w:color="auto"/>
              <w:left w:val="nil"/>
              <w:bottom w:val="nil"/>
              <w:right w:val="single" w:sz="4" w:space="0" w:color="auto"/>
            </w:tcBorders>
            <w:shd w:val="clear" w:color="auto" w:fill="auto"/>
            <w:noWrap/>
            <w:vAlign w:val="center"/>
            <w:hideMark/>
          </w:tcPr>
          <w:p w:rsidR="0048433C" w:rsidRPr="0048433C" w:rsidRDefault="0048433C" w:rsidP="0048433C">
            <w:pPr>
              <w:jc w:val="right"/>
              <w:rPr>
                <w:rFonts w:ascii="Lucida Bright" w:hAnsi="Lucida Bright" w:cs="Calibri"/>
                <w:color w:val="000000"/>
                <w:sz w:val="14"/>
                <w:szCs w:val="14"/>
                <w:lang w:val="es-ES"/>
              </w:rPr>
            </w:pPr>
            <w:r w:rsidRPr="0048433C">
              <w:rPr>
                <w:rFonts w:ascii="Lucida Bright" w:hAnsi="Lucida Bright" w:cs="Calibri"/>
                <w:color w:val="000000"/>
                <w:sz w:val="14"/>
                <w:szCs w:val="14"/>
                <w:lang w:val="es-ES"/>
              </w:rPr>
              <w:t xml:space="preserve">(672,06) </w:t>
            </w:r>
          </w:p>
        </w:tc>
        <w:tc>
          <w:tcPr>
            <w:tcW w:w="658" w:type="pct"/>
            <w:tcBorders>
              <w:top w:val="single" w:sz="4" w:space="0" w:color="auto"/>
              <w:left w:val="single" w:sz="4" w:space="0" w:color="auto"/>
              <w:bottom w:val="nil"/>
              <w:right w:val="single" w:sz="8" w:space="0" w:color="auto"/>
            </w:tcBorders>
            <w:shd w:val="clear" w:color="auto" w:fill="auto"/>
            <w:noWrap/>
            <w:vAlign w:val="center"/>
            <w:hideMark/>
          </w:tcPr>
          <w:p w:rsidR="0048433C" w:rsidRPr="0048433C" w:rsidRDefault="0048433C" w:rsidP="0048433C">
            <w:pPr>
              <w:jc w:val="right"/>
              <w:rPr>
                <w:rFonts w:ascii="Lucida Bright" w:hAnsi="Lucida Bright" w:cs="Calibri"/>
                <w:color w:val="000000"/>
                <w:sz w:val="14"/>
                <w:szCs w:val="14"/>
                <w:lang w:val="es-ES"/>
              </w:rPr>
            </w:pPr>
            <w:r w:rsidRPr="0048433C">
              <w:rPr>
                <w:rFonts w:ascii="Lucida Bright" w:hAnsi="Lucida Bright" w:cs="Calibri"/>
                <w:color w:val="000000"/>
                <w:sz w:val="14"/>
                <w:szCs w:val="14"/>
                <w:lang w:val="es-ES"/>
              </w:rPr>
              <w:t xml:space="preserve">134.511,58 </w:t>
            </w:r>
          </w:p>
        </w:tc>
      </w:tr>
      <w:tr w:rsidR="0048433C" w:rsidRPr="0048433C" w:rsidTr="0048433C">
        <w:trPr>
          <w:trHeight w:val="315"/>
        </w:trPr>
        <w:tc>
          <w:tcPr>
            <w:tcW w:w="1213" w:type="pct"/>
            <w:tcBorders>
              <w:top w:val="nil"/>
              <w:left w:val="single" w:sz="8" w:space="0" w:color="auto"/>
              <w:bottom w:val="single" w:sz="8" w:space="0" w:color="auto"/>
              <w:right w:val="nil"/>
            </w:tcBorders>
            <w:shd w:val="clear" w:color="auto" w:fill="auto"/>
            <w:noWrap/>
            <w:vAlign w:val="center"/>
            <w:hideMark/>
          </w:tcPr>
          <w:p w:rsidR="0048433C" w:rsidRPr="0048433C" w:rsidRDefault="0048433C" w:rsidP="0048433C">
            <w:pPr>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Total</w:t>
            </w:r>
          </w:p>
        </w:tc>
        <w:tc>
          <w:tcPr>
            <w:tcW w:w="139" w:type="pct"/>
            <w:tcBorders>
              <w:top w:val="nil"/>
              <w:left w:val="nil"/>
              <w:bottom w:val="single" w:sz="8" w:space="0" w:color="auto"/>
              <w:right w:val="nil"/>
            </w:tcBorders>
            <w:shd w:val="clear" w:color="auto" w:fill="auto"/>
            <w:noWrap/>
            <w:vAlign w:val="center"/>
            <w:hideMark/>
          </w:tcPr>
          <w:p w:rsidR="0048433C" w:rsidRPr="0048433C" w:rsidRDefault="0048433C" w:rsidP="0048433C">
            <w:pPr>
              <w:rPr>
                <w:rFonts w:ascii="Lucida Bright" w:hAnsi="Lucida Bright" w:cs="Calibri"/>
                <w:color w:val="000000"/>
                <w:sz w:val="14"/>
                <w:szCs w:val="14"/>
                <w:lang w:val="es-ES"/>
              </w:rPr>
            </w:pPr>
            <w:r w:rsidRPr="0048433C">
              <w:rPr>
                <w:rFonts w:ascii="Lucida Bright" w:hAnsi="Lucida Bright" w:cs="Calibri"/>
                <w:color w:val="000000"/>
                <w:sz w:val="14"/>
                <w:szCs w:val="14"/>
                <w:lang w:val="es-ES"/>
              </w:rPr>
              <w:t> </w:t>
            </w:r>
          </w:p>
        </w:tc>
        <w:tc>
          <w:tcPr>
            <w:tcW w:w="172" w:type="pct"/>
            <w:tcBorders>
              <w:top w:val="nil"/>
              <w:left w:val="nil"/>
              <w:bottom w:val="single" w:sz="8" w:space="0" w:color="auto"/>
              <w:right w:val="single" w:sz="8" w:space="0" w:color="auto"/>
            </w:tcBorders>
            <w:shd w:val="clear" w:color="auto" w:fill="auto"/>
            <w:noWrap/>
            <w:vAlign w:val="center"/>
            <w:hideMark/>
          </w:tcPr>
          <w:p w:rsidR="0048433C" w:rsidRPr="0048433C" w:rsidRDefault="0048433C" w:rsidP="0048433C">
            <w:pPr>
              <w:rPr>
                <w:rFonts w:ascii="Lucida Bright" w:hAnsi="Lucida Bright" w:cs="Calibri"/>
                <w:color w:val="000000"/>
                <w:sz w:val="14"/>
                <w:szCs w:val="14"/>
                <w:lang w:val="es-ES"/>
              </w:rPr>
            </w:pPr>
            <w:r w:rsidRPr="0048433C">
              <w:rPr>
                <w:rFonts w:ascii="Lucida Bright" w:hAnsi="Lucida Bright" w:cs="Calibri"/>
                <w:color w:val="000000"/>
                <w:sz w:val="14"/>
                <w:szCs w:val="14"/>
                <w:lang w:val="es-ES"/>
              </w:rPr>
              <w:t> </w:t>
            </w:r>
          </w:p>
        </w:tc>
        <w:tc>
          <w:tcPr>
            <w:tcW w:w="746" w:type="pct"/>
            <w:tcBorders>
              <w:top w:val="single" w:sz="8" w:space="0" w:color="auto"/>
              <w:left w:val="nil"/>
              <w:bottom w:val="single" w:sz="8" w:space="0" w:color="auto"/>
              <w:right w:val="single" w:sz="8" w:space="0" w:color="auto"/>
            </w:tcBorders>
            <w:shd w:val="clear" w:color="auto" w:fill="auto"/>
            <w:noWrap/>
            <w:vAlign w:val="center"/>
            <w:hideMark/>
          </w:tcPr>
          <w:p w:rsidR="0048433C" w:rsidRPr="0048433C" w:rsidRDefault="0048433C" w:rsidP="0048433C">
            <w:pPr>
              <w:jc w:val="right"/>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 </w:t>
            </w:r>
          </w:p>
        </w:tc>
        <w:tc>
          <w:tcPr>
            <w:tcW w:w="669" w:type="pct"/>
            <w:tcBorders>
              <w:top w:val="single" w:sz="8" w:space="0" w:color="auto"/>
              <w:left w:val="nil"/>
              <w:bottom w:val="single" w:sz="8" w:space="0" w:color="auto"/>
              <w:right w:val="single" w:sz="8" w:space="0" w:color="auto"/>
            </w:tcBorders>
            <w:shd w:val="clear" w:color="auto" w:fill="auto"/>
            <w:noWrap/>
            <w:vAlign w:val="center"/>
            <w:hideMark/>
          </w:tcPr>
          <w:p w:rsidR="0048433C" w:rsidRPr="0048433C" w:rsidRDefault="0048433C" w:rsidP="0048433C">
            <w:pPr>
              <w:jc w:val="right"/>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 xml:space="preserve">180.244,85 </w:t>
            </w:r>
          </w:p>
        </w:tc>
        <w:tc>
          <w:tcPr>
            <w:tcW w:w="658" w:type="pct"/>
            <w:tcBorders>
              <w:top w:val="single" w:sz="8" w:space="0" w:color="auto"/>
              <w:left w:val="nil"/>
              <w:bottom w:val="single" w:sz="8" w:space="0" w:color="auto"/>
              <w:right w:val="single" w:sz="8" w:space="0" w:color="auto"/>
            </w:tcBorders>
            <w:shd w:val="clear" w:color="auto" w:fill="auto"/>
            <w:noWrap/>
            <w:vAlign w:val="center"/>
            <w:hideMark/>
          </w:tcPr>
          <w:p w:rsidR="0048433C" w:rsidRPr="0048433C" w:rsidRDefault="0048433C" w:rsidP="0048433C">
            <w:pPr>
              <w:jc w:val="right"/>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 xml:space="preserve">(45.061,21) </w:t>
            </w:r>
          </w:p>
        </w:tc>
        <w:tc>
          <w:tcPr>
            <w:tcW w:w="746" w:type="pct"/>
            <w:tcBorders>
              <w:top w:val="single" w:sz="8" w:space="0" w:color="auto"/>
              <w:left w:val="nil"/>
              <w:bottom w:val="single" w:sz="8" w:space="0" w:color="auto"/>
              <w:right w:val="single" w:sz="8" w:space="0" w:color="auto"/>
            </w:tcBorders>
            <w:shd w:val="clear" w:color="auto" w:fill="auto"/>
            <w:noWrap/>
            <w:vAlign w:val="center"/>
            <w:hideMark/>
          </w:tcPr>
          <w:p w:rsidR="0048433C" w:rsidRPr="0048433C" w:rsidRDefault="0048433C" w:rsidP="0048433C">
            <w:pPr>
              <w:jc w:val="right"/>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 xml:space="preserve">(672,06) </w:t>
            </w:r>
          </w:p>
        </w:tc>
        <w:tc>
          <w:tcPr>
            <w:tcW w:w="658" w:type="pct"/>
            <w:tcBorders>
              <w:top w:val="single" w:sz="8" w:space="0" w:color="auto"/>
              <w:left w:val="nil"/>
              <w:bottom w:val="single" w:sz="8" w:space="0" w:color="auto"/>
              <w:right w:val="single" w:sz="8" w:space="0" w:color="auto"/>
            </w:tcBorders>
            <w:shd w:val="clear" w:color="auto" w:fill="auto"/>
            <w:noWrap/>
            <w:vAlign w:val="center"/>
            <w:hideMark/>
          </w:tcPr>
          <w:p w:rsidR="0048433C" w:rsidRPr="0048433C" w:rsidRDefault="0048433C" w:rsidP="0048433C">
            <w:pPr>
              <w:jc w:val="right"/>
              <w:rPr>
                <w:rFonts w:ascii="Lucida Bright" w:hAnsi="Lucida Bright" w:cs="Calibri"/>
                <w:b/>
                <w:bCs/>
                <w:color w:val="000000"/>
                <w:sz w:val="14"/>
                <w:szCs w:val="14"/>
                <w:lang w:val="es-ES"/>
              </w:rPr>
            </w:pPr>
            <w:r w:rsidRPr="0048433C">
              <w:rPr>
                <w:rFonts w:ascii="Lucida Bright" w:hAnsi="Lucida Bright" w:cs="Calibri"/>
                <w:b/>
                <w:bCs/>
                <w:color w:val="000000"/>
                <w:sz w:val="14"/>
                <w:szCs w:val="14"/>
                <w:lang w:val="es-ES"/>
              </w:rPr>
              <w:t xml:space="preserve">134.511,58 </w:t>
            </w:r>
          </w:p>
        </w:tc>
      </w:tr>
    </w:tbl>
    <w:p w:rsidR="0048433C" w:rsidRDefault="0048433C" w:rsidP="00F174B7">
      <w:pPr>
        <w:pStyle w:val="Sangradetextonormal"/>
        <w:rPr>
          <w:rFonts w:ascii="NewBaskerville" w:hAnsi="NewBaskerville"/>
          <w:sz w:val="20"/>
        </w:rPr>
      </w:pPr>
    </w:p>
    <w:p w:rsidR="00F174B7" w:rsidRDefault="00F174B7" w:rsidP="00F174B7">
      <w:pPr>
        <w:tabs>
          <w:tab w:val="right" w:pos="8364"/>
        </w:tabs>
        <w:ind w:left="360"/>
        <w:jc w:val="both"/>
        <w:rPr>
          <w:rFonts w:ascii="NewBaskerville" w:hAnsi="NewBaskerville"/>
          <w:bCs/>
        </w:rPr>
      </w:pPr>
    </w:p>
    <w:p w:rsidR="0048433C" w:rsidRDefault="0048433C" w:rsidP="0048433C">
      <w:pPr>
        <w:pStyle w:val="Sangradetextonormal"/>
        <w:numPr>
          <w:ilvl w:val="0"/>
          <w:numId w:val="2"/>
        </w:numPr>
        <w:ind w:hanging="219"/>
        <w:rPr>
          <w:rFonts w:ascii="NewBaskerville" w:hAnsi="NewBaskerville"/>
          <w:sz w:val="20"/>
        </w:rPr>
      </w:pPr>
      <w:r>
        <w:rPr>
          <w:rFonts w:ascii="NewBaskerville" w:hAnsi="NewBaskerville"/>
          <w:sz w:val="20"/>
        </w:rPr>
        <w:t xml:space="preserve">Fondos UE </w:t>
      </w:r>
      <w:proofErr w:type="spellStart"/>
      <w:r>
        <w:rPr>
          <w:rFonts w:ascii="NewBaskerville" w:hAnsi="NewBaskerville"/>
          <w:sz w:val="20"/>
        </w:rPr>
        <w:t>Conecting</w:t>
      </w:r>
      <w:proofErr w:type="spellEnd"/>
      <w:r>
        <w:rPr>
          <w:rFonts w:ascii="NewBaskerville" w:hAnsi="NewBaskerville"/>
          <w:sz w:val="20"/>
        </w:rPr>
        <w:t xml:space="preserve"> </w:t>
      </w:r>
      <w:proofErr w:type="spellStart"/>
      <w:r>
        <w:rPr>
          <w:rFonts w:ascii="NewBaskerville" w:hAnsi="NewBaskerville"/>
          <w:sz w:val="20"/>
        </w:rPr>
        <w:t>Europe</w:t>
      </w:r>
      <w:proofErr w:type="spellEnd"/>
      <w:r>
        <w:rPr>
          <w:rFonts w:ascii="NewBaskerville" w:hAnsi="NewBaskerville"/>
          <w:sz w:val="20"/>
        </w:rPr>
        <w:t xml:space="preserve"> </w:t>
      </w:r>
      <w:proofErr w:type="spellStart"/>
      <w:r>
        <w:rPr>
          <w:rFonts w:ascii="NewBaskerville" w:hAnsi="NewBaskerville"/>
          <w:sz w:val="20"/>
        </w:rPr>
        <w:t>Facility</w:t>
      </w:r>
      <w:proofErr w:type="spellEnd"/>
      <w:r>
        <w:rPr>
          <w:rFonts w:ascii="NewBaskerville" w:hAnsi="NewBaskerville"/>
          <w:sz w:val="20"/>
        </w:rPr>
        <w:t xml:space="preserve"> – (CEF, </w:t>
      </w:r>
      <w:proofErr w:type="spellStart"/>
      <w:r>
        <w:rPr>
          <w:rFonts w:ascii="NewBaskerville" w:hAnsi="NewBaskerville"/>
          <w:sz w:val="20"/>
        </w:rPr>
        <w:t>Ret</w:t>
      </w:r>
      <w:proofErr w:type="spellEnd"/>
      <w:r>
        <w:rPr>
          <w:rFonts w:ascii="NewBaskerville" w:hAnsi="NewBaskerville"/>
          <w:sz w:val="20"/>
        </w:rPr>
        <w:t>-T)</w:t>
      </w:r>
    </w:p>
    <w:p w:rsidR="00486982" w:rsidRDefault="00486982" w:rsidP="00486982">
      <w:pPr>
        <w:tabs>
          <w:tab w:val="right" w:pos="8364"/>
        </w:tabs>
        <w:ind w:left="720"/>
        <w:jc w:val="both"/>
        <w:rPr>
          <w:rFonts w:ascii="NewBaskerville" w:hAnsi="NewBaskerville"/>
          <w:bCs/>
        </w:rPr>
      </w:pPr>
    </w:p>
    <w:p w:rsidR="00811FEC" w:rsidRDefault="0048433C" w:rsidP="0048433C">
      <w:pPr>
        <w:tabs>
          <w:tab w:val="right" w:pos="8364"/>
        </w:tabs>
        <w:ind w:firstLine="567"/>
        <w:jc w:val="both"/>
        <w:rPr>
          <w:rFonts w:ascii="NewBaskerville" w:hAnsi="NewBaskerville"/>
          <w:bCs/>
        </w:rPr>
      </w:pPr>
      <w:r>
        <w:rPr>
          <w:rFonts w:ascii="NewBaskerville" w:hAnsi="NewBaskerville"/>
          <w:bCs/>
        </w:rPr>
        <w:t xml:space="preserve">La Entidad ha participado en el proyecto “OPS Master Plan </w:t>
      </w:r>
      <w:proofErr w:type="spellStart"/>
      <w:r>
        <w:rPr>
          <w:rFonts w:ascii="NewBaskerville" w:hAnsi="NewBaskerville"/>
          <w:bCs/>
        </w:rPr>
        <w:t>for</w:t>
      </w:r>
      <w:proofErr w:type="spellEnd"/>
      <w:r>
        <w:rPr>
          <w:rFonts w:ascii="NewBaskerville" w:hAnsi="NewBaskerville"/>
          <w:bCs/>
        </w:rPr>
        <w:t xml:space="preserve"> </w:t>
      </w:r>
      <w:proofErr w:type="spellStart"/>
      <w:r>
        <w:rPr>
          <w:rFonts w:ascii="NewBaskerville" w:hAnsi="NewBaskerville"/>
          <w:bCs/>
        </w:rPr>
        <w:t>Spanish</w:t>
      </w:r>
      <w:proofErr w:type="spellEnd"/>
      <w:r>
        <w:rPr>
          <w:rFonts w:ascii="NewBaskerville" w:hAnsi="NewBaskerville"/>
          <w:bCs/>
        </w:rPr>
        <w:t xml:space="preserve"> </w:t>
      </w:r>
      <w:proofErr w:type="spellStart"/>
      <w:r>
        <w:rPr>
          <w:rFonts w:ascii="NewBaskerville" w:hAnsi="NewBaskerville"/>
          <w:bCs/>
        </w:rPr>
        <w:t>Ports</w:t>
      </w:r>
      <w:proofErr w:type="spellEnd"/>
      <w:r>
        <w:rPr>
          <w:rFonts w:ascii="NewBaskerville" w:hAnsi="NewBaskerville"/>
          <w:bCs/>
        </w:rPr>
        <w:t>”</w:t>
      </w:r>
      <w:r w:rsidR="00811FEC">
        <w:rPr>
          <w:rFonts w:ascii="NewBaskerville" w:hAnsi="NewBaskerville"/>
          <w:bCs/>
        </w:rPr>
        <w:t xml:space="preserve"> </w:t>
      </w:r>
      <w:proofErr w:type="spellStart"/>
      <w:r w:rsidR="00811FEC">
        <w:rPr>
          <w:rFonts w:ascii="NewBaskerville" w:hAnsi="NewBaskerville"/>
          <w:bCs/>
        </w:rPr>
        <w:t>co</w:t>
      </w:r>
      <w:proofErr w:type="spellEnd"/>
      <w:r w:rsidR="00811FEC">
        <w:rPr>
          <w:rFonts w:ascii="NewBaskerville" w:hAnsi="NewBaskerville"/>
          <w:bCs/>
        </w:rPr>
        <w:t xml:space="preserve">-financiado por la UE por el programa </w:t>
      </w:r>
      <w:proofErr w:type="spellStart"/>
      <w:r w:rsidR="00811FEC">
        <w:rPr>
          <w:rFonts w:ascii="NewBaskerville" w:hAnsi="NewBaskerville"/>
          <w:bCs/>
        </w:rPr>
        <w:t>Conecting</w:t>
      </w:r>
      <w:proofErr w:type="spellEnd"/>
      <w:r w:rsidR="00811FEC">
        <w:rPr>
          <w:rFonts w:ascii="NewBaskerville" w:hAnsi="NewBaskerville"/>
          <w:bCs/>
        </w:rPr>
        <w:t xml:space="preserve"> </w:t>
      </w:r>
      <w:proofErr w:type="spellStart"/>
      <w:r w:rsidR="00811FEC">
        <w:rPr>
          <w:rFonts w:ascii="NewBaskerville" w:hAnsi="NewBaskerville"/>
          <w:bCs/>
        </w:rPr>
        <w:t>Europe</w:t>
      </w:r>
      <w:proofErr w:type="spellEnd"/>
      <w:r w:rsidR="00811FEC">
        <w:rPr>
          <w:rFonts w:ascii="NewBaskerville" w:hAnsi="NewBaskerville"/>
          <w:bCs/>
        </w:rPr>
        <w:t xml:space="preserve"> </w:t>
      </w:r>
      <w:proofErr w:type="spellStart"/>
      <w:r w:rsidR="00811FEC">
        <w:rPr>
          <w:rFonts w:ascii="NewBaskerville" w:hAnsi="NewBaskerville"/>
          <w:bCs/>
        </w:rPr>
        <w:t>Facility</w:t>
      </w:r>
      <w:proofErr w:type="spellEnd"/>
      <w:r w:rsidR="00811FEC">
        <w:rPr>
          <w:rFonts w:ascii="NewBaskerville" w:hAnsi="NewBaskerville"/>
          <w:bCs/>
        </w:rPr>
        <w:t xml:space="preserve"> (CEF)</w:t>
      </w:r>
      <w:r>
        <w:rPr>
          <w:rFonts w:ascii="NewBaskerville" w:hAnsi="NewBaskerville"/>
          <w:bCs/>
        </w:rPr>
        <w:t xml:space="preserve">, coordinado y gestionado por el Organismo Público Puertos del Estado, con el proyecto de </w:t>
      </w:r>
      <w:r w:rsidR="00811FEC">
        <w:rPr>
          <w:rFonts w:ascii="NewBaskerville" w:hAnsi="NewBaskerville"/>
          <w:bCs/>
        </w:rPr>
        <w:t xml:space="preserve">la Instalación de suministro eléctrico a </w:t>
      </w:r>
      <w:proofErr w:type="spellStart"/>
      <w:r w:rsidR="00811FEC">
        <w:rPr>
          <w:rFonts w:ascii="NewBaskerville" w:hAnsi="NewBaskerville"/>
          <w:bCs/>
        </w:rPr>
        <w:t>ferries</w:t>
      </w:r>
      <w:proofErr w:type="spellEnd"/>
      <w:r w:rsidR="00811FEC">
        <w:rPr>
          <w:rFonts w:ascii="NewBaskerville" w:hAnsi="NewBaskerville"/>
          <w:bCs/>
        </w:rPr>
        <w:t xml:space="preserve"> en el muelle de </w:t>
      </w:r>
      <w:proofErr w:type="spellStart"/>
      <w:r w:rsidR="00811FEC">
        <w:rPr>
          <w:rFonts w:ascii="NewBaskerville" w:hAnsi="NewBaskerville"/>
          <w:bCs/>
        </w:rPr>
        <w:t>Paraires</w:t>
      </w:r>
      <w:proofErr w:type="spellEnd"/>
      <w:r w:rsidR="00811FEC">
        <w:rPr>
          <w:rFonts w:ascii="NewBaskerville" w:hAnsi="NewBaskerville"/>
          <w:bCs/>
        </w:rPr>
        <w:t xml:space="preserve"> del puerto de Palma de Mallorca. En ejercicios anteriores se </w:t>
      </w:r>
      <w:r w:rsidR="00350D1C">
        <w:rPr>
          <w:rFonts w:ascii="NewBaskerville" w:hAnsi="NewBaskerville"/>
          <w:bCs/>
        </w:rPr>
        <w:t>devengaron importes de la ayuda</w:t>
      </w:r>
      <w:r w:rsidR="00811FEC">
        <w:rPr>
          <w:rFonts w:ascii="NewBaskerville" w:hAnsi="NewBaskerville"/>
          <w:bCs/>
        </w:rPr>
        <w:t xml:space="preserve"> y en el actual se ha liquidado el proyecto, siendo las cantidades devengadas y traspasadas en el 2023 las del cuadro.</w:t>
      </w:r>
    </w:p>
    <w:p w:rsidR="00811FEC" w:rsidRDefault="00811FEC" w:rsidP="0048433C">
      <w:pPr>
        <w:tabs>
          <w:tab w:val="right" w:pos="8364"/>
        </w:tabs>
        <w:ind w:firstLine="567"/>
        <w:jc w:val="both"/>
        <w:rPr>
          <w:rFonts w:ascii="NewBaskerville" w:hAnsi="NewBaskerville"/>
          <w:bCs/>
        </w:rPr>
      </w:pPr>
    </w:p>
    <w:p w:rsidR="0048433C" w:rsidRDefault="00811FEC" w:rsidP="0048433C">
      <w:pPr>
        <w:tabs>
          <w:tab w:val="right" w:pos="8364"/>
        </w:tabs>
        <w:ind w:firstLine="567"/>
        <w:jc w:val="both"/>
        <w:rPr>
          <w:rFonts w:ascii="NewBaskerville" w:hAnsi="NewBaskerville"/>
          <w:bCs/>
        </w:rPr>
      </w:pPr>
      <w:r>
        <w:rPr>
          <w:rFonts w:ascii="NewBaskerville" w:hAnsi="NewBaskerville"/>
          <w:bCs/>
        </w:rPr>
        <w:t xml:space="preserve"> </w:t>
      </w:r>
    </w:p>
    <w:tbl>
      <w:tblPr>
        <w:tblW w:w="5000" w:type="pct"/>
        <w:tblCellMar>
          <w:left w:w="70" w:type="dxa"/>
          <w:right w:w="70" w:type="dxa"/>
        </w:tblCellMar>
        <w:tblLook w:val="04A0" w:firstRow="1" w:lastRow="0" w:firstColumn="1" w:lastColumn="0" w:noHBand="0" w:noVBand="1"/>
      </w:tblPr>
      <w:tblGrid>
        <w:gridCol w:w="2096"/>
        <w:gridCol w:w="240"/>
        <w:gridCol w:w="297"/>
        <w:gridCol w:w="1290"/>
        <w:gridCol w:w="1157"/>
        <w:gridCol w:w="1138"/>
        <w:gridCol w:w="1290"/>
        <w:gridCol w:w="1136"/>
      </w:tblGrid>
      <w:tr w:rsidR="00811FEC" w:rsidRPr="00811FEC" w:rsidTr="00380828">
        <w:trPr>
          <w:trHeight w:val="555"/>
        </w:trPr>
        <w:tc>
          <w:tcPr>
            <w:tcW w:w="1524" w:type="pct"/>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811FEC" w:rsidRPr="00811FEC" w:rsidRDefault="00811FEC" w:rsidP="00811FEC">
            <w:pPr>
              <w:jc w:val="center"/>
              <w:rPr>
                <w:rFonts w:ascii="Lucida Bright" w:hAnsi="Lucida Bright" w:cs="Calibri"/>
                <w:b/>
                <w:bCs/>
                <w:color w:val="000000"/>
                <w:sz w:val="18"/>
                <w:szCs w:val="18"/>
                <w:lang w:val="es-ES"/>
              </w:rPr>
            </w:pPr>
            <w:r w:rsidRPr="00811FEC">
              <w:rPr>
                <w:rFonts w:ascii="Lucida Bright" w:hAnsi="Lucida Bright" w:cs="Calibri"/>
                <w:b/>
                <w:bCs/>
                <w:color w:val="000000"/>
                <w:sz w:val="18"/>
                <w:szCs w:val="18"/>
                <w:lang w:val="es-ES"/>
              </w:rPr>
              <w:t>Fondos C.E.F.</w:t>
            </w:r>
          </w:p>
        </w:tc>
        <w:tc>
          <w:tcPr>
            <w:tcW w:w="746" w:type="pct"/>
            <w:tcBorders>
              <w:top w:val="single" w:sz="8" w:space="0" w:color="auto"/>
              <w:left w:val="nil"/>
              <w:bottom w:val="single" w:sz="8" w:space="0" w:color="auto"/>
              <w:right w:val="single" w:sz="8" w:space="0" w:color="auto"/>
            </w:tcBorders>
            <w:shd w:val="clear" w:color="000000" w:fill="CCFFCC"/>
            <w:vAlign w:val="center"/>
            <w:hideMark/>
          </w:tcPr>
          <w:p w:rsidR="00811FEC" w:rsidRPr="00811FEC" w:rsidRDefault="00811FEC" w:rsidP="00811FEC">
            <w:pPr>
              <w:jc w:val="center"/>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Saldo a 31/12/2022</w:t>
            </w:r>
          </w:p>
        </w:tc>
        <w:tc>
          <w:tcPr>
            <w:tcW w:w="669" w:type="pct"/>
            <w:tcBorders>
              <w:top w:val="single" w:sz="8" w:space="0" w:color="auto"/>
              <w:left w:val="nil"/>
              <w:bottom w:val="single" w:sz="8" w:space="0" w:color="auto"/>
              <w:right w:val="single" w:sz="8" w:space="0" w:color="auto"/>
            </w:tcBorders>
            <w:shd w:val="clear" w:color="000000" w:fill="CCFFCC"/>
            <w:vAlign w:val="center"/>
            <w:hideMark/>
          </w:tcPr>
          <w:p w:rsidR="00811FEC" w:rsidRPr="00811FEC" w:rsidRDefault="00811FEC" w:rsidP="00811FEC">
            <w:pPr>
              <w:jc w:val="center"/>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Importe devengado en el ejer</w:t>
            </w:r>
            <w:r w:rsidR="00355986">
              <w:rPr>
                <w:rFonts w:ascii="Lucida Bright" w:hAnsi="Lucida Bright" w:cs="Calibri"/>
                <w:b/>
                <w:bCs/>
                <w:color w:val="000000"/>
                <w:sz w:val="14"/>
                <w:szCs w:val="14"/>
                <w:lang w:val="es-ES"/>
              </w:rPr>
              <w:t>ci</w:t>
            </w:r>
            <w:r w:rsidRPr="00811FEC">
              <w:rPr>
                <w:rFonts w:ascii="Lucida Bright" w:hAnsi="Lucida Bright" w:cs="Calibri"/>
                <w:b/>
                <w:bCs/>
                <w:color w:val="000000"/>
                <w:sz w:val="14"/>
                <w:szCs w:val="14"/>
                <w:lang w:val="es-ES"/>
              </w:rPr>
              <w:t>cio</w:t>
            </w:r>
          </w:p>
        </w:tc>
        <w:tc>
          <w:tcPr>
            <w:tcW w:w="658" w:type="pct"/>
            <w:tcBorders>
              <w:top w:val="single" w:sz="8" w:space="0" w:color="auto"/>
              <w:left w:val="nil"/>
              <w:bottom w:val="single" w:sz="8" w:space="0" w:color="auto"/>
              <w:right w:val="single" w:sz="8" w:space="0" w:color="auto"/>
            </w:tcBorders>
            <w:shd w:val="clear" w:color="000000" w:fill="CCFFCC"/>
            <w:vAlign w:val="center"/>
            <w:hideMark/>
          </w:tcPr>
          <w:p w:rsidR="00811FEC" w:rsidRPr="00811FEC" w:rsidRDefault="00811FEC" w:rsidP="00811FEC">
            <w:pPr>
              <w:jc w:val="center"/>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Efecto impositivo devengo</w:t>
            </w:r>
          </w:p>
        </w:tc>
        <w:tc>
          <w:tcPr>
            <w:tcW w:w="746" w:type="pct"/>
            <w:tcBorders>
              <w:top w:val="single" w:sz="8" w:space="0" w:color="auto"/>
              <w:left w:val="nil"/>
              <w:bottom w:val="single" w:sz="8" w:space="0" w:color="auto"/>
              <w:right w:val="single" w:sz="8" w:space="0" w:color="auto"/>
            </w:tcBorders>
            <w:shd w:val="clear" w:color="000000" w:fill="CCFFCC"/>
            <w:vAlign w:val="center"/>
            <w:hideMark/>
          </w:tcPr>
          <w:p w:rsidR="00811FEC" w:rsidRPr="00811FEC" w:rsidRDefault="00811FEC" w:rsidP="00811FEC">
            <w:pPr>
              <w:jc w:val="center"/>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Importe traspas</w:t>
            </w:r>
            <w:r w:rsidR="00355986">
              <w:rPr>
                <w:rFonts w:ascii="Lucida Bright" w:hAnsi="Lucida Bright" w:cs="Calibri"/>
                <w:b/>
                <w:bCs/>
                <w:color w:val="000000"/>
                <w:sz w:val="14"/>
                <w:szCs w:val="14"/>
                <w:lang w:val="es-ES"/>
              </w:rPr>
              <w:t>a</w:t>
            </w:r>
            <w:r w:rsidRPr="00811FEC">
              <w:rPr>
                <w:rFonts w:ascii="Lucida Bright" w:hAnsi="Lucida Bright" w:cs="Calibri"/>
                <w:b/>
                <w:bCs/>
                <w:color w:val="000000"/>
                <w:sz w:val="14"/>
                <w:szCs w:val="14"/>
                <w:lang w:val="es-ES"/>
              </w:rPr>
              <w:t>do al resultado</w:t>
            </w:r>
          </w:p>
        </w:tc>
        <w:tc>
          <w:tcPr>
            <w:tcW w:w="658" w:type="pct"/>
            <w:tcBorders>
              <w:top w:val="single" w:sz="8" w:space="0" w:color="auto"/>
              <w:left w:val="nil"/>
              <w:bottom w:val="single" w:sz="8" w:space="0" w:color="auto"/>
              <w:right w:val="single" w:sz="8" w:space="0" w:color="auto"/>
            </w:tcBorders>
            <w:shd w:val="clear" w:color="000000" w:fill="CCFFCC"/>
            <w:vAlign w:val="center"/>
            <w:hideMark/>
          </w:tcPr>
          <w:p w:rsidR="00811FEC" w:rsidRPr="00811FEC" w:rsidRDefault="00811FEC" w:rsidP="00811FEC">
            <w:pPr>
              <w:jc w:val="center"/>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Saldo a 31/12/2023</w:t>
            </w:r>
          </w:p>
        </w:tc>
      </w:tr>
      <w:tr w:rsidR="00811FEC" w:rsidRPr="00811FEC" w:rsidTr="00380828">
        <w:trPr>
          <w:trHeight w:val="600"/>
        </w:trPr>
        <w:tc>
          <w:tcPr>
            <w:tcW w:w="1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1FEC" w:rsidRPr="00811FEC" w:rsidRDefault="00811FEC" w:rsidP="00811FEC">
            <w:pPr>
              <w:rPr>
                <w:rFonts w:ascii="Lucida Bright" w:hAnsi="Lucida Bright" w:cs="Calibri"/>
                <w:color w:val="000000"/>
                <w:sz w:val="14"/>
                <w:szCs w:val="14"/>
                <w:lang w:val="es-ES"/>
              </w:rPr>
            </w:pPr>
            <w:r w:rsidRPr="00811FEC">
              <w:rPr>
                <w:rFonts w:ascii="Lucida Bright" w:hAnsi="Lucida Bright" w:cs="Calibri"/>
                <w:color w:val="000000"/>
                <w:sz w:val="14"/>
                <w:szCs w:val="14"/>
                <w:lang w:val="es-ES"/>
              </w:rPr>
              <w:t xml:space="preserve">Instalación de suministro eléctrico a </w:t>
            </w:r>
            <w:proofErr w:type="spellStart"/>
            <w:r w:rsidRPr="00811FEC">
              <w:rPr>
                <w:rFonts w:ascii="Lucida Bright" w:hAnsi="Lucida Bright" w:cs="Calibri"/>
                <w:color w:val="000000"/>
                <w:sz w:val="14"/>
                <w:szCs w:val="14"/>
                <w:lang w:val="es-ES"/>
              </w:rPr>
              <w:t>ferries</w:t>
            </w:r>
            <w:proofErr w:type="spellEnd"/>
            <w:r w:rsidRPr="00811FEC">
              <w:rPr>
                <w:rFonts w:ascii="Lucida Bright" w:hAnsi="Lucida Bright" w:cs="Calibri"/>
                <w:color w:val="000000"/>
                <w:sz w:val="14"/>
                <w:szCs w:val="14"/>
                <w:lang w:val="es-ES"/>
              </w:rPr>
              <w:t xml:space="preserve"> en el muelle de </w:t>
            </w:r>
            <w:proofErr w:type="spellStart"/>
            <w:r w:rsidRPr="00811FEC">
              <w:rPr>
                <w:rFonts w:ascii="Lucida Bright" w:hAnsi="Lucida Bright" w:cs="Calibri"/>
                <w:color w:val="000000"/>
                <w:sz w:val="14"/>
                <w:szCs w:val="14"/>
                <w:lang w:val="es-ES"/>
              </w:rPr>
              <w:t>Paraires</w:t>
            </w:r>
            <w:proofErr w:type="spellEnd"/>
            <w:r w:rsidRPr="00811FEC">
              <w:rPr>
                <w:rFonts w:ascii="Lucida Bright" w:hAnsi="Lucida Bright" w:cs="Calibri"/>
                <w:color w:val="000000"/>
                <w:sz w:val="14"/>
                <w:szCs w:val="14"/>
                <w:lang w:val="es-ES"/>
              </w:rPr>
              <w:t xml:space="preserve"> del puerto de Palma de Mallorca</w:t>
            </w:r>
          </w:p>
        </w:tc>
        <w:tc>
          <w:tcPr>
            <w:tcW w:w="746" w:type="pct"/>
            <w:tcBorders>
              <w:top w:val="single" w:sz="4" w:space="0" w:color="auto"/>
              <w:left w:val="nil"/>
              <w:bottom w:val="nil"/>
              <w:right w:val="single" w:sz="4" w:space="0" w:color="auto"/>
            </w:tcBorders>
            <w:shd w:val="clear" w:color="auto" w:fill="auto"/>
            <w:noWrap/>
            <w:vAlign w:val="center"/>
            <w:hideMark/>
          </w:tcPr>
          <w:p w:rsidR="00811FEC" w:rsidRPr="00811FEC" w:rsidRDefault="00811FEC" w:rsidP="00811FEC">
            <w:pPr>
              <w:jc w:val="right"/>
              <w:rPr>
                <w:rFonts w:ascii="Lucida Bright" w:hAnsi="Lucida Bright" w:cs="Calibri"/>
                <w:color w:val="000000"/>
                <w:sz w:val="14"/>
                <w:szCs w:val="14"/>
                <w:lang w:val="es-ES"/>
              </w:rPr>
            </w:pPr>
            <w:r w:rsidRPr="00811FEC">
              <w:rPr>
                <w:rFonts w:ascii="Lucida Bright" w:hAnsi="Lucida Bright" w:cs="Calibri"/>
                <w:color w:val="000000"/>
                <w:sz w:val="14"/>
                <w:szCs w:val="14"/>
                <w:lang w:val="es-ES"/>
              </w:rPr>
              <w:t xml:space="preserve">49.902,84 </w:t>
            </w:r>
          </w:p>
        </w:tc>
        <w:tc>
          <w:tcPr>
            <w:tcW w:w="669" w:type="pct"/>
            <w:tcBorders>
              <w:top w:val="single" w:sz="4" w:space="0" w:color="auto"/>
              <w:left w:val="nil"/>
              <w:bottom w:val="nil"/>
              <w:right w:val="single" w:sz="4" w:space="0" w:color="auto"/>
            </w:tcBorders>
            <w:shd w:val="clear" w:color="auto" w:fill="auto"/>
            <w:noWrap/>
            <w:vAlign w:val="center"/>
            <w:hideMark/>
          </w:tcPr>
          <w:p w:rsidR="00811FEC" w:rsidRPr="00811FEC" w:rsidRDefault="00811FEC" w:rsidP="00811FEC">
            <w:pPr>
              <w:jc w:val="right"/>
              <w:rPr>
                <w:rFonts w:ascii="Lucida Bright" w:hAnsi="Lucida Bright" w:cs="Calibri"/>
                <w:color w:val="000000"/>
                <w:sz w:val="14"/>
                <w:szCs w:val="14"/>
                <w:lang w:val="es-ES"/>
              </w:rPr>
            </w:pPr>
            <w:r w:rsidRPr="00811FEC">
              <w:rPr>
                <w:rFonts w:ascii="Lucida Bright" w:hAnsi="Lucida Bright" w:cs="Calibri"/>
                <w:color w:val="000000"/>
                <w:sz w:val="14"/>
                <w:szCs w:val="14"/>
                <w:lang w:val="es-ES"/>
              </w:rPr>
              <w:t xml:space="preserve">89.933,86 </w:t>
            </w:r>
          </w:p>
        </w:tc>
        <w:tc>
          <w:tcPr>
            <w:tcW w:w="658" w:type="pct"/>
            <w:tcBorders>
              <w:top w:val="single" w:sz="4" w:space="0" w:color="auto"/>
              <w:left w:val="nil"/>
              <w:bottom w:val="nil"/>
              <w:right w:val="single" w:sz="4" w:space="0" w:color="auto"/>
            </w:tcBorders>
            <w:shd w:val="clear" w:color="auto" w:fill="auto"/>
            <w:noWrap/>
            <w:vAlign w:val="center"/>
            <w:hideMark/>
          </w:tcPr>
          <w:p w:rsidR="00811FEC" w:rsidRPr="00811FEC" w:rsidRDefault="00811FEC" w:rsidP="00811FEC">
            <w:pPr>
              <w:jc w:val="right"/>
              <w:rPr>
                <w:rFonts w:ascii="Lucida Bright" w:hAnsi="Lucida Bright" w:cs="Calibri"/>
                <w:color w:val="000000"/>
                <w:sz w:val="14"/>
                <w:szCs w:val="14"/>
                <w:lang w:val="es-ES"/>
              </w:rPr>
            </w:pPr>
            <w:r w:rsidRPr="00811FEC">
              <w:rPr>
                <w:rFonts w:ascii="Lucida Bright" w:hAnsi="Lucida Bright" w:cs="Calibri"/>
                <w:color w:val="000000"/>
                <w:sz w:val="14"/>
                <w:szCs w:val="14"/>
                <w:lang w:val="es-ES"/>
              </w:rPr>
              <w:t xml:space="preserve">(22.483,46) </w:t>
            </w:r>
          </w:p>
        </w:tc>
        <w:tc>
          <w:tcPr>
            <w:tcW w:w="746" w:type="pct"/>
            <w:tcBorders>
              <w:top w:val="single" w:sz="4" w:space="0" w:color="auto"/>
              <w:left w:val="nil"/>
              <w:bottom w:val="nil"/>
              <w:right w:val="single" w:sz="4" w:space="0" w:color="auto"/>
            </w:tcBorders>
            <w:shd w:val="clear" w:color="auto" w:fill="auto"/>
            <w:noWrap/>
            <w:vAlign w:val="center"/>
            <w:hideMark/>
          </w:tcPr>
          <w:p w:rsidR="00811FEC" w:rsidRPr="00811FEC" w:rsidRDefault="00811FEC" w:rsidP="00811FEC">
            <w:pPr>
              <w:jc w:val="right"/>
              <w:rPr>
                <w:rFonts w:ascii="Lucida Bright" w:hAnsi="Lucida Bright" w:cs="Calibri"/>
                <w:color w:val="000000"/>
                <w:sz w:val="14"/>
                <w:szCs w:val="14"/>
                <w:lang w:val="es-ES"/>
              </w:rPr>
            </w:pPr>
            <w:r w:rsidRPr="00811FEC">
              <w:rPr>
                <w:rFonts w:ascii="Lucida Bright" w:hAnsi="Lucida Bright" w:cs="Calibri"/>
                <w:color w:val="000000"/>
                <w:sz w:val="14"/>
                <w:szCs w:val="14"/>
                <w:lang w:val="es-ES"/>
              </w:rPr>
              <w:t xml:space="preserve">(3.116,61) </w:t>
            </w:r>
          </w:p>
        </w:tc>
        <w:tc>
          <w:tcPr>
            <w:tcW w:w="658" w:type="pct"/>
            <w:tcBorders>
              <w:top w:val="single" w:sz="4" w:space="0" w:color="auto"/>
              <w:left w:val="single" w:sz="4" w:space="0" w:color="auto"/>
              <w:bottom w:val="nil"/>
              <w:right w:val="single" w:sz="8" w:space="0" w:color="auto"/>
            </w:tcBorders>
            <w:shd w:val="clear" w:color="auto" w:fill="auto"/>
            <w:noWrap/>
            <w:vAlign w:val="center"/>
            <w:hideMark/>
          </w:tcPr>
          <w:p w:rsidR="00811FEC" w:rsidRPr="00811FEC" w:rsidRDefault="00811FEC" w:rsidP="00811FEC">
            <w:pPr>
              <w:jc w:val="right"/>
              <w:rPr>
                <w:rFonts w:ascii="Lucida Bright" w:hAnsi="Lucida Bright" w:cs="Calibri"/>
                <w:color w:val="000000"/>
                <w:sz w:val="14"/>
                <w:szCs w:val="14"/>
                <w:lang w:val="es-ES"/>
              </w:rPr>
            </w:pPr>
            <w:r w:rsidRPr="00811FEC">
              <w:rPr>
                <w:rFonts w:ascii="Lucida Bright" w:hAnsi="Lucida Bright" w:cs="Calibri"/>
                <w:color w:val="000000"/>
                <w:sz w:val="14"/>
                <w:szCs w:val="14"/>
                <w:lang w:val="es-ES"/>
              </w:rPr>
              <w:t xml:space="preserve">114.236,63 </w:t>
            </w:r>
          </w:p>
        </w:tc>
      </w:tr>
      <w:tr w:rsidR="00811FEC" w:rsidRPr="00811FEC" w:rsidTr="00380828">
        <w:trPr>
          <w:trHeight w:val="315"/>
        </w:trPr>
        <w:tc>
          <w:tcPr>
            <w:tcW w:w="1213" w:type="pct"/>
            <w:tcBorders>
              <w:top w:val="nil"/>
              <w:left w:val="single" w:sz="8" w:space="0" w:color="auto"/>
              <w:bottom w:val="single" w:sz="8" w:space="0" w:color="auto"/>
              <w:right w:val="nil"/>
            </w:tcBorders>
            <w:shd w:val="clear" w:color="auto" w:fill="auto"/>
            <w:noWrap/>
            <w:vAlign w:val="center"/>
            <w:hideMark/>
          </w:tcPr>
          <w:p w:rsidR="00811FEC" w:rsidRPr="00811FEC" w:rsidRDefault="00811FEC" w:rsidP="00811FEC">
            <w:pPr>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Total</w:t>
            </w:r>
          </w:p>
        </w:tc>
        <w:tc>
          <w:tcPr>
            <w:tcW w:w="139" w:type="pct"/>
            <w:tcBorders>
              <w:top w:val="nil"/>
              <w:left w:val="nil"/>
              <w:bottom w:val="single" w:sz="8" w:space="0" w:color="auto"/>
              <w:right w:val="nil"/>
            </w:tcBorders>
            <w:shd w:val="clear" w:color="auto" w:fill="auto"/>
            <w:noWrap/>
            <w:vAlign w:val="center"/>
            <w:hideMark/>
          </w:tcPr>
          <w:p w:rsidR="00811FEC" w:rsidRPr="00811FEC" w:rsidRDefault="00811FEC" w:rsidP="00811FEC">
            <w:pPr>
              <w:rPr>
                <w:rFonts w:ascii="Lucida Bright" w:hAnsi="Lucida Bright" w:cs="Calibri"/>
                <w:color w:val="000000"/>
                <w:sz w:val="14"/>
                <w:szCs w:val="14"/>
                <w:lang w:val="es-ES"/>
              </w:rPr>
            </w:pPr>
            <w:r w:rsidRPr="00811FEC">
              <w:rPr>
                <w:rFonts w:ascii="Lucida Bright" w:hAnsi="Lucida Bright" w:cs="Calibri"/>
                <w:color w:val="000000"/>
                <w:sz w:val="14"/>
                <w:szCs w:val="14"/>
                <w:lang w:val="es-ES"/>
              </w:rPr>
              <w:t> </w:t>
            </w:r>
          </w:p>
        </w:tc>
        <w:tc>
          <w:tcPr>
            <w:tcW w:w="172" w:type="pct"/>
            <w:tcBorders>
              <w:top w:val="nil"/>
              <w:left w:val="nil"/>
              <w:bottom w:val="single" w:sz="8" w:space="0" w:color="auto"/>
              <w:right w:val="single" w:sz="8" w:space="0" w:color="auto"/>
            </w:tcBorders>
            <w:shd w:val="clear" w:color="auto" w:fill="auto"/>
            <w:noWrap/>
            <w:vAlign w:val="center"/>
            <w:hideMark/>
          </w:tcPr>
          <w:p w:rsidR="00811FEC" w:rsidRPr="00811FEC" w:rsidRDefault="00811FEC" w:rsidP="00811FEC">
            <w:pPr>
              <w:rPr>
                <w:rFonts w:ascii="Lucida Bright" w:hAnsi="Lucida Bright" w:cs="Calibri"/>
                <w:color w:val="000000"/>
                <w:sz w:val="14"/>
                <w:szCs w:val="14"/>
                <w:lang w:val="es-ES"/>
              </w:rPr>
            </w:pPr>
            <w:r w:rsidRPr="00811FEC">
              <w:rPr>
                <w:rFonts w:ascii="Lucida Bright" w:hAnsi="Lucida Bright" w:cs="Calibri"/>
                <w:color w:val="000000"/>
                <w:sz w:val="14"/>
                <w:szCs w:val="14"/>
                <w:lang w:val="es-ES"/>
              </w:rPr>
              <w:t> </w:t>
            </w:r>
          </w:p>
        </w:tc>
        <w:tc>
          <w:tcPr>
            <w:tcW w:w="746" w:type="pct"/>
            <w:tcBorders>
              <w:top w:val="single" w:sz="8" w:space="0" w:color="auto"/>
              <w:left w:val="nil"/>
              <w:bottom w:val="single" w:sz="8" w:space="0" w:color="auto"/>
              <w:right w:val="single" w:sz="8" w:space="0" w:color="auto"/>
            </w:tcBorders>
            <w:shd w:val="clear" w:color="auto" w:fill="auto"/>
            <w:noWrap/>
            <w:vAlign w:val="center"/>
            <w:hideMark/>
          </w:tcPr>
          <w:p w:rsidR="00811FEC" w:rsidRPr="00811FEC" w:rsidRDefault="00811FEC" w:rsidP="00811FEC">
            <w:pPr>
              <w:jc w:val="right"/>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 xml:space="preserve">49.902,84 </w:t>
            </w:r>
          </w:p>
        </w:tc>
        <w:tc>
          <w:tcPr>
            <w:tcW w:w="669" w:type="pct"/>
            <w:tcBorders>
              <w:top w:val="single" w:sz="8" w:space="0" w:color="auto"/>
              <w:left w:val="nil"/>
              <w:bottom w:val="single" w:sz="8" w:space="0" w:color="auto"/>
              <w:right w:val="single" w:sz="8" w:space="0" w:color="auto"/>
            </w:tcBorders>
            <w:shd w:val="clear" w:color="auto" w:fill="auto"/>
            <w:noWrap/>
            <w:vAlign w:val="center"/>
            <w:hideMark/>
          </w:tcPr>
          <w:p w:rsidR="00811FEC" w:rsidRPr="00811FEC" w:rsidRDefault="00811FEC" w:rsidP="00811FEC">
            <w:pPr>
              <w:jc w:val="right"/>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 xml:space="preserve">89.933,86 </w:t>
            </w:r>
          </w:p>
        </w:tc>
        <w:tc>
          <w:tcPr>
            <w:tcW w:w="658" w:type="pct"/>
            <w:tcBorders>
              <w:top w:val="single" w:sz="8" w:space="0" w:color="auto"/>
              <w:left w:val="nil"/>
              <w:bottom w:val="single" w:sz="8" w:space="0" w:color="auto"/>
              <w:right w:val="single" w:sz="8" w:space="0" w:color="auto"/>
            </w:tcBorders>
            <w:shd w:val="clear" w:color="auto" w:fill="auto"/>
            <w:noWrap/>
            <w:vAlign w:val="center"/>
            <w:hideMark/>
          </w:tcPr>
          <w:p w:rsidR="00811FEC" w:rsidRPr="00811FEC" w:rsidRDefault="00811FEC" w:rsidP="00811FEC">
            <w:pPr>
              <w:jc w:val="right"/>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 xml:space="preserve">(22.483,46) </w:t>
            </w:r>
          </w:p>
        </w:tc>
        <w:tc>
          <w:tcPr>
            <w:tcW w:w="746" w:type="pct"/>
            <w:tcBorders>
              <w:top w:val="single" w:sz="8" w:space="0" w:color="auto"/>
              <w:left w:val="nil"/>
              <w:bottom w:val="single" w:sz="8" w:space="0" w:color="auto"/>
              <w:right w:val="single" w:sz="8" w:space="0" w:color="auto"/>
            </w:tcBorders>
            <w:shd w:val="clear" w:color="auto" w:fill="auto"/>
            <w:noWrap/>
            <w:vAlign w:val="center"/>
            <w:hideMark/>
          </w:tcPr>
          <w:p w:rsidR="00811FEC" w:rsidRPr="00811FEC" w:rsidRDefault="00811FEC" w:rsidP="00811FEC">
            <w:pPr>
              <w:jc w:val="right"/>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 xml:space="preserve">(3.116,61) </w:t>
            </w:r>
          </w:p>
        </w:tc>
        <w:tc>
          <w:tcPr>
            <w:tcW w:w="658" w:type="pct"/>
            <w:tcBorders>
              <w:top w:val="single" w:sz="8" w:space="0" w:color="auto"/>
              <w:left w:val="nil"/>
              <w:bottom w:val="single" w:sz="8" w:space="0" w:color="auto"/>
              <w:right w:val="single" w:sz="8" w:space="0" w:color="auto"/>
            </w:tcBorders>
            <w:shd w:val="clear" w:color="auto" w:fill="auto"/>
            <w:noWrap/>
            <w:vAlign w:val="center"/>
            <w:hideMark/>
          </w:tcPr>
          <w:p w:rsidR="00811FEC" w:rsidRPr="00811FEC" w:rsidRDefault="00811FEC" w:rsidP="00811FEC">
            <w:pPr>
              <w:jc w:val="right"/>
              <w:rPr>
                <w:rFonts w:ascii="Lucida Bright" w:hAnsi="Lucida Bright" w:cs="Calibri"/>
                <w:b/>
                <w:bCs/>
                <w:color w:val="000000"/>
                <w:sz w:val="14"/>
                <w:szCs w:val="14"/>
                <w:lang w:val="es-ES"/>
              </w:rPr>
            </w:pPr>
            <w:r w:rsidRPr="00811FEC">
              <w:rPr>
                <w:rFonts w:ascii="Lucida Bright" w:hAnsi="Lucida Bright" w:cs="Calibri"/>
                <w:b/>
                <w:bCs/>
                <w:color w:val="000000"/>
                <w:sz w:val="14"/>
                <w:szCs w:val="14"/>
                <w:lang w:val="es-ES"/>
              </w:rPr>
              <w:t xml:space="preserve">114.236,63 </w:t>
            </w:r>
          </w:p>
        </w:tc>
      </w:tr>
    </w:tbl>
    <w:p w:rsidR="00486982" w:rsidRPr="00653857" w:rsidRDefault="00486982" w:rsidP="00486982">
      <w:pPr>
        <w:tabs>
          <w:tab w:val="right" w:pos="8364"/>
        </w:tabs>
        <w:ind w:firstLine="567"/>
        <w:jc w:val="both"/>
        <w:rPr>
          <w:rFonts w:ascii="NewBaskerville" w:hAnsi="NewBaskerville"/>
          <w:bCs/>
        </w:rPr>
      </w:pPr>
    </w:p>
    <w:p w:rsidR="00380828" w:rsidRDefault="00380828" w:rsidP="00380828">
      <w:pPr>
        <w:pStyle w:val="Sangradetextonormal"/>
        <w:ind w:left="720" w:firstLine="0"/>
        <w:rPr>
          <w:rFonts w:ascii="NewBaskerville" w:hAnsi="NewBaskerville"/>
          <w:sz w:val="20"/>
        </w:rPr>
      </w:pPr>
    </w:p>
    <w:p w:rsidR="00380828" w:rsidRDefault="00380828" w:rsidP="00380828">
      <w:pPr>
        <w:pStyle w:val="Sangradetextonormal"/>
        <w:numPr>
          <w:ilvl w:val="0"/>
          <w:numId w:val="2"/>
        </w:numPr>
        <w:ind w:hanging="219"/>
        <w:rPr>
          <w:rFonts w:ascii="NewBaskerville" w:hAnsi="NewBaskerville"/>
          <w:sz w:val="20"/>
        </w:rPr>
      </w:pPr>
      <w:r>
        <w:rPr>
          <w:rFonts w:ascii="NewBaskerville" w:hAnsi="NewBaskerville"/>
          <w:sz w:val="20"/>
        </w:rPr>
        <w:t xml:space="preserve">Subvención del Programa de Apoyo al Transporte Sostenible y Digital, en el marco del Plan de Recuperación, Transformación y </w:t>
      </w:r>
      <w:proofErr w:type="spellStart"/>
      <w:r>
        <w:rPr>
          <w:rFonts w:ascii="NewBaskerville" w:hAnsi="NewBaskerville"/>
          <w:sz w:val="20"/>
        </w:rPr>
        <w:t>Resiliencia</w:t>
      </w:r>
      <w:proofErr w:type="spellEnd"/>
      <w:r>
        <w:rPr>
          <w:rFonts w:ascii="NewBaskerville" w:hAnsi="NewBaskerville"/>
          <w:sz w:val="20"/>
        </w:rPr>
        <w:t xml:space="preserve"> – financiado por la UE – </w:t>
      </w:r>
      <w:proofErr w:type="spellStart"/>
      <w:r>
        <w:rPr>
          <w:rFonts w:ascii="NewBaskerville" w:hAnsi="NewBaskerville"/>
          <w:sz w:val="20"/>
        </w:rPr>
        <w:t>NextGeneration</w:t>
      </w:r>
      <w:proofErr w:type="spellEnd"/>
      <w:r>
        <w:rPr>
          <w:rFonts w:ascii="NewBaskerville" w:hAnsi="NewBaskerville"/>
          <w:sz w:val="20"/>
        </w:rPr>
        <w:t>.</w:t>
      </w:r>
    </w:p>
    <w:p w:rsidR="00380828" w:rsidRDefault="00380828" w:rsidP="00380828">
      <w:pPr>
        <w:pStyle w:val="Sangradetextonormal"/>
        <w:rPr>
          <w:rFonts w:ascii="NewBaskerville" w:hAnsi="NewBaskerville"/>
          <w:sz w:val="20"/>
        </w:rPr>
      </w:pPr>
    </w:p>
    <w:p w:rsidR="00380828" w:rsidRDefault="00380828" w:rsidP="00380828">
      <w:pPr>
        <w:pStyle w:val="Sangradetextonormal"/>
        <w:rPr>
          <w:rFonts w:ascii="NewBaskerville" w:hAnsi="NewBaskerville"/>
          <w:sz w:val="20"/>
        </w:rPr>
      </w:pPr>
      <w:r>
        <w:rPr>
          <w:rFonts w:ascii="NewBaskerville" w:hAnsi="NewBaskerville"/>
          <w:sz w:val="20"/>
        </w:rPr>
        <w:t xml:space="preserve">Mediante Orden Ministerial el 13/12/2022 se </w:t>
      </w:r>
      <w:r w:rsidR="00655DFE">
        <w:rPr>
          <w:rFonts w:ascii="NewBaskerville" w:hAnsi="NewBaskerville"/>
          <w:sz w:val="20"/>
        </w:rPr>
        <w:t>resolvió el procedimiento de concesión de subvenciones</w:t>
      </w:r>
      <w:r>
        <w:rPr>
          <w:rFonts w:ascii="NewBaskerville" w:hAnsi="NewBaskerville"/>
          <w:sz w:val="20"/>
        </w:rPr>
        <w:t>.</w:t>
      </w:r>
      <w:r w:rsidR="00655DFE">
        <w:rPr>
          <w:rFonts w:ascii="NewBaskerville" w:hAnsi="NewBaskerville"/>
          <w:sz w:val="20"/>
        </w:rPr>
        <w:t xml:space="preserve"> La APB participa en concurrencia con la Autoridad Portuaria de Barcelona, siendo concedida una subvención individual a la APB po</w:t>
      </w:r>
      <w:r w:rsidR="00FF2432">
        <w:rPr>
          <w:rFonts w:ascii="NewBaskerville" w:hAnsi="NewBaskerville"/>
          <w:sz w:val="20"/>
        </w:rPr>
        <w:t>r importe de 4.923.875,47 euros,</w:t>
      </w:r>
      <w:r w:rsidR="00655DFE">
        <w:rPr>
          <w:rFonts w:ascii="NewBaskerville" w:hAnsi="NewBaskerville"/>
          <w:sz w:val="20"/>
        </w:rPr>
        <w:t xml:space="preserve"> </w:t>
      </w:r>
      <w:r w:rsidR="00FF2432">
        <w:rPr>
          <w:rFonts w:ascii="NewBaskerville" w:hAnsi="NewBaskerville"/>
          <w:sz w:val="20"/>
        </w:rPr>
        <w:t>p</w:t>
      </w:r>
      <w:r w:rsidR="00655DFE">
        <w:rPr>
          <w:rFonts w:ascii="NewBaskerville" w:hAnsi="NewBaskerville"/>
          <w:sz w:val="20"/>
        </w:rPr>
        <w:t xml:space="preserve">ara la ejecución del proyecto OPS4B&amp;B – Despliegue de soluciones de suministro </w:t>
      </w:r>
      <w:r w:rsidR="00DD448C">
        <w:rPr>
          <w:rFonts w:ascii="NewBaskerville" w:hAnsi="NewBaskerville"/>
          <w:sz w:val="20"/>
        </w:rPr>
        <w:t>eléctrico</w:t>
      </w:r>
      <w:r w:rsidR="00655DFE">
        <w:rPr>
          <w:rFonts w:ascii="NewBaskerville" w:hAnsi="NewBaskerville"/>
          <w:sz w:val="20"/>
        </w:rPr>
        <w:t xml:space="preserve"> para “</w:t>
      </w:r>
      <w:proofErr w:type="spellStart"/>
      <w:r w:rsidR="00655DFE">
        <w:rPr>
          <w:rFonts w:ascii="NewBaskerville" w:hAnsi="NewBaskerville"/>
          <w:sz w:val="20"/>
        </w:rPr>
        <w:t>Cold</w:t>
      </w:r>
      <w:proofErr w:type="spellEnd"/>
      <w:r w:rsidR="00655DFE">
        <w:rPr>
          <w:rFonts w:ascii="NewBaskerville" w:hAnsi="NewBaskerville"/>
          <w:sz w:val="20"/>
        </w:rPr>
        <w:t xml:space="preserve"> </w:t>
      </w:r>
      <w:proofErr w:type="spellStart"/>
      <w:r w:rsidR="00655DFE">
        <w:rPr>
          <w:rFonts w:ascii="NewBaskerville" w:hAnsi="NewBaskerville"/>
          <w:sz w:val="20"/>
        </w:rPr>
        <w:t>Ironing</w:t>
      </w:r>
      <w:proofErr w:type="spellEnd"/>
      <w:r w:rsidR="00655DFE">
        <w:rPr>
          <w:rFonts w:ascii="NewBaskerville" w:hAnsi="NewBaskerville"/>
          <w:sz w:val="20"/>
        </w:rPr>
        <w:t xml:space="preserve">”. Debido a su bajo grado de ejecución y la inexistencia de certificaciones de </w:t>
      </w:r>
      <w:r w:rsidR="00FF2432">
        <w:rPr>
          <w:rFonts w:ascii="NewBaskerville" w:hAnsi="NewBaskerville"/>
          <w:sz w:val="20"/>
        </w:rPr>
        <w:t>obra financiada con la subvención, no se ha reconocido el devengo de la subvención.</w:t>
      </w:r>
    </w:p>
    <w:p w:rsidR="00FF2432" w:rsidRDefault="00FF2432" w:rsidP="00380828">
      <w:pPr>
        <w:pStyle w:val="Sangradetextonormal"/>
        <w:rPr>
          <w:rFonts w:ascii="NewBaskerville" w:hAnsi="NewBaskerville"/>
          <w:sz w:val="20"/>
        </w:rPr>
      </w:pPr>
    </w:p>
    <w:p w:rsidR="00BB7BD3" w:rsidRDefault="00BB7BD3" w:rsidP="00653857">
      <w:pPr>
        <w:pStyle w:val="Textoindependiente2"/>
        <w:rPr>
          <w:rFonts w:ascii="NewBaskerville" w:hAnsi="NewBaskerville"/>
          <w:sz w:val="20"/>
          <w:szCs w:val="20"/>
        </w:rPr>
      </w:pPr>
    </w:p>
    <w:p w:rsidR="00FF2432" w:rsidRDefault="00FF2432" w:rsidP="00FF2432">
      <w:pPr>
        <w:pStyle w:val="Sangradetextonormal"/>
        <w:numPr>
          <w:ilvl w:val="0"/>
          <w:numId w:val="2"/>
        </w:numPr>
        <w:ind w:hanging="219"/>
        <w:rPr>
          <w:rFonts w:ascii="NewBaskerville" w:hAnsi="NewBaskerville"/>
          <w:sz w:val="20"/>
        </w:rPr>
      </w:pPr>
      <w:r>
        <w:rPr>
          <w:rFonts w:ascii="NewBaskerville" w:hAnsi="NewBaskerville"/>
          <w:sz w:val="20"/>
        </w:rPr>
        <w:t>Otras ayudas y subvenciones.</w:t>
      </w:r>
    </w:p>
    <w:p w:rsidR="00486982" w:rsidRDefault="00486982" w:rsidP="00653857">
      <w:pPr>
        <w:pStyle w:val="Textoindependiente2"/>
        <w:rPr>
          <w:rFonts w:ascii="NewBaskerville" w:hAnsi="NewBaskerville"/>
          <w:sz w:val="20"/>
          <w:szCs w:val="20"/>
        </w:rPr>
      </w:pPr>
    </w:p>
    <w:p w:rsidR="00BB7BD3" w:rsidRDefault="00FF2432" w:rsidP="00FF2432">
      <w:pPr>
        <w:pStyle w:val="Textoindependiente2"/>
        <w:ind w:firstLine="567"/>
        <w:rPr>
          <w:rFonts w:ascii="NewBaskerville" w:hAnsi="NewBaskerville"/>
          <w:sz w:val="20"/>
          <w:szCs w:val="20"/>
        </w:rPr>
      </w:pPr>
      <w:r>
        <w:rPr>
          <w:rFonts w:ascii="NewBaskerville" w:hAnsi="NewBaskerville"/>
          <w:sz w:val="20"/>
          <w:szCs w:val="20"/>
        </w:rPr>
        <w:t xml:space="preserve">Existen ayudas y subvenciones percibidas por la APB que se ha estimado que todavía tienen naturaleza de reintegrables, </w:t>
      </w:r>
      <w:r w:rsidR="00DD448C">
        <w:rPr>
          <w:rFonts w:ascii="NewBaskerville" w:hAnsi="NewBaskerville"/>
          <w:sz w:val="20"/>
          <w:szCs w:val="20"/>
        </w:rPr>
        <w:t>cuya</w:t>
      </w:r>
      <w:r w:rsidR="00350D1C">
        <w:rPr>
          <w:rFonts w:ascii="NewBaskerville" w:hAnsi="NewBaskerville"/>
          <w:sz w:val="20"/>
          <w:szCs w:val="20"/>
        </w:rPr>
        <w:t>s</w:t>
      </w:r>
      <w:r>
        <w:rPr>
          <w:rFonts w:ascii="NewBaskerville" w:hAnsi="NewBaskerville"/>
          <w:sz w:val="20"/>
          <w:szCs w:val="20"/>
        </w:rPr>
        <w:t xml:space="preserve"> cantidad</w:t>
      </w:r>
      <w:r w:rsidR="00350D1C">
        <w:rPr>
          <w:rFonts w:ascii="NewBaskerville" w:hAnsi="NewBaskerville"/>
          <w:sz w:val="20"/>
          <w:szCs w:val="20"/>
        </w:rPr>
        <w:t>es</w:t>
      </w:r>
      <w:r>
        <w:rPr>
          <w:rFonts w:ascii="NewBaskerville" w:hAnsi="NewBaskerville"/>
          <w:sz w:val="20"/>
          <w:szCs w:val="20"/>
        </w:rPr>
        <w:t xml:space="preserve"> </w:t>
      </w:r>
      <w:bookmarkStart w:id="1" w:name="_GoBack"/>
      <w:bookmarkEnd w:id="1"/>
      <w:r>
        <w:rPr>
          <w:rFonts w:ascii="NewBaskerville" w:hAnsi="NewBaskerville"/>
          <w:sz w:val="20"/>
          <w:szCs w:val="20"/>
        </w:rPr>
        <w:t xml:space="preserve">a cierre del ejercicio </w:t>
      </w:r>
      <w:r w:rsidR="00350D1C">
        <w:rPr>
          <w:rFonts w:ascii="NewBaskerville" w:hAnsi="NewBaskerville"/>
          <w:sz w:val="20"/>
          <w:szCs w:val="20"/>
        </w:rPr>
        <w:t>son</w:t>
      </w:r>
      <w:r>
        <w:rPr>
          <w:rFonts w:ascii="NewBaskerville" w:hAnsi="NewBaskerville"/>
          <w:sz w:val="20"/>
          <w:szCs w:val="20"/>
        </w:rPr>
        <w:t>:</w:t>
      </w:r>
    </w:p>
    <w:p w:rsidR="006814C6" w:rsidRDefault="006814C6" w:rsidP="006814C6">
      <w:pPr>
        <w:pStyle w:val="Textoindependiente2"/>
        <w:ind w:left="1287"/>
        <w:rPr>
          <w:rFonts w:ascii="NewBaskerville" w:hAnsi="NewBaskerville"/>
          <w:sz w:val="20"/>
          <w:szCs w:val="20"/>
        </w:rPr>
      </w:pPr>
    </w:p>
    <w:p w:rsidR="00352633" w:rsidRDefault="00352633" w:rsidP="00FF2432">
      <w:pPr>
        <w:pStyle w:val="Textoindependiente2"/>
        <w:numPr>
          <w:ilvl w:val="0"/>
          <w:numId w:val="6"/>
        </w:numPr>
        <w:rPr>
          <w:rFonts w:ascii="NewBaskerville" w:hAnsi="NewBaskerville"/>
          <w:sz w:val="20"/>
          <w:szCs w:val="20"/>
        </w:rPr>
      </w:pPr>
      <w:r>
        <w:rPr>
          <w:rFonts w:ascii="NewBaskerville" w:hAnsi="NewBaskerville"/>
          <w:sz w:val="20"/>
          <w:szCs w:val="20"/>
        </w:rPr>
        <w:t xml:space="preserve">Programa Horizonte 2020 de la Unión Europea, Proyecto Green </w:t>
      </w:r>
      <w:proofErr w:type="spellStart"/>
      <w:r>
        <w:rPr>
          <w:rFonts w:ascii="NewBaskerville" w:hAnsi="NewBaskerville"/>
          <w:sz w:val="20"/>
          <w:szCs w:val="20"/>
        </w:rPr>
        <w:t>Hysland</w:t>
      </w:r>
      <w:proofErr w:type="spellEnd"/>
      <w:r>
        <w:rPr>
          <w:rFonts w:ascii="NewBaskerville" w:hAnsi="NewBaskerville"/>
          <w:sz w:val="20"/>
          <w:szCs w:val="20"/>
        </w:rPr>
        <w:t>, de innovación para transformar la isla de Mallorca en un ecosistema de hidrógeno verde. Del que se han percibido a fecha de cierre la cantidad de 409.662,49 euros.</w:t>
      </w:r>
    </w:p>
    <w:p w:rsidR="00352633" w:rsidRDefault="008967E4" w:rsidP="00FF2432">
      <w:pPr>
        <w:pStyle w:val="Textoindependiente2"/>
        <w:numPr>
          <w:ilvl w:val="0"/>
          <w:numId w:val="6"/>
        </w:numPr>
        <w:rPr>
          <w:rFonts w:ascii="NewBaskerville" w:hAnsi="NewBaskerville"/>
          <w:sz w:val="20"/>
          <w:szCs w:val="20"/>
        </w:rPr>
      </w:pPr>
      <w:r>
        <w:rPr>
          <w:rFonts w:ascii="NewBaskerville" w:hAnsi="NewBaskerville"/>
          <w:sz w:val="20"/>
          <w:szCs w:val="20"/>
        </w:rPr>
        <w:t>Programa Horizonte 2020 de la Unión Europea, Proyecto Eiffel, de innovación para la mitigación del cambio climático. Del que se han percibido a fecha de cierre del ejercicio la cantidad de 71.453,13 euros.</w:t>
      </w:r>
    </w:p>
    <w:p w:rsidR="008967E4" w:rsidRDefault="008967E4" w:rsidP="008967E4">
      <w:pPr>
        <w:pStyle w:val="Textoindependiente2"/>
        <w:ind w:left="1287"/>
        <w:rPr>
          <w:rFonts w:ascii="NewBaskerville" w:hAnsi="NewBaskerville"/>
          <w:sz w:val="20"/>
          <w:szCs w:val="20"/>
        </w:rPr>
      </w:pPr>
    </w:p>
    <w:p w:rsidR="008967E4" w:rsidRDefault="008967E4" w:rsidP="008967E4">
      <w:pPr>
        <w:pStyle w:val="Textoindependiente2"/>
        <w:ind w:left="1287"/>
        <w:rPr>
          <w:rFonts w:ascii="NewBaskerville" w:hAnsi="NewBaskerville"/>
          <w:sz w:val="20"/>
          <w:szCs w:val="20"/>
        </w:rPr>
      </w:pPr>
    </w:p>
    <w:p w:rsidR="008967E4" w:rsidRDefault="008967E4" w:rsidP="008967E4">
      <w:pPr>
        <w:pStyle w:val="Sangradetextonormal"/>
        <w:numPr>
          <w:ilvl w:val="0"/>
          <w:numId w:val="2"/>
        </w:numPr>
        <w:ind w:hanging="219"/>
        <w:rPr>
          <w:rFonts w:ascii="NewBaskerville" w:hAnsi="NewBaskerville"/>
          <w:sz w:val="20"/>
        </w:rPr>
      </w:pPr>
      <w:r>
        <w:rPr>
          <w:rFonts w:ascii="NewBaskerville" w:hAnsi="NewBaskerville"/>
          <w:sz w:val="20"/>
        </w:rPr>
        <w:t>Reversión de concesiones.</w:t>
      </w:r>
    </w:p>
    <w:p w:rsidR="008016E5" w:rsidRPr="00F72B6C" w:rsidRDefault="008016E5" w:rsidP="002420DC">
      <w:pPr>
        <w:pStyle w:val="Textoindependiente2"/>
        <w:ind w:firstLine="567"/>
        <w:rPr>
          <w:sz w:val="20"/>
          <w:szCs w:val="20"/>
        </w:rPr>
      </w:pPr>
    </w:p>
    <w:tbl>
      <w:tblPr>
        <w:tblW w:w="9120" w:type="dxa"/>
        <w:tblInd w:w="60" w:type="dxa"/>
        <w:tblCellMar>
          <w:left w:w="70" w:type="dxa"/>
          <w:right w:w="70" w:type="dxa"/>
        </w:tblCellMar>
        <w:tblLook w:val="04A0" w:firstRow="1" w:lastRow="0" w:firstColumn="1" w:lastColumn="0" w:noHBand="0" w:noVBand="1"/>
      </w:tblPr>
      <w:tblGrid>
        <w:gridCol w:w="2213"/>
        <w:gridCol w:w="254"/>
        <w:gridCol w:w="313"/>
        <w:gridCol w:w="1360"/>
        <w:gridCol w:w="1220"/>
        <w:gridCol w:w="1200"/>
        <w:gridCol w:w="1360"/>
        <w:gridCol w:w="1200"/>
      </w:tblGrid>
      <w:tr w:rsidR="008967E4" w:rsidRPr="008967E4" w:rsidTr="008967E4">
        <w:trPr>
          <w:trHeight w:val="555"/>
        </w:trPr>
        <w:tc>
          <w:tcPr>
            <w:tcW w:w="2780" w:type="dxa"/>
            <w:gridSpan w:val="3"/>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8967E4" w:rsidRPr="008967E4" w:rsidRDefault="008967E4" w:rsidP="008967E4">
            <w:pPr>
              <w:rPr>
                <w:rFonts w:ascii="Lucida Bright" w:hAnsi="Lucida Bright" w:cs="Calibri"/>
                <w:b/>
                <w:bCs/>
                <w:color w:val="000000"/>
                <w:sz w:val="18"/>
                <w:szCs w:val="18"/>
                <w:lang w:val="es-ES"/>
              </w:rPr>
            </w:pPr>
            <w:r w:rsidRPr="008967E4">
              <w:rPr>
                <w:rFonts w:ascii="Lucida Bright" w:hAnsi="Lucida Bright" w:cs="Calibri"/>
                <w:b/>
                <w:bCs/>
                <w:color w:val="000000"/>
                <w:sz w:val="18"/>
                <w:szCs w:val="18"/>
                <w:lang w:val="es-ES"/>
              </w:rPr>
              <w:t>CONCESIONES REVERTIDAS</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8967E4" w:rsidRPr="008967E4" w:rsidRDefault="008967E4" w:rsidP="008967E4">
            <w:pPr>
              <w:jc w:val="center"/>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Saldo a 31/12/2022</w:t>
            </w:r>
          </w:p>
        </w:tc>
        <w:tc>
          <w:tcPr>
            <w:tcW w:w="1220" w:type="dxa"/>
            <w:tcBorders>
              <w:top w:val="single" w:sz="8" w:space="0" w:color="auto"/>
              <w:left w:val="nil"/>
              <w:bottom w:val="single" w:sz="8" w:space="0" w:color="auto"/>
              <w:right w:val="single" w:sz="8" w:space="0" w:color="auto"/>
            </w:tcBorders>
            <w:shd w:val="clear" w:color="000000" w:fill="CCFFCC"/>
            <w:vAlign w:val="center"/>
            <w:hideMark/>
          </w:tcPr>
          <w:p w:rsidR="008967E4" w:rsidRPr="008967E4" w:rsidRDefault="008967E4" w:rsidP="008967E4">
            <w:pPr>
              <w:jc w:val="center"/>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Importe devengado en el ejer</w:t>
            </w:r>
            <w:r w:rsidR="00355986">
              <w:rPr>
                <w:rFonts w:ascii="Lucida Bright" w:hAnsi="Lucida Bright" w:cs="Calibri"/>
                <w:b/>
                <w:bCs/>
                <w:color w:val="000000"/>
                <w:sz w:val="14"/>
                <w:szCs w:val="14"/>
                <w:lang w:val="es-ES"/>
              </w:rPr>
              <w:t>ci</w:t>
            </w:r>
            <w:r w:rsidRPr="008967E4">
              <w:rPr>
                <w:rFonts w:ascii="Lucida Bright" w:hAnsi="Lucida Bright" w:cs="Calibri"/>
                <w:b/>
                <w:bCs/>
                <w:color w:val="000000"/>
                <w:sz w:val="14"/>
                <w:szCs w:val="14"/>
                <w:lang w:val="es-ES"/>
              </w:rPr>
              <w:t>cio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8967E4" w:rsidRPr="008967E4" w:rsidRDefault="008967E4" w:rsidP="008967E4">
            <w:pPr>
              <w:jc w:val="center"/>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Efecto impositivo devengo</w:t>
            </w:r>
          </w:p>
        </w:tc>
        <w:tc>
          <w:tcPr>
            <w:tcW w:w="1360" w:type="dxa"/>
            <w:tcBorders>
              <w:top w:val="single" w:sz="8" w:space="0" w:color="auto"/>
              <w:left w:val="nil"/>
              <w:bottom w:val="single" w:sz="8" w:space="0" w:color="auto"/>
              <w:right w:val="single" w:sz="8" w:space="0" w:color="auto"/>
            </w:tcBorders>
            <w:shd w:val="clear" w:color="000000" w:fill="CCFFCC"/>
            <w:vAlign w:val="center"/>
            <w:hideMark/>
          </w:tcPr>
          <w:p w:rsidR="008967E4" w:rsidRPr="008967E4" w:rsidRDefault="008967E4" w:rsidP="008967E4">
            <w:pPr>
              <w:jc w:val="center"/>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Importe traspas</w:t>
            </w:r>
            <w:r w:rsidR="00355986">
              <w:rPr>
                <w:rFonts w:ascii="Lucida Bright" w:hAnsi="Lucida Bright" w:cs="Calibri"/>
                <w:b/>
                <w:bCs/>
                <w:color w:val="000000"/>
                <w:sz w:val="14"/>
                <w:szCs w:val="14"/>
                <w:lang w:val="es-ES"/>
              </w:rPr>
              <w:t>a</w:t>
            </w:r>
            <w:r w:rsidRPr="008967E4">
              <w:rPr>
                <w:rFonts w:ascii="Lucida Bright" w:hAnsi="Lucida Bright" w:cs="Calibri"/>
                <w:b/>
                <w:bCs/>
                <w:color w:val="000000"/>
                <w:sz w:val="14"/>
                <w:szCs w:val="14"/>
                <w:lang w:val="es-ES"/>
              </w:rPr>
              <w:t>do al resultado</w:t>
            </w:r>
          </w:p>
        </w:tc>
        <w:tc>
          <w:tcPr>
            <w:tcW w:w="1200" w:type="dxa"/>
            <w:tcBorders>
              <w:top w:val="single" w:sz="8" w:space="0" w:color="auto"/>
              <w:left w:val="nil"/>
              <w:bottom w:val="single" w:sz="8" w:space="0" w:color="auto"/>
              <w:right w:val="single" w:sz="8" w:space="0" w:color="auto"/>
            </w:tcBorders>
            <w:shd w:val="clear" w:color="000000" w:fill="CCFFCC"/>
            <w:vAlign w:val="center"/>
            <w:hideMark/>
          </w:tcPr>
          <w:p w:rsidR="008967E4" w:rsidRPr="008967E4" w:rsidRDefault="008967E4" w:rsidP="008967E4">
            <w:pPr>
              <w:jc w:val="center"/>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Saldo a 31/12/2023</w:t>
            </w:r>
          </w:p>
        </w:tc>
      </w:tr>
      <w:tr w:rsidR="008967E4" w:rsidRPr="008967E4" w:rsidTr="008967E4">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967E4" w:rsidRPr="008967E4" w:rsidRDefault="008967E4" w:rsidP="008967E4">
            <w:pPr>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Construcciones destinadas a uso deportivo (reversión concesión GESA)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777.799,02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967E4" w:rsidRPr="008967E4" w:rsidRDefault="008967E4" w:rsidP="008967E4">
            <w:pPr>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967E4" w:rsidRPr="008967E4" w:rsidRDefault="008967E4" w:rsidP="008967E4">
            <w:pPr>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(589,44) </w:t>
            </w:r>
          </w:p>
        </w:tc>
        <w:tc>
          <w:tcPr>
            <w:tcW w:w="12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777.209,58 </w:t>
            </w:r>
          </w:p>
        </w:tc>
      </w:tr>
      <w:tr w:rsidR="008967E4" w:rsidRPr="008967E4" w:rsidTr="008967E4">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967E4" w:rsidRPr="008967E4" w:rsidRDefault="008967E4" w:rsidP="008967E4">
            <w:pPr>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Reversión obras e instalaciones de La </w:t>
            </w:r>
            <w:proofErr w:type="spellStart"/>
            <w:r w:rsidRPr="008967E4">
              <w:rPr>
                <w:rFonts w:ascii="Lucida Bright" w:hAnsi="Lucida Bright" w:cs="Calibri"/>
                <w:color w:val="000000"/>
                <w:sz w:val="14"/>
                <w:szCs w:val="14"/>
                <w:lang w:val="es-ES"/>
              </w:rPr>
              <w:t>Savina</w:t>
            </w:r>
            <w:proofErr w:type="spellEnd"/>
            <w:r w:rsidRPr="008967E4">
              <w:rPr>
                <w:rFonts w:ascii="Lucida Bright" w:hAnsi="Lucida Bright" w:cs="Calibri"/>
                <w:color w:val="000000"/>
                <w:sz w:val="14"/>
                <w:szCs w:val="14"/>
                <w:lang w:val="es-ES"/>
              </w:rPr>
              <w:t xml:space="preserve"> (GSP 110 - EM 584)</w:t>
            </w:r>
          </w:p>
        </w:tc>
        <w:tc>
          <w:tcPr>
            <w:tcW w:w="1360" w:type="dxa"/>
            <w:tcBorders>
              <w:top w:val="nil"/>
              <w:left w:val="nil"/>
              <w:bottom w:val="nil"/>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1.378.128,53 </w:t>
            </w:r>
          </w:p>
        </w:tc>
        <w:tc>
          <w:tcPr>
            <w:tcW w:w="1220" w:type="dxa"/>
            <w:tcBorders>
              <w:top w:val="nil"/>
              <w:left w:val="nil"/>
              <w:bottom w:val="nil"/>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w:t>
            </w:r>
          </w:p>
        </w:tc>
        <w:tc>
          <w:tcPr>
            <w:tcW w:w="1200" w:type="dxa"/>
            <w:tcBorders>
              <w:top w:val="nil"/>
              <w:left w:val="nil"/>
              <w:bottom w:val="nil"/>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w:t>
            </w:r>
          </w:p>
        </w:tc>
        <w:tc>
          <w:tcPr>
            <w:tcW w:w="1360" w:type="dxa"/>
            <w:tcBorders>
              <w:top w:val="nil"/>
              <w:left w:val="nil"/>
              <w:bottom w:val="nil"/>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(120.675,01) </w:t>
            </w:r>
          </w:p>
        </w:tc>
        <w:tc>
          <w:tcPr>
            <w:tcW w:w="1200" w:type="dxa"/>
            <w:tcBorders>
              <w:top w:val="nil"/>
              <w:left w:val="single" w:sz="4" w:space="0" w:color="auto"/>
              <w:bottom w:val="nil"/>
              <w:right w:val="single" w:sz="8"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1.257.453,52 </w:t>
            </w:r>
          </w:p>
        </w:tc>
      </w:tr>
      <w:tr w:rsidR="008967E4" w:rsidRPr="008967E4" w:rsidTr="008967E4">
        <w:trPr>
          <w:trHeight w:val="525"/>
        </w:trPr>
        <w:tc>
          <w:tcPr>
            <w:tcW w:w="27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967E4" w:rsidRPr="008967E4" w:rsidRDefault="008967E4" w:rsidP="008967E4">
            <w:pPr>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Reversión Caseta Obra Puerto de Ibiza 901 CPG</w:t>
            </w:r>
          </w:p>
        </w:tc>
        <w:tc>
          <w:tcPr>
            <w:tcW w:w="1360" w:type="dxa"/>
            <w:tcBorders>
              <w:top w:val="single" w:sz="4" w:space="0" w:color="000000"/>
              <w:left w:val="nil"/>
              <w:bottom w:val="single" w:sz="8" w:space="0" w:color="auto"/>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15.497,31 </w:t>
            </w:r>
          </w:p>
        </w:tc>
        <w:tc>
          <w:tcPr>
            <w:tcW w:w="1220" w:type="dxa"/>
            <w:tcBorders>
              <w:top w:val="single" w:sz="4" w:space="0" w:color="000000"/>
              <w:left w:val="nil"/>
              <w:bottom w:val="single" w:sz="8" w:space="0" w:color="auto"/>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w:t>
            </w:r>
          </w:p>
        </w:tc>
        <w:tc>
          <w:tcPr>
            <w:tcW w:w="1200" w:type="dxa"/>
            <w:tcBorders>
              <w:top w:val="single" w:sz="4" w:space="0" w:color="000000"/>
              <w:left w:val="nil"/>
              <w:bottom w:val="single" w:sz="8" w:space="0" w:color="auto"/>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w:t>
            </w:r>
          </w:p>
        </w:tc>
        <w:tc>
          <w:tcPr>
            <w:tcW w:w="1360" w:type="dxa"/>
            <w:tcBorders>
              <w:top w:val="single" w:sz="4" w:space="0" w:color="000000"/>
              <w:left w:val="nil"/>
              <w:bottom w:val="single" w:sz="8" w:space="0" w:color="auto"/>
              <w:right w:val="single" w:sz="4"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(329,76) </w:t>
            </w:r>
          </w:p>
        </w:tc>
        <w:tc>
          <w:tcPr>
            <w:tcW w:w="1200" w:type="dxa"/>
            <w:tcBorders>
              <w:top w:val="single" w:sz="4" w:space="0" w:color="000000"/>
              <w:left w:val="nil"/>
              <w:bottom w:val="single" w:sz="8" w:space="0" w:color="auto"/>
              <w:right w:val="single" w:sz="8" w:space="0" w:color="auto"/>
            </w:tcBorders>
            <w:shd w:val="clear" w:color="auto" w:fill="auto"/>
            <w:noWrap/>
            <w:vAlign w:val="center"/>
            <w:hideMark/>
          </w:tcPr>
          <w:p w:rsidR="008967E4" w:rsidRPr="008967E4" w:rsidRDefault="008967E4" w:rsidP="008967E4">
            <w:pPr>
              <w:jc w:val="right"/>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xml:space="preserve">15.167,55 </w:t>
            </w:r>
          </w:p>
        </w:tc>
      </w:tr>
      <w:tr w:rsidR="008967E4" w:rsidRPr="008967E4" w:rsidTr="008967E4">
        <w:trPr>
          <w:trHeight w:val="315"/>
        </w:trPr>
        <w:tc>
          <w:tcPr>
            <w:tcW w:w="2213" w:type="dxa"/>
            <w:tcBorders>
              <w:top w:val="nil"/>
              <w:left w:val="single" w:sz="8" w:space="0" w:color="auto"/>
              <w:bottom w:val="single" w:sz="8" w:space="0" w:color="auto"/>
              <w:right w:val="nil"/>
            </w:tcBorders>
            <w:shd w:val="clear" w:color="auto" w:fill="auto"/>
            <w:noWrap/>
            <w:vAlign w:val="center"/>
            <w:hideMark/>
          </w:tcPr>
          <w:p w:rsidR="008967E4" w:rsidRPr="008967E4" w:rsidRDefault="008967E4" w:rsidP="008967E4">
            <w:pPr>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Total</w:t>
            </w:r>
          </w:p>
        </w:tc>
        <w:tc>
          <w:tcPr>
            <w:tcW w:w="254" w:type="dxa"/>
            <w:tcBorders>
              <w:top w:val="nil"/>
              <w:left w:val="nil"/>
              <w:bottom w:val="single" w:sz="8" w:space="0" w:color="auto"/>
              <w:right w:val="nil"/>
            </w:tcBorders>
            <w:shd w:val="clear" w:color="auto" w:fill="auto"/>
            <w:noWrap/>
            <w:vAlign w:val="center"/>
            <w:hideMark/>
          </w:tcPr>
          <w:p w:rsidR="008967E4" w:rsidRPr="008967E4" w:rsidRDefault="008967E4" w:rsidP="008967E4">
            <w:pPr>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w:t>
            </w:r>
          </w:p>
        </w:tc>
        <w:tc>
          <w:tcPr>
            <w:tcW w:w="313" w:type="dxa"/>
            <w:tcBorders>
              <w:top w:val="nil"/>
              <w:left w:val="nil"/>
              <w:bottom w:val="single" w:sz="8" w:space="0" w:color="auto"/>
              <w:right w:val="single" w:sz="8" w:space="0" w:color="auto"/>
            </w:tcBorders>
            <w:shd w:val="clear" w:color="auto" w:fill="auto"/>
            <w:noWrap/>
            <w:vAlign w:val="center"/>
            <w:hideMark/>
          </w:tcPr>
          <w:p w:rsidR="008967E4" w:rsidRPr="008967E4" w:rsidRDefault="008967E4" w:rsidP="008967E4">
            <w:pPr>
              <w:rPr>
                <w:rFonts w:ascii="Lucida Bright" w:hAnsi="Lucida Bright" w:cs="Calibri"/>
                <w:color w:val="000000"/>
                <w:sz w:val="14"/>
                <w:szCs w:val="14"/>
                <w:lang w:val="es-ES"/>
              </w:rPr>
            </w:pPr>
            <w:r w:rsidRPr="008967E4">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center"/>
            <w:hideMark/>
          </w:tcPr>
          <w:p w:rsidR="008967E4" w:rsidRPr="008967E4" w:rsidRDefault="008967E4" w:rsidP="008967E4">
            <w:pPr>
              <w:jc w:val="right"/>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 xml:space="preserve">2.171.424,86 </w:t>
            </w:r>
          </w:p>
        </w:tc>
        <w:tc>
          <w:tcPr>
            <w:tcW w:w="1220" w:type="dxa"/>
            <w:tcBorders>
              <w:top w:val="nil"/>
              <w:left w:val="nil"/>
              <w:bottom w:val="single" w:sz="8" w:space="0" w:color="auto"/>
              <w:right w:val="single" w:sz="8" w:space="0" w:color="auto"/>
            </w:tcBorders>
            <w:shd w:val="clear" w:color="auto" w:fill="auto"/>
            <w:noWrap/>
            <w:vAlign w:val="center"/>
            <w:hideMark/>
          </w:tcPr>
          <w:p w:rsidR="008967E4" w:rsidRPr="008967E4" w:rsidRDefault="008967E4" w:rsidP="008967E4">
            <w:pPr>
              <w:jc w:val="right"/>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 </w:t>
            </w:r>
          </w:p>
        </w:tc>
        <w:tc>
          <w:tcPr>
            <w:tcW w:w="1200" w:type="dxa"/>
            <w:tcBorders>
              <w:top w:val="nil"/>
              <w:left w:val="nil"/>
              <w:bottom w:val="single" w:sz="8" w:space="0" w:color="auto"/>
              <w:right w:val="single" w:sz="8" w:space="0" w:color="auto"/>
            </w:tcBorders>
            <w:shd w:val="clear" w:color="auto" w:fill="auto"/>
            <w:noWrap/>
            <w:vAlign w:val="center"/>
            <w:hideMark/>
          </w:tcPr>
          <w:p w:rsidR="008967E4" w:rsidRPr="008967E4" w:rsidRDefault="008967E4" w:rsidP="008967E4">
            <w:pPr>
              <w:jc w:val="right"/>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center"/>
            <w:hideMark/>
          </w:tcPr>
          <w:p w:rsidR="008967E4" w:rsidRPr="008967E4" w:rsidRDefault="008967E4" w:rsidP="008967E4">
            <w:pPr>
              <w:jc w:val="right"/>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 xml:space="preserve">(121.594,21) </w:t>
            </w:r>
          </w:p>
        </w:tc>
        <w:tc>
          <w:tcPr>
            <w:tcW w:w="1200" w:type="dxa"/>
            <w:tcBorders>
              <w:top w:val="nil"/>
              <w:left w:val="nil"/>
              <w:bottom w:val="single" w:sz="8" w:space="0" w:color="auto"/>
              <w:right w:val="single" w:sz="8" w:space="0" w:color="auto"/>
            </w:tcBorders>
            <w:shd w:val="clear" w:color="auto" w:fill="auto"/>
            <w:noWrap/>
            <w:vAlign w:val="center"/>
            <w:hideMark/>
          </w:tcPr>
          <w:p w:rsidR="008967E4" w:rsidRPr="008967E4" w:rsidRDefault="008967E4" w:rsidP="008967E4">
            <w:pPr>
              <w:jc w:val="right"/>
              <w:rPr>
                <w:rFonts w:ascii="Lucida Bright" w:hAnsi="Lucida Bright" w:cs="Calibri"/>
                <w:b/>
                <w:bCs/>
                <w:color w:val="000000"/>
                <w:sz w:val="14"/>
                <w:szCs w:val="14"/>
                <w:lang w:val="es-ES"/>
              </w:rPr>
            </w:pPr>
            <w:r w:rsidRPr="008967E4">
              <w:rPr>
                <w:rFonts w:ascii="Lucida Bright" w:hAnsi="Lucida Bright" w:cs="Calibri"/>
                <w:b/>
                <w:bCs/>
                <w:color w:val="000000"/>
                <w:sz w:val="14"/>
                <w:szCs w:val="14"/>
                <w:lang w:val="es-ES"/>
              </w:rPr>
              <w:t xml:space="preserve">2.049.830,65 </w:t>
            </w:r>
          </w:p>
        </w:tc>
      </w:tr>
    </w:tbl>
    <w:p w:rsidR="00D62C98" w:rsidRDefault="00D62C98" w:rsidP="00D62C98">
      <w:pPr>
        <w:tabs>
          <w:tab w:val="right" w:pos="8364"/>
        </w:tabs>
        <w:jc w:val="both"/>
        <w:rPr>
          <w:bCs/>
        </w:rPr>
      </w:pPr>
    </w:p>
    <w:p w:rsidR="008016E5" w:rsidRPr="00F72B6C" w:rsidRDefault="008016E5" w:rsidP="00D62C98">
      <w:pPr>
        <w:tabs>
          <w:tab w:val="right" w:pos="8364"/>
        </w:tabs>
        <w:jc w:val="both"/>
        <w:rPr>
          <w:bCs/>
        </w:rPr>
      </w:pPr>
    </w:p>
    <w:p w:rsidR="00D62C98" w:rsidRDefault="00D62C98"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814C6" w:rsidRDefault="006814C6" w:rsidP="00BF22FE">
      <w:pPr>
        <w:tabs>
          <w:tab w:val="right" w:pos="8364"/>
        </w:tabs>
        <w:ind w:firstLine="567"/>
        <w:jc w:val="both"/>
        <w:rPr>
          <w:bCs/>
          <w:sz w:val="24"/>
        </w:rPr>
      </w:pPr>
    </w:p>
    <w:p w:rsidR="006F550B" w:rsidRDefault="006F550B" w:rsidP="00BF22FE">
      <w:pPr>
        <w:tabs>
          <w:tab w:val="right" w:pos="8364"/>
        </w:tabs>
        <w:ind w:firstLine="567"/>
        <w:jc w:val="both"/>
        <w:rPr>
          <w:bCs/>
          <w:sz w:val="24"/>
        </w:rPr>
        <w:sectPr w:rsidR="006F550B" w:rsidSect="00790C4F">
          <w:pgSz w:w="11907" w:h="16840" w:code="9"/>
          <w:pgMar w:top="1701" w:right="1418" w:bottom="1701" w:left="1985" w:header="567" w:footer="720" w:gutter="0"/>
          <w:cols w:space="720"/>
          <w:docGrid w:linePitch="272"/>
        </w:sectPr>
      </w:pPr>
    </w:p>
    <w:p w:rsidR="002C4355" w:rsidRPr="00D159DC" w:rsidRDefault="002C4355" w:rsidP="00846803">
      <w:pPr>
        <w:tabs>
          <w:tab w:val="right" w:pos="8364"/>
        </w:tabs>
        <w:ind w:left="567" w:hanging="567"/>
        <w:jc w:val="both"/>
        <w:rPr>
          <w:rFonts w:ascii="NewBaskerville" w:hAnsi="NewBaskerville"/>
          <w:b/>
          <w:bCs/>
          <w:sz w:val="24"/>
          <w:szCs w:val="24"/>
        </w:rPr>
      </w:pPr>
      <w:r w:rsidRPr="00D159DC">
        <w:rPr>
          <w:rFonts w:ascii="NewBaskerville" w:hAnsi="NewBaskerville"/>
          <w:b/>
          <w:bCs/>
          <w:sz w:val="24"/>
          <w:szCs w:val="24"/>
        </w:rPr>
        <w:lastRenderedPageBreak/>
        <w:t>1</w:t>
      </w:r>
      <w:r w:rsidR="00F706A9" w:rsidRPr="00D159DC">
        <w:rPr>
          <w:rFonts w:ascii="NewBaskerville" w:hAnsi="NewBaskerville"/>
          <w:b/>
          <w:bCs/>
          <w:sz w:val="24"/>
          <w:szCs w:val="24"/>
        </w:rPr>
        <w:t>2</w:t>
      </w:r>
      <w:r w:rsidRPr="00D159DC">
        <w:rPr>
          <w:rFonts w:ascii="NewBaskerville" w:hAnsi="NewBaskerville"/>
          <w:b/>
          <w:bCs/>
          <w:sz w:val="24"/>
          <w:szCs w:val="24"/>
        </w:rPr>
        <w:t>. Situación fiscal</w:t>
      </w:r>
    </w:p>
    <w:p w:rsidR="00846803" w:rsidRPr="00846803" w:rsidRDefault="00846803" w:rsidP="00846803">
      <w:pPr>
        <w:tabs>
          <w:tab w:val="right" w:pos="8364"/>
        </w:tabs>
        <w:ind w:left="567" w:hanging="567"/>
        <w:jc w:val="both"/>
        <w:rPr>
          <w:b/>
          <w:u w:val="single"/>
        </w:rPr>
      </w:pPr>
    </w:p>
    <w:p w:rsidR="002C4355" w:rsidRPr="00D55F96" w:rsidRDefault="00707210">
      <w:pPr>
        <w:tabs>
          <w:tab w:val="right" w:pos="8364"/>
        </w:tabs>
        <w:ind w:firstLine="540"/>
        <w:jc w:val="both"/>
        <w:rPr>
          <w:rFonts w:ascii="NewBaskerville" w:hAnsi="NewBaskerville"/>
          <w:bCs/>
        </w:rPr>
      </w:pPr>
      <w:r w:rsidRPr="00D55F96">
        <w:rPr>
          <w:rFonts w:ascii="NewBaskerville" w:hAnsi="NewBaskerville"/>
          <w:bCs/>
        </w:rPr>
        <w:t>El TRLPEM</w:t>
      </w:r>
      <w:r w:rsidR="00CA62A9" w:rsidRPr="00D55F96">
        <w:rPr>
          <w:rFonts w:ascii="NewBaskerville" w:hAnsi="NewBaskerville"/>
          <w:bCs/>
        </w:rPr>
        <w:t xml:space="preserve">M </w:t>
      </w:r>
      <w:r w:rsidR="002C4355" w:rsidRPr="00D55F96">
        <w:rPr>
          <w:rFonts w:ascii="NewBaskerville" w:hAnsi="NewBaskerville"/>
          <w:bCs/>
        </w:rPr>
        <w:t>establece que el régimen tributario de la</w:t>
      </w:r>
      <w:r w:rsidR="005C790F">
        <w:rPr>
          <w:rFonts w:ascii="NewBaskerville" w:hAnsi="NewBaskerville"/>
          <w:bCs/>
        </w:rPr>
        <w:t xml:space="preserve"> </w:t>
      </w:r>
      <w:r w:rsidR="002C4355" w:rsidRPr="00D55F96">
        <w:rPr>
          <w:rFonts w:ascii="NewBaskerville" w:hAnsi="NewBaskerville"/>
          <w:bCs/>
        </w:rPr>
        <w:t>A</w:t>
      </w:r>
      <w:r w:rsidR="005C790F">
        <w:rPr>
          <w:rFonts w:ascii="NewBaskerville" w:hAnsi="NewBaskerville"/>
          <w:bCs/>
        </w:rPr>
        <w:t>PB</w:t>
      </w:r>
      <w:r w:rsidR="002C4355" w:rsidRPr="00D55F96">
        <w:rPr>
          <w:rFonts w:ascii="NewBaskerville" w:hAnsi="NewBaskerville"/>
          <w:bCs/>
        </w:rPr>
        <w:t xml:space="preserve"> es el mismo que corresponde al Estado, sin perjuicio de la aplicación a dichas entidades del régimen </w:t>
      </w:r>
      <w:r w:rsidR="00F16EB6" w:rsidRPr="00D55F96">
        <w:rPr>
          <w:rFonts w:ascii="NewBaskerville" w:hAnsi="NewBaskerville"/>
          <w:bCs/>
        </w:rPr>
        <w:t>general</w:t>
      </w:r>
      <w:r w:rsidR="002C4355" w:rsidRPr="00D55F96">
        <w:rPr>
          <w:rFonts w:ascii="NewBaskerville" w:hAnsi="NewBaskerville"/>
          <w:bCs/>
        </w:rPr>
        <w:t xml:space="preserve"> en el Impuesto de Sociedades. </w:t>
      </w:r>
      <w:r w:rsidR="003F2E2E" w:rsidRPr="00D55F96">
        <w:rPr>
          <w:rFonts w:ascii="NewBaskerville" w:hAnsi="NewBaskerville"/>
          <w:bCs/>
        </w:rPr>
        <w:t xml:space="preserve">El Real Decreto-ley 26/2020, de 7 de julio, modifica el régimen fiscal previsto para las </w:t>
      </w:r>
      <w:r w:rsidR="00A861CC">
        <w:rPr>
          <w:rFonts w:ascii="NewBaskerville" w:hAnsi="NewBaskerville"/>
          <w:bCs/>
        </w:rPr>
        <w:t>Autoridades P</w:t>
      </w:r>
      <w:r w:rsidR="003F2E2E" w:rsidRPr="00D55F96">
        <w:rPr>
          <w:rFonts w:ascii="NewBaskerville" w:hAnsi="NewBaskerville"/>
          <w:bCs/>
        </w:rPr>
        <w:t>ortuarias, que dejan de estar parcialmente exentas del Impue</w:t>
      </w:r>
      <w:r w:rsidR="00D55F96" w:rsidRPr="00D55F96">
        <w:rPr>
          <w:rFonts w:ascii="NewBaskerville" w:hAnsi="NewBaskerville"/>
          <w:bCs/>
        </w:rPr>
        <w:t>sto</w:t>
      </w:r>
      <w:r w:rsidR="003F2E2E" w:rsidRPr="00D55F96">
        <w:rPr>
          <w:rFonts w:ascii="NewBaskerville" w:hAnsi="NewBaskerville"/>
          <w:bCs/>
        </w:rPr>
        <w:t xml:space="preserve"> sobre Sociedades, con el objeto de dar </w:t>
      </w:r>
      <w:r w:rsidR="003F24D6" w:rsidRPr="00D55F96">
        <w:rPr>
          <w:rFonts w:ascii="NewBaskerville" w:hAnsi="NewBaskerville"/>
          <w:bCs/>
        </w:rPr>
        <w:t>cumplimiento</w:t>
      </w:r>
      <w:r w:rsidR="003F2E2E" w:rsidRPr="00D55F96">
        <w:rPr>
          <w:rFonts w:ascii="NewBaskerville" w:hAnsi="NewBaskerville"/>
          <w:bCs/>
        </w:rPr>
        <w:t xml:space="preserve"> a la Decisión de la Comisión C (2018) 8676 final, de 8 de enero de 2019, relativa a la fiscalidad de los puertos en España.</w:t>
      </w:r>
    </w:p>
    <w:p w:rsidR="00536F43" w:rsidRPr="00D55F96" w:rsidRDefault="00536F43">
      <w:pPr>
        <w:tabs>
          <w:tab w:val="right" w:pos="8364"/>
        </w:tabs>
        <w:ind w:firstLine="540"/>
        <w:jc w:val="both"/>
        <w:rPr>
          <w:rFonts w:ascii="NewBaskerville" w:hAnsi="NewBaskerville"/>
          <w:bCs/>
        </w:rPr>
      </w:pPr>
    </w:p>
    <w:p w:rsidR="003F2E2E" w:rsidRPr="00D55F96" w:rsidRDefault="003F2E2E">
      <w:pPr>
        <w:tabs>
          <w:tab w:val="right" w:pos="8364"/>
        </w:tabs>
        <w:ind w:firstLine="540"/>
        <w:jc w:val="both"/>
        <w:rPr>
          <w:rFonts w:ascii="NewBaskerville" w:hAnsi="NewBaskerville"/>
          <w:bCs/>
        </w:rPr>
      </w:pPr>
      <w:r w:rsidRPr="00D55F96">
        <w:rPr>
          <w:rFonts w:ascii="NewBaskerville" w:hAnsi="NewBaskerville"/>
          <w:bCs/>
        </w:rPr>
        <w:t>Las autoridades portuarias tienen autonomía en su gestión económico-financiera sobre la base del principio de autosuficiencia económica, lo que supone que no reciben financiación a cargo de los Presupuestos General del Estado. Por otra parte, las autoridades portuarias realizan inversiones y gastos que no están directamente destinados al servicio de las actividades portuarias pero que, sin embargo, benefician a la colectividad de la ciudadanía sin percibir contraprestación a cambio. Justificándose la introducción en el impuesto de una deducción vinculada a estos gastos e inversiones.</w:t>
      </w:r>
    </w:p>
    <w:p w:rsidR="00536F43" w:rsidRPr="00D55F96" w:rsidRDefault="00536F43">
      <w:pPr>
        <w:tabs>
          <w:tab w:val="right" w:pos="8364"/>
        </w:tabs>
        <w:ind w:firstLine="540"/>
        <w:jc w:val="both"/>
        <w:rPr>
          <w:rFonts w:ascii="NewBaskerville" w:hAnsi="NewBaskerville"/>
          <w:bCs/>
        </w:rPr>
      </w:pPr>
    </w:p>
    <w:p w:rsidR="003F2E2E" w:rsidRPr="00D55F96" w:rsidRDefault="00BF68C9">
      <w:pPr>
        <w:tabs>
          <w:tab w:val="right" w:pos="8364"/>
        </w:tabs>
        <w:ind w:firstLine="540"/>
        <w:jc w:val="both"/>
        <w:rPr>
          <w:rFonts w:ascii="NewBaskerville" w:hAnsi="NewBaskerville"/>
          <w:bCs/>
        </w:rPr>
      </w:pPr>
      <w:r w:rsidRPr="00D55F96">
        <w:rPr>
          <w:rFonts w:ascii="NewBaskerville" w:hAnsi="NewBaskerville"/>
          <w:bCs/>
        </w:rPr>
        <w:t xml:space="preserve">Además, en la deducción se incluyen también los gastos e inversiones que son compatibles con el mercado interior a tenor de lo dispuesto en el capítulo I y en el artículo 56 ter del Reglamento (UE) Nº 651/2014, de la Comisión, de 17 de junio de 2014, por el que se declaran determinadas categorías de ayudas compatibles con el mercado interior en aplicación de los artículos 107 y 108 del Tratado, y, en su caso, las que puedan declararse con el mercado interior por </w:t>
      </w:r>
      <w:r w:rsidR="003F24D6" w:rsidRPr="00D55F96">
        <w:rPr>
          <w:rFonts w:ascii="NewBaskerville" w:hAnsi="NewBaskerville"/>
          <w:bCs/>
        </w:rPr>
        <w:t>Decisión</w:t>
      </w:r>
      <w:r w:rsidRPr="00D55F96">
        <w:rPr>
          <w:rFonts w:ascii="NewBaskerville" w:hAnsi="NewBaskerville"/>
          <w:bCs/>
        </w:rPr>
        <w:t xml:space="preserve"> de la Comisión Europea en cada supuesto particular de conformidad con lo previsto en el apartado 3 del artículo 108 de Tratado de Funcionamiento de la Unión Europea.</w:t>
      </w:r>
    </w:p>
    <w:p w:rsidR="00B62B5F" w:rsidRPr="00D55F96" w:rsidRDefault="00B62B5F">
      <w:pPr>
        <w:tabs>
          <w:tab w:val="right" w:pos="8364"/>
        </w:tabs>
        <w:ind w:firstLine="540"/>
        <w:jc w:val="both"/>
        <w:rPr>
          <w:rFonts w:ascii="NewBaskerville" w:hAnsi="NewBaskerville"/>
          <w:bCs/>
        </w:rPr>
      </w:pPr>
    </w:p>
    <w:p w:rsidR="00B62B5F" w:rsidRPr="00D55F96" w:rsidRDefault="00B62B5F">
      <w:pPr>
        <w:tabs>
          <w:tab w:val="right" w:pos="8364"/>
        </w:tabs>
        <w:ind w:firstLine="540"/>
        <w:jc w:val="both"/>
        <w:rPr>
          <w:rFonts w:ascii="NewBaskerville" w:hAnsi="NewBaskerville"/>
          <w:bCs/>
        </w:rPr>
      </w:pPr>
      <w:r w:rsidRPr="00D55F96">
        <w:rPr>
          <w:rFonts w:ascii="NewBaskerville" w:hAnsi="NewBaskerville"/>
          <w:bCs/>
        </w:rPr>
        <w:t>A continuación se presenta información de la Autoridad Portuaria en relación a las Administraciones Públicas y situación fiscal.</w:t>
      </w:r>
    </w:p>
    <w:p w:rsidR="00B62B5F" w:rsidRDefault="00B62B5F">
      <w:pPr>
        <w:tabs>
          <w:tab w:val="right" w:pos="8364"/>
        </w:tabs>
        <w:ind w:firstLine="540"/>
        <w:jc w:val="both"/>
        <w:rPr>
          <w:bCs/>
        </w:rPr>
      </w:pPr>
    </w:p>
    <w:p w:rsidR="008016E5" w:rsidRPr="00C7435A" w:rsidRDefault="008016E5">
      <w:pPr>
        <w:tabs>
          <w:tab w:val="right" w:pos="8364"/>
        </w:tabs>
        <w:ind w:firstLine="540"/>
        <w:jc w:val="both"/>
        <w:rPr>
          <w:rFonts w:ascii="NewBaskerville" w:hAnsi="NewBaskerville"/>
          <w:bCs/>
        </w:rPr>
      </w:pPr>
    </w:p>
    <w:p w:rsidR="00B62B5F" w:rsidRPr="00C7435A" w:rsidRDefault="00B62B5F">
      <w:pPr>
        <w:tabs>
          <w:tab w:val="right" w:pos="8364"/>
        </w:tabs>
        <w:ind w:firstLine="540"/>
        <w:jc w:val="both"/>
        <w:rPr>
          <w:rFonts w:ascii="NewBaskerville" w:hAnsi="NewBaskerville"/>
          <w:bCs/>
        </w:rPr>
      </w:pPr>
      <w:r w:rsidRPr="00C7435A">
        <w:rPr>
          <w:rFonts w:ascii="NewBaskerville" w:hAnsi="NewBaskerville"/>
          <w:bCs/>
          <w:u w:val="single"/>
        </w:rPr>
        <w:t>Saldos corrientes con las Administraciones Públicas.</w:t>
      </w:r>
    </w:p>
    <w:p w:rsidR="0010198F" w:rsidRPr="00C7435A" w:rsidRDefault="0010198F">
      <w:pPr>
        <w:tabs>
          <w:tab w:val="right" w:pos="8364"/>
        </w:tabs>
        <w:ind w:firstLine="540"/>
        <w:jc w:val="both"/>
        <w:rPr>
          <w:rFonts w:ascii="NewBaskerville" w:hAnsi="NewBaskerville"/>
          <w:bCs/>
        </w:rPr>
      </w:pPr>
    </w:p>
    <w:p w:rsidR="0010198F" w:rsidRPr="00C7435A" w:rsidRDefault="0010198F">
      <w:pPr>
        <w:tabs>
          <w:tab w:val="right" w:pos="8364"/>
        </w:tabs>
        <w:ind w:firstLine="540"/>
        <w:jc w:val="both"/>
        <w:rPr>
          <w:rFonts w:ascii="NewBaskerville" w:hAnsi="NewBaskerville"/>
          <w:bCs/>
        </w:rPr>
      </w:pPr>
      <w:r w:rsidRPr="00C7435A">
        <w:rPr>
          <w:rFonts w:ascii="NewBaskerville" w:hAnsi="NewBaskerville"/>
          <w:bCs/>
        </w:rPr>
        <w:t>La composición de los saldos corrientes con las Administraciones Públicas e</w:t>
      </w:r>
      <w:r w:rsidR="00AE1189">
        <w:rPr>
          <w:rFonts w:ascii="NewBaskerville" w:hAnsi="NewBaskerville"/>
          <w:bCs/>
        </w:rPr>
        <w:t>s</w:t>
      </w:r>
      <w:r w:rsidRPr="00C7435A">
        <w:rPr>
          <w:rFonts w:ascii="NewBaskerville" w:hAnsi="NewBaskerville"/>
          <w:bCs/>
        </w:rPr>
        <w:t xml:space="preserve"> la siguiente:</w:t>
      </w:r>
    </w:p>
    <w:p w:rsidR="00C7435A" w:rsidRPr="0010198F" w:rsidRDefault="00C7435A">
      <w:pPr>
        <w:tabs>
          <w:tab w:val="right" w:pos="8364"/>
        </w:tabs>
        <w:ind w:firstLine="540"/>
        <w:jc w:val="both"/>
        <w:rPr>
          <w:bCs/>
        </w:rPr>
      </w:pPr>
    </w:p>
    <w:tbl>
      <w:tblPr>
        <w:tblW w:w="6720" w:type="dxa"/>
        <w:tblInd w:w="55" w:type="dxa"/>
        <w:tblCellMar>
          <w:left w:w="70" w:type="dxa"/>
          <w:right w:w="70" w:type="dxa"/>
        </w:tblCellMar>
        <w:tblLook w:val="04A0" w:firstRow="1" w:lastRow="0" w:firstColumn="1" w:lastColumn="0" w:noHBand="0" w:noVBand="1"/>
      </w:tblPr>
      <w:tblGrid>
        <w:gridCol w:w="1442"/>
        <w:gridCol w:w="1439"/>
        <w:gridCol w:w="1439"/>
        <w:gridCol w:w="1200"/>
        <w:gridCol w:w="1200"/>
      </w:tblGrid>
      <w:tr w:rsidR="00F963DD" w:rsidRPr="00F963DD" w:rsidTr="00F963DD">
        <w:trPr>
          <w:trHeight w:val="285"/>
        </w:trPr>
        <w:tc>
          <w:tcPr>
            <w:tcW w:w="4320" w:type="dxa"/>
            <w:gridSpan w:val="3"/>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F963DD" w:rsidRPr="00F963DD" w:rsidRDefault="00F963DD" w:rsidP="00F963DD">
            <w:pPr>
              <w:jc w:val="center"/>
              <w:rPr>
                <w:rFonts w:ascii="Lucida Bright" w:hAnsi="Lucida Bright" w:cs="Calibri"/>
                <w:b/>
                <w:bCs/>
                <w:color w:val="000000"/>
                <w:sz w:val="16"/>
                <w:szCs w:val="16"/>
                <w:lang w:val="es-ES"/>
              </w:rPr>
            </w:pPr>
            <w:r w:rsidRPr="00F963DD">
              <w:rPr>
                <w:rFonts w:ascii="Lucida Bright" w:hAnsi="Lucida Bright" w:cs="Calibri"/>
                <w:b/>
                <w:bCs/>
                <w:color w:val="000000"/>
                <w:sz w:val="16"/>
                <w:szCs w:val="16"/>
                <w:lang w:val="es-ES"/>
              </w:rPr>
              <w:t>Saldos corrientes deudores con las Administraciones Públicas</w:t>
            </w:r>
          </w:p>
        </w:tc>
        <w:tc>
          <w:tcPr>
            <w:tcW w:w="2400" w:type="dxa"/>
            <w:gridSpan w:val="2"/>
            <w:tcBorders>
              <w:top w:val="single" w:sz="8" w:space="0" w:color="auto"/>
              <w:left w:val="nil"/>
              <w:bottom w:val="nil"/>
              <w:right w:val="single" w:sz="8" w:space="0" w:color="000000"/>
            </w:tcBorders>
            <w:shd w:val="clear" w:color="000000" w:fill="CCFFCC"/>
            <w:noWrap/>
            <w:vAlign w:val="bottom"/>
            <w:hideMark/>
          </w:tcPr>
          <w:p w:rsidR="00F963DD" w:rsidRPr="00F963DD" w:rsidRDefault="00F963DD" w:rsidP="00F963DD">
            <w:pPr>
              <w:jc w:val="center"/>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Euros</w:t>
            </w:r>
          </w:p>
        </w:tc>
      </w:tr>
      <w:tr w:rsidR="00F963DD" w:rsidRPr="00F963DD" w:rsidTr="00F963DD">
        <w:trPr>
          <w:trHeight w:val="240"/>
        </w:trPr>
        <w:tc>
          <w:tcPr>
            <w:tcW w:w="4320" w:type="dxa"/>
            <w:gridSpan w:val="3"/>
            <w:vMerge/>
            <w:tcBorders>
              <w:top w:val="single" w:sz="8" w:space="0" w:color="auto"/>
              <w:left w:val="single" w:sz="8" w:space="0" w:color="auto"/>
              <w:bottom w:val="single" w:sz="8" w:space="0" w:color="000000"/>
              <w:right w:val="single" w:sz="8" w:space="0" w:color="000000"/>
            </w:tcBorders>
            <w:vAlign w:val="center"/>
            <w:hideMark/>
          </w:tcPr>
          <w:p w:rsidR="00F963DD" w:rsidRPr="00F963DD" w:rsidRDefault="00F963DD" w:rsidP="00F963DD">
            <w:pPr>
              <w:rPr>
                <w:rFonts w:ascii="Lucida Bright" w:hAnsi="Lucida Bright" w:cs="Calibri"/>
                <w:b/>
                <w:bCs/>
                <w:color w:val="000000"/>
                <w:sz w:val="16"/>
                <w:szCs w:val="16"/>
                <w:lang w:val="es-ES"/>
              </w:rPr>
            </w:pPr>
          </w:p>
        </w:tc>
        <w:tc>
          <w:tcPr>
            <w:tcW w:w="1200" w:type="dxa"/>
            <w:tcBorders>
              <w:top w:val="nil"/>
              <w:left w:val="nil"/>
              <w:bottom w:val="single" w:sz="8" w:space="0" w:color="auto"/>
              <w:right w:val="nil"/>
            </w:tcBorders>
            <w:shd w:val="clear" w:color="000000" w:fill="CCFFCC"/>
            <w:noWrap/>
            <w:vAlign w:val="bottom"/>
            <w:hideMark/>
          </w:tcPr>
          <w:p w:rsidR="00F963DD" w:rsidRPr="00F963DD" w:rsidRDefault="00F963DD" w:rsidP="00F963DD">
            <w:pPr>
              <w:jc w:val="center"/>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2023</w:t>
            </w:r>
          </w:p>
        </w:tc>
        <w:tc>
          <w:tcPr>
            <w:tcW w:w="1200" w:type="dxa"/>
            <w:tcBorders>
              <w:top w:val="nil"/>
              <w:left w:val="single" w:sz="8" w:space="0" w:color="auto"/>
              <w:bottom w:val="single" w:sz="8" w:space="0" w:color="auto"/>
              <w:right w:val="single" w:sz="8" w:space="0" w:color="auto"/>
            </w:tcBorders>
            <w:shd w:val="clear" w:color="000000" w:fill="CCFFCC"/>
            <w:noWrap/>
            <w:vAlign w:val="bottom"/>
            <w:hideMark/>
          </w:tcPr>
          <w:p w:rsidR="00F963DD" w:rsidRPr="00F963DD" w:rsidRDefault="00F963DD" w:rsidP="00F963DD">
            <w:pPr>
              <w:jc w:val="center"/>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2022</w:t>
            </w:r>
          </w:p>
        </w:tc>
      </w:tr>
      <w:tr w:rsidR="00F963DD" w:rsidRPr="00F963DD" w:rsidTr="00F963DD">
        <w:trPr>
          <w:trHeight w:val="225"/>
        </w:trPr>
        <w:tc>
          <w:tcPr>
            <w:tcW w:w="4320" w:type="dxa"/>
            <w:gridSpan w:val="3"/>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xml:space="preserve">Hacienda Pública deudora por </w:t>
            </w:r>
            <w:proofErr w:type="spellStart"/>
            <w:r w:rsidRPr="00F963DD">
              <w:rPr>
                <w:rFonts w:ascii="Lucida Bright" w:hAnsi="Lucida Bright" w:cs="Calibri"/>
                <w:color w:val="000000"/>
                <w:sz w:val="14"/>
                <w:szCs w:val="14"/>
                <w:lang w:val="es-ES"/>
              </w:rPr>
              <w:t>Impto</w:t>
            </w:r>
            <w:proofErr w:type="spellEnd"/>
            <w:r w:rsidRPr="00F963DD">
              <w:rPr>
                <w:rFonts w:ascii="Lucida Bright" w:hAnsi="Lucida Bright" w:cs="Calibri"/>
                <w:color w:val="000000"/>
                <w:sz w:val="14"/>
                <w:szCs w:val="14"/>
                <w:lang w:val="es-ES"/>
              </w:rPr>
              <w:t xml:space="preserve"> s/Sociedades</w:t>
            </w:r>
          </w:p>
        </w:tc>
        <w:tc>
          <w:tcPr>
            <w:tcW w:w="1200" w:type="dxa"/>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11.989.504,47</w:t>
            </w:r>
          </w:p>
        </w:tc>
        <w:tc>
          <w:tcPr>
            <w:tcW w:w="1200" w:type="dxa"/>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10.692.950,44</w:t>
            </w:r>
          </w:p>
        </w:tc>
      </w:tr>
      <w:tr w:rsidR="00F963DD" w:rsidRPr="00F963DD" w:rsidTr="00F963DD">
        <w:trPr>
          <w:trHeight w:val="225"/>
        </w:trPr>
        <w:tc>
          <w:tcPr>
            <w:tcW w:w="4320" w:type="dxa"/>
            <w:gridSpan w:val="3"/>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Organismos de la Seguridad Social deudor</w:t>
            </w:r>
          </w:p>
        </w:tc>
        <w:tc>
          <w:tcPr>
            <w:tcW w:w="1200" w:type="dxa"/>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48.662,04</w:t>
            </w:r>
          </w:p>
        </w:tc>
        <w:tc>
          <w:tcPr>
            <w:tcW w:w="1200" w:type="dxa"/>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40.231,14</w:t>
            </w:r>
          </w:p>
        </w:tc>
      </w:tr>
      <w:tr w:rsidR="00F963DD" w:rsidRPr="00F963DD" w:rsidTr="00F963DD">
        <w:trPr>
          <w:trHeight w:val="225"/>
        </w:trPr>
        <w:tc>
          <w:tcPr>
            <w:tcW w:w="4320" w:type="dxa"/>
            <w:gridSpan w:val="3"/>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Subvenciones oficiales pendientes de cobro</w:t>
            </w:r>
          </w:p>
        </w:tc>
        <w:tc>
          <w:tcPr>
            <w:tcW w:w="1200" w:type="dxa"/>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145.968,98</w:t>
            </w:r>
          </w:p>
        </w:tc>
        <w:tc>
          <w:tcPr>
            <w:tcW w:w="1200" w:type="dxa"/>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45.832,69</w:t>
            </w:r>
          </w:p>
        </w:tc>
      </w:tr>
      <w:tr w:rsidR="00F963DD" w:rsidRPr="00F963DD" w:rsidTr="00F963DD">
        <w:trPr>
          <w:trHeight w:val="240"/>
        </w:trPr>
        <w:tc>
          <w:tcPr>
            <w:tcW w:w="2881" w:type="dxa"/>
            <w:gridSpan w:val="2"/>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Hacienda Pública deudora por I.V.A.</w:t>
            </w:r>
          </w:p>
        </w:tc>
        <w:tc>
          <w:tcPr>
            <w:tcW w:w="1439" w:type="dxa"/>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7.425,93</w:t>
            </w:r>
          </w:p>
        </w:tc>
        <w:tc>
          <w:tcPr>
            <w:tcW w:w="1200" w:type="dxa"/>
            <w:tcBorders>
              <w:top w:val="nil"/>
              <w:left w:val="nil"/>
              <w:bottom w:val="single" w:sz="8" w:space="0" w:color="auto"/>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r w:rsidRPr="00F963DD">
              <w:rPr>
                <w:rFonts w:ascii="Lucida Bright" w:hAnsi="Lucida Bright" w:cs="Calibri"/>
                <w:color w:val="000000"/>
                <w:sz w:val="16"/>
                <w:szCs w:val="16"/>
                <w:lang w:val="es-ES"/>
              </w:rPr>
              <w:t> </w:t>
            </w:r>
          </w:p>
        </w:tc>
      </w:tr>
      <w:tr w:rsidR="00F963DD" w:rsidRPr="00F963DD" w:rsidTr="00F963DD">
        <w:trPr>
          <w:trHeight w:val="240"/>
        </w:trPr>
        <w:tc>
          <w:tcPr>
            <w:tcW w:w="1442" w:type="dxa"/>
            <w:tcBorders>
              <w:top w:val="nil"/>
              <w:left w:val="single" w:sz="8" w:space="0" w:color="auto"/>
              <w:bottom w:val="single" w:sz="8" w:space="0" w:color="auto"/>
              <w:right w:val="nil"/>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r w:rsidRPr="00F963DD">
              <w:rPr>
                <w:rFonts w:ascii="Lucida Bright" w:hAnsi="Lucida Bright" w:cs="Calibri"/>
                <w:color w:val="000000"/>
                <w:sz w:val="16"/>
                <w:szCs w:val="16"/>
                <w:lang w:val="es-ES"/>
              </w:rPr>
              <w:t> </w:t>
            </w:r>
          </w:p>
        </w:tc>
        <w:tc>
          <w:tcPr>
            <w:tcW w:w="1439" w:type="dxa"/>
            <w:tcBorders>
              <w:top w:val="nil"/>
              <w:left w:val="nil"/>
              <w:bottom w:val="single" w:sz="8" w:space="0" w:color="auto"/>
              <w:right w:val="nil"/>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r w:rsidRPr="00F963DD">
              <w:rPr>
                <w:rFonts w:ascii="Lucida Bright" w:hAnsi="Lucida Bright" w:cs="Calibri"/>
                <w:color w:val="000000"/>
                <w:sz w:val="16"/>
                <w:szCs w:val="16"/>
                <w:lang w:val="es-ES"/>
              </w:rPr>
              <w:t> </w:t>
            </w:r>
          </w:p>
        </w:tc>
        <w:tc>
          <w:tcPr>
            <w:tcW w:w="1439" w:type="dxa"/>
            <w:tcBorders>
              <w:top w:val="nil"/>
              <w:left w:val="nil"/>
              <w:bottom w:val="single" w:sz="8" w:space="0" w:color="auto"/>
              <w:right w:val="nil"/>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r w:rsidRPr="00F963DD">
              <w:rPr>
                <w:rFonts w:ascii="Lucida Bright" w:hAnsi="Lucida Bright" w:cs="Calibri"/>
                <w:color w:val="000000"/>
                <w:sz w:val="16"/>
                <w:szCs w:val="16"/>
                <w:lang w:val="es-ES"/>
              </w:rPr>
              <w:t>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12.191.561,42</w:t>
            </w:r>
          </w:p>
        </w:tc>
        <w:tc>
          <w:tcPr>
            <w:tcW w:w="1200" w:type="dxa"/>
            <w:tcBorders>
              <w:top w:val="nil"/>
              <w:left w:val="nil"/>
              <w:bottom w:val="single" w:sz="8" w:space="0" w:color="auto"/>
              <w:right w:val="single" w:sz="8" w:space="0" w:color="auto"/>
            </w:tcBorders>
            <w:shd w:val="clear" w:color="auto" w:fill="auto"/>
            <w:noWrap/>
            <w:vAlign w:val="bottom"/>
            <w:hideMark/>
          </w:tcPr>
          <w:p w:rsidR="00F963DD" w:rsidRPr="00F963DD" w:rsidRDefault="00F963DD" w:rsidP="00EE22CD">
            <w:pPr>
              <w:jc w:val="right"/>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10.7</w:t>
            </w:r>
            <w:r w:rsidR="00EE22CD">
              <w:rPr>
                <w:rFonts w:ascii="Lucida Bright" w:hAnsi="Lucida Bright" w:cs="Calibri"/>
                <w:b/>
                <w:bCs/>
                <w:color w:val="000000"/>
                <w:sz w:val="14"/>
                <w:szCs w:val="14"/>
                <w:lang w:val="es-ES"/>
              </w:rPr>
              <w:t>79</w:t>
            </w:r>
            <w:r w:rsidRPr="00F963DD">
              <w:rPr>
                <w:rFonts w:ascii="Lucida Bright" w:hAnsi="Lucida Bright" w:cs="Calibri"/>
                <w:b/>
                <w:bCs/>
                <w:color w:val="000000"/>
                <w:sz w:val="14"/>
                <w:szCs w:val="14"/>
                <w:lang w:val="es-ES"/>
              </w:rPr>
              <w:t>.</w:t>
            </w:r>
            <w:r w:rsidR="00EE22CD">
              <w:rPr>
                <w:rFonts w:ascii="Lucida Bright" w:hAnsi="Lucida Bright" w:cs="Calibri"/>
                <w:b/>
                <w:bCs/>
                <w:color w:val="000000"/>
                <w:sz w:val="14"/>
                <w:szCs w:val="14"/>
                <w:lang w:val="es-ES"/>
              </w:rPr>
              <w:t>014</w:t>
            </w:r>
            <w:r w:rsidRPr="00F963DD">
              <w:rPr>
                <w:rFonts w:ascii="Lucida Bright" w:hAnsi="Lucida Bright" w:cs="Calibri"/>
                <w:b/>
                <w:bCs/>
                <w:color w:val="000000"/>
                <w:sz w:val="14"/>
                <w:szCs w:val="14"/>
                <w:lang w:val="es-ES"/>
              </w:rPr>
              <w:t>,27</w:t>
            </w:r>
          </w:p>
        </w:tc>
      </w:tr>
    </w:tbl>
    <w:p w:rsidR="00F86C94" w:rsidRDefault="00F86C94">
      <w:pPr>
        <w:tabs>
          <w:tab w:val="right" w:pos="8364"/>
        </w:tabs>
        <w:ind w:firstLine="540"/>
        <w:jc w:val="both"/>
        <w:rPr>
          <w:bCs/>
        </w:rPr>
      </w:pPr>
    </w:p>
    <w:tbl>
      <w:tblPr>
        <w:tblW w:w="6720" w:type="dxa"/>
        <w:tblInd w:w="55" w:type="dxa"/>
        <w:tblCellMar>
          <w:left w:w="70" w:type="dxa"/>
          <w:right w:w="70" w:type="dxa"/>
        </w:tblCellMar>
        <w:tblLook w:val="04A0" w:firstRow="1" w:lastRow="0" w:firstColumn="1" w:lastColumn="0" w:noHBand="0" w:noVBand="1"/>
      </w:tblPr>
      <w:tblGrid>
        <w:gridCol w:w="1442"/>
        <w:gridCol w:w="1439"/>
        <w:gridCol w:w="1439"/>
        <w:gridCol w:w="1200"/>
        <w:gridCol w:w="1200"/>
      </w:tblGrid>
      <w:tr w:rsidR="00F963DD" w:rsidRPr="00F963DD" w:rsidTr="00F963DD">
        <w:trPr>
          <w:trHeight w:val="225"/>
        </w:trPr>
        <w:tc>
          <w:tcPr>
            <w:tcW w:w="4320" w:type="dxa"/>
            <w:gridSpan w:val="3"/>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F963DD" w:rsidRPr="00F963DD" w:rsidRDefault="00F963DD" w:rsidP="00F963DD">
            <w:pPr>
              <w:jc w:val="center"/>
              <w:rPr>
                <w:rFonts w:ascii="Lucida Bright" w:hAnsi="Lucida Bright" w:cs="Calibri"/>
                <w:b/>
                <w:bCs/>
                <w:color w:val="000000"/>
                <w:sz w:val="16"/>
                <w:szCs w:val="16"/>
                <w:lang w:val="es-ES"/>
              </w:rPr>
            </w:pPr>
            <w:r w:rsidRPr="00F963DD">
              <w:rPr>
                <w:rFonts w:ascii="Lucida Bright" w:hAnsi="Lucida Bright" w:cs="Calibri"/>
                <w:b/>
                <w:bCs/>
                <w:color w:val="000000"/>
                <w:sz w:val="16"/>
                <w:szCs w:val="16"/>
                <w:lang w:val="es-ES"/>
              </w:rPr>
              <w:t>Saldos corrientes acreedores con las Administraciones Públicas</w:t>
            </w:r>
          </w:p>
        </w:tc>
        <w:tc>
          <w:tcPr>
            <w:tcW w:w="2400" w:type="dxa"/>
            <w:gridSpan w:val="2"/>
            <w:tcBorders>
              <w:top w:val="single" w:sz="8" w:space="0" w:color="auto"/>
              <w:left w:val="nil"/>
              <w:bottom w:val="nil"/>
              <w:right w:val="single" w:sz="8" w:space="0" w:color="000000"/>
            </w:tcBorders>
            <w:shd w:val="clear" w:color="000000" w:fill="CCFFCC"/>
            <w:noWrap/>
            <w:vAlign w:val="bottom"/>
            <w:hideMark/>
          </w:tcPr>
          <w:p w:rsidR="00F963DD" w:rsidRPr="00F963DD" w:rsidRDefault="00F963DD" w:rsidP="00F963DD">
            <w:pPr>
              <w:jc w:val="center"/>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Euros</w:t>
            </w:r>
          </w:p>
        </w:tc>
      </w:tr>
      <w:tr w:rsidR="00F963DD" w:rsidRPr="00F963DD" w:rsidTr="00F963DD">
        <w:trPr>
          <w:trHeight w:val="240"/>
        </w:trPr>
        <w:tc>
          <w:tcPr>
            <w:tcW w:w="4320" w:type="dxa"/>
            <w:gridSpan w:val="3"/>
            <w:vMerge/>
            <w:tcBorders>
              <w:top w:val="single" w:sz="8" w:space="0" w:color="auto"/>
              <w:left w:val="single" w:sz="8" w:space="0" w:color="auto"/>
              <w:bottom w:val="single" w:sz="8" w:space="0" w:color="000000"/>
              <w:right w:val="single" w:sz="8" w:space="0" w:color="000000"/>
            </w:tcBorders>
            <w:vAlign w:val="center"/>
            <w:hideMark/>
          </w:tcPr>
          <w:p w:rsidR="00F963DD" w:rsidRPr="00F963DD" w:rsidRDefault="00F963DD" w:rsidP="00F963DD">
            <w:pPr>
              <w:rPr>
                <w:rFonts w:ascii="Lucida Bright" w:hAnsi="Lucida Bright" w:cs="Calibri"/>
                <w:b/>
                <w:bCs/>
                <w:color w:val="000000"/>
                <w:sz w:val="16"/>
                <w:szCs w:val="16"/>
                <w:lang w:val="es-ES"/>
              </w:rPr>
            </w:pPr>
          </w:p>
        </w:tc>
        <w:tc>
          <w:tcPr>
            <w:tcW w:w="1200" w:type="dxa"/>
            <w:tcBorders>
              <w:top w:val="nil"/>
              <w:left w:val="nil"/>
              <w:bottom w:val="single" w:sz="8" w:space="0" w:color="auto"/>
              <w:right w:val="single" w:sz="8" w:space="0" w:color="auto"/>
            </w:tcBorders>
            <w:shd w:val="clear" w:color="000000" w:fill="CCFFCC"/>
            <w:noWrap/>
            <w:vAlign w:val="bottom"/>
            <w:hideMark/>
          </w:tcPr>
          <w:p w:rsidR="00F963DD" w:rsidRPr="00F963DD" w:rsidRDefault="00F963DD" w:rsidP="00F963DD">
            <w:pPr>
              <w:jc w:val="center"/>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2023</w:t>
            </w:r>
          </w:p>
        </w:tc>
        <w:tc>
          <w:tcPr>
            <w:tcW w:w="1200" w:type="dxa"/>
            <w:tcBorders>
              <w:top w:val="nil"/>
              <w:left w:val="nil"/>
              <w:bottom w:val="single" w:sz="8" w:space="0" w:color="auto"/>
              <w:right w:val="single" w:sz="8" w:space="0" w:color="auto"/>
            </w:tcBorders>
            <w:shd w:val="clear" w:color="000000" w:fill="CCFFCC"/>
            <w:noWrap/>
            <w:vAlign w:val="bottom"/>
            <w:hideMark/>
          </w:tcPr>
          <w:p w:rsidR="00F963DD" w:rsidRPr="00F963DD" w:rsidRDefault="00F963DD" w:rsidP="00F963DD">
            <w:pPr>
              <w:jc w:val="center"/>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2022</w:t>
            </w:r>
          </w:p>
        </w:tc>
      </w:tr>
      <w:tr w:rsidR="00F963DD" w:rsidRPr="00F963DD" w:rsidTr="00F963DD">
        <w:trPr>
          <w:trHeight w:val="225"/>
        </w:trPr>
        <w:tc>
          <w:tcPr>
            <w:tcW w:w="2881" w:type="dxa"/>
            <w:gridSpan w:val="2"/>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Hacienda Pública acreedora por I.V.A.</w:t>
            </w:r>
          </w:p>
        </w:tc>
        <w:tc>
          <w:tcPr>
            <w:tcW w:w="1439" w:type="dxa"/>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1200" w:type="dxa"/>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2.032.595,09</w:t>
            </w:r>
          </w:p>
        </w:tc>
        <w:tc>
          <w:tcPr>
            <w:tcW w:w="1200" w:type="dxa"/>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1.361.237,98</w:t>
            </w:r>
          </w:p>
        </w:tc>
      </w:tr>
      <w:tr w:rsidR="00F963DD" w:rsidRPr="00F963DD" w:rsidTr="00F963DD">
        <w:trPr>
          <w:trHeight w:val="225"/>
        </w:trPr>
        <w:tc>
          <w:tcPr>
            <w:tcW w:w="4320" w:type="dxa"/>
            <w:gridSpan w:val="3"/>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Hacienda Pública acreedora por retenciones IRPF/IS</w:t>
            </w:r>
          </w:p>
        </w:tc>
        <w:tc>
          <w:tcPr>
            <w:tcW w:w="1200" w:type="dxa"/>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401.440,81</w:t>
            </w:r>
          </w:p>
        </w:tc>
        <w:tc>
          <w:tcPr>
            <w:tcW w:w="1200" w:type="dxa"/>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324.411,03</w:t>
            </w:r>
          </w:p>
        </w:tc>
      </w:tr>
      <w:tr w:rsidR="00F963DD" w:rsidRPr="00F963DD" w:rsidTr="00F963DD">
        <w:trPr>
          <w:trHeight w:val="225"/>
        </w:trPr>
        <w:tc>
          <w:tcPr>
            <w:tcW w:w="4320" w:type="dxa"/>
            <w:gridSpan w:val="3"/>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Organismos de la Seguridad Social acreedor</w:t>
            </w:r>
          </w:p>
        </w:tc>
        <w:tc>
          <w:tcPr>
            <w:tcW w:w="1200" w:type="dxa"/>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522.448,82</w:t>
            </w:r>
          </w:p>
        </w:tc>
        <w:tc>
          <w:tcPr>
            <w:tcW w:w="1200" w:type="dxa"/>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451.760,95</w:t>
            </w:r>
          </w:p>
        </w:tc>
      </w:tr>
      <w:tr w:rsidR="00F963DD" w:rsidRPr="00F963DD" w:rsidTr="00F963DD">
        <w:trPr>
          <w:trHeight w:val="240"/>
        </w:trPr>
        <w:tc>
          <w:tcPr>
            <w:tcW w:w="2881" w:type="dxa"/>
            <w:gridSpan w:val="2"/>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Subvenciones oficiales, anticipos</w:t>
            </w:r>
          </w:p>
        </w:tc>
        <w:tc>
          <w:tcPr>
            <w:tcW w:w="1439" w:type="dxa"/>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481.115,62</w:t>
            </w:r>
          </w:p>
        </w:tc>
        <w:tc>
          <w:tcPr>
            <w:tcW w:w="1200" w:type="dxa"/>
            <w:tcBorders>
              <w:top w:val="nil"/>
              <w:left w:val="nil"/>
              <w:bottom w:val="single" w:sz="8" w:space="0" w:color="auto"/>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395.128,13</w:t>
            </w:r>
          </w:p>
        </w:tc>
      </w:tr>
      <w:tr w:rsidR="00F963DD" w:rsidRPr="00F963DD" w:rsidTr="00F963DD">
        <w:trPr>
          <w:trHeight w:val="240"/>
        </w:trPr>
        <w:tc>
          <w:tcPr>
            <w:tcW w:w="1442" w:type="dxa"/>
            <w:tcBorders>
              <w:top w:val="nil"/>
              <w:left w:val="single" w:sz="8" w:space="0" w:color="auto"/>
              <w:bottom w:val="single" w:sz="8" w:space="0" w:color="auto"/>
              <w:right w:val="nil"/>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r w:rsidRPr="00F963DD">
              <w:rPr>
                <w:rFonts w:ascii="Lucida Bright" w:hAnsi="Lucida Bright" w:cs="Calibri"/>
                <w:color w:val="000000"/>
                <w:sz w:val="16"/>
                <w:szCs w:val="16"/>
                <w:lang w:val="es-ES"/>
              </w:rPr>
              <w:t> </w:t>
            </w:r>
          </w:p>
        </w:tc>
        <w:tc>
          <w:tcPr>
            <w:tcW w:w="1439" w:type="dxa"/>
            <w:tcBorders>
              <w:top w:val="nil"/>
              <w:left w:val="nil"/>
              <w:bottom w:val="single" w:sz="8" w:space="0" w:color="auto"/>
              <w:right w:val="nil"/>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r w:rsidRPr="00F963DD">
              <w:rPr>
                <w:rFonts w:ascii="Lucida Bright" w:hAnsi="Lucida Bright" w:cs="Calibri"/>
                <w:color w:val="000000"/>
                <w:sz w:val="16"/>
                <w:szCs w:val="16"/>
                <w:lang w:val="es-ES"/>
              </w:rPr>
              <w:t> </w:t>
            </w:r>
          </w:p>
        </w:tc>
        <w:tc>
          <w:tcPr>
            <w:tcW w:w="1439" w:type="dxa"/>
            <w:tcBorders>
              <w:top w:val="nil"/>
              <w:left w:val="nil"/>
              <w:bottom w:val="single" w:sz="8" w:space="0" w:color="auto"/>
              <w:right w:val="nil"/>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r w:rsidRPr="00F963DD">
              <w:rPr>
                <w:rFonts w:ascii="Lucida Bright" w:hAnsi="Lucida Bright" w:cs="Calibri"/>
                <w:color w:val="000000"/>
                <w:sz w:val="16"/>
                <w:szCs w:val="16"/>
                <w:lang w:val="es-ES"/>
              </w:rPr>
              <w:t>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F963DD" w:rsidRPr="00F963DD" w:rsidRDefault="00F963DD" w:rsidP="00142EF3">
            <w:pPr>
              <w:jc w:val="right"/>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3.43</w:t>
            </w:r>
            <w:r w:rsidR="00142EF3">
              <w:rPr>
                <w:rFonts w:ascii="Lucida Bright" w:hAnsi="Lucida Bright" w:cs="Calibri"/>
                <w:b/>
                <w:bCs/>
                <w:color w:val="000000"/>
                <w:sz w:val="14"/>
                <w:szCs w:val="14"/>
                <w:lang w:val="es-ES"/>
              </w:rPr>
              <w:t>7</w:t>
            </w:r>
            <w:r w:rsidRPr="00F963DD">
              <w:rPr>
                <w:rFonts w:ascii="Lucida Bright" w:hAnsi="Lucida Bright" w:cs="Calibri"/>
                <w:b/>
                <w:bCs/>
                <w:color w:val="000000"/>
                <w:sz w:val="14"/>
                <w:szCs w:val="14"/>
                <w:lang w:val="es-ES"/>
              </w:rPr>
              <w:t>.6</w:t>
            </w:r>
            <w:r w:rsidR="00142EF3">
              <w:rPr>
                <w:rFonts w:ascii="Lucida Bright" w:hAnsi="Lucida Bright" w:cs="Calibri"/>
                <w:b/>
                <w:bCs/>
                <w:color w:val="000000"/>
                <w:sz w:val="14"/>
                <w:szCs w:val="14"/>
                <w:lang w:val="es-ES"/>
              </w:rPr>
              <w:t>00</w:t>
            </w:r>
            <w:r w:rsidRPr="00F963DD">
              <w:rPr>
                <w:rFonts w:ascii="Lucida Bright" w:hAnsi="Lucida Bright" w:cs="Calibri"/>
                <w:b/>
                <w:bCs/>
                <w:color w:val="000000"/>
                <w:sz w:val="14"/>
                <w:szCs w:val="14"/>
                <w:lang w:val="es-ES"/>
              </w:rPr>
              <w:t>,34</w:t>
            </w:r>
          </w:p>
        </w:tc>
        <w:tc>
          <w:tcPr>
            <w:tcW w:w="1200" w:type="dxa"/>
            <w:tcBorders>
              <w:top w:val="nil"/>
              <w:left w:val="nil"/>
              <w:bottom w:val="single" w:sz="8" w:space="0" w:color="auto"/>
              <w:right w:val="single" w:sz="8" w:space="0" w:color="auto"/>
            </w:tcBorders>
            <w:shd w:val="clear" w:color="auto" w:fill="auto"/>
            <w:noWrap/>
            <w:vAlign w:val="bottom"/>
            <w:hideMark/>
          </w:tcPr>
          <w:p w:rsidR="00F963DD" w:rsidRPr="00F963DD" w:rsidRDefault="00F963DD" w:rsidP="00142EF3">
            <w:pPr>
              <w:jc w:val="right"/>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2.53</w:t>
            </w:r>
            <w:r w:rsidR="00142EF3">
              <w:rPr>
                <w:rFonts w:ascii="Lucida Bright" w:hAnsi="Lucida Bright" w:cs="Calibri"/>
                <w:b/>
                <w:bCs/>
                <w:color w:val="000000"/>
                <w:sz w:val="14"/>
                <w:szCs w:val="14"/>
                <w:lang w:val="es-ES"/>
              </w:rPr>
              <w:t>2</w:t>
            </w:r>
            <w:r w:rsidRPr="00F963DD">
              <w:rPr>
                <w:rFonts w:ascii="Lucida Bright" w:hAnsi="Lucida Bright" w:cs="Calibri"/>
                <w:b/>
                <w:bCs/>
                <w:color w:val="000000"/>
                <w:sz w:val="14"/>
                <w:szCs w:val="14"/>
                <w:lang w:val="es-ES"/>
              </w:rPr>
              <w:t>.5</w:t>
            </w:r>
            <w:r w:rsidR="00142EF3">
              <w:rPr>
                <w:rFonts w:ascii="Lucida Bright" w:hAnsi="Lucida Bright" w:cs="Calibri"/>
                <w:b/>
                <w:bCs/>
                <w:color w:val="000000"/>
                <w:sz w:val="14"/>
                <w:szCs w:val="14"/>
                <w:lang w:val="es-ES"/>
              </w:rPr>
              <w:t>38</w:t>
            </w:r>
            <w:r w:rsidRPr="00F963DD">
              <w:rPr>
                <w:rFonts w:ascii="Lucida Bright" w:hAnsi="Lucida Bright" w:cs="Calibri"/>
                <w:b/>
                <w:bCs/>
                <w:color w:val="000000"/>
                <w:sz w:val="14"/>
                <w:szCs w:val="14"/>
                <w:lang w:val="es-ES"/>
              </w:rPr>
              <w:t>,09</w:t>
            </w:r>
          </w:p>
        </w:tc>
      </w:tr>
    </w:tbl>
    <w:p w:rsidR="00F963DD" w:rsidRDefault="00F963DD">
      <w:pPr>
        <w:tabs>
          <w:tab w:val="right" w:pos="8364"/>
        </w:tabs>
        <w:ind w:firstLine="540"/>
        <w:jc w:val="both"/>
        <w:rPr>
          <w:bCs/>
        </w:rPr>
      </w:pPr>
    </w:p>
    <w:p w:rsidR="00F963DD" w:rsidRDefault="00F963DD">
      <w:pPr>
        <w:tabs>
          <w:tab w:val="right" w:pos="8364"/>
        </w:tabs>
        <w:ind w:firstLine="540"/>
        <w:jc w:val="both"/>
        <w:rPr>
          <w:rFonts w:ascii="NewBaskerville" w:hAnsi="NewBaskerville"/>
          <w:bCs/>
          <w:u w:val="single"/>
        </w:rPr>
      </w:pPr>
    </w:p>
    <w:p w:rsidR="00F963DD" w:rsidRDefault="00F963DD">
      <w:pPr>
        <w:tabs>
          <w:tab w:val="right" w:pos="8364"/>
        </w:tabs>
        <w:ind w:firstLine="540"/>
        <w:jc w:val="both"/>
        <w:rPr>
          <w:rFonts w:ascii="NewBaskerville" w:hAnsi="NewBaskerville"/>
          <w:bCs/>
          <w:u w:val="single"/>
        </w:rPr>
      </w:pPr>
    </w:p>
    <w:p w:rsidR="00F963DD" w:rsidRDefault="00F963DD">
      <w:pPr>
        <w:tabs>
          <w:tab w:val="right" w:pos="8364"/>
        </w:tabs>
        <w:ind w:firstLine="540"/>
        <w:jc w:val="both"/>
        <w:rPr>
          <w:rFonts w:ascii="NewBaskerville" w:hAnsi="NewBaskerville"/>
          <w:bCs/>
          <w:u w:val="single"/>
        </w:rPr>
        <w:sectPr w:rsidR="00F963DD" w:rsidSect="00790C4F">
          <w:pgSz w:w="11907" w:h="16840" w:code="9"/>
          <w:pgMar w:top="1701" w:right="1418" w:bottom="1701" w:left="1985" w:header="567" w:footer="720" w:gutter="0"/>
          <w:cols w:space="720"/>
          <w:docGrid w:linePitch="272"/>
        </w:sectPr>
      </w:pPr>
    </w:p>
    <w:p w:rsidR="00F963DD" w:rsidRDefault="00F963DD">
      <w:pPr>
        <w:tabs>
          <w:tab w:val="right" w:pos="8364"/>
        </w:tabs>
        <w:ind w:firstLine="540"/>
        <w:jc w:val="both"/>
        <w:rPr>
          <w:rFonts w:ascii="NewBaskerville" w:hAnsi="NewBaskerville"/>
          <w:bCs/>
          <w:u w:val="single"/>
        </w:rPr>
      </w:pPr>
    </w:p>
    <w:p w:rsidR="00F86C94" w:rsidRDefault="00F86C94">
      <w:pPr>
        <w:tabs>
          <w:tab w:val="right" w:pos="8364"/>
        </w:tabs>
        <w:ind w:firstLine="540"/>
        <w:jc w:val="both"/>
        <w:rPr>
          <w:rFonts w:ascii="NewBaskerville" w:hAnsi="NewBaskerville"/>
          <w:bCs/>
          <w:u w:val="single"/>
        </w:rPr>
      </w:pPr>
      <w:r w:rsidRPr="00C7435A">
        <w:rPr>
          <w:rFonts w:ascii="NewBaskerville" w:hAnsi="NewBaskerville"/>
          <w:bCs/>
          <w:u w:val="single"/>
        </w:rPr>
        <w:t>Conciliación resultado contable y base imponible fiscal.</w:t>
      </w:r>
    </w:p>
    <w:p w:rsidR="00CA21B8" w:rsidRPr="00C7435A" w:rsidRDefault="00CA21B8">
      <w:pPr>
        <w:tabs>
          <w:tab w:val="right" w:pos="8364"/>
        </w:tabs>
        <w:ind w:firstLine="540"/>
        <w:jc w:val="both"/>
        <w:rPr>
          <w:rFonts w:ascii="NewBaskerville" w:hAnsi="NewBaskerville"/>
          <w:bCs/>
        </w:rPr>
      </w:pPr>
    </w:p>
    <w:p w:rsidR="00C7435A" w:rsidRDefault="0010198F" w:rsidP="00C7435A">
      <w:pPr>
        <w:tabs>
          <w:tab w:val="right" w:pos="8364"/>
        </w:tabs>
        <w:ind w:firstLine="540"/>
        <w:jc w:val="both"/>
        <w:rPr>
          <w:rFonts w:ascii="NewBaskerville" w:hAnsi="NewBaskerville"/>
          <w:bCs/>
        </w:rPr>
      </w:pPr>
      <w:r w:rsidRPr="00C7435A">
        <w:rPr>
          <w:rFonts w:ascii="NewBaskerville" w:hAnsi="NewBaskerville"/>
          <w:bCs/>
        </w:rPr>
        <w:t>La conciliación entre los ingresos y gastos del ejercicio y la base imponible del Impuesto sobre Sociedades es la siguiente:</w:t>
      </w:r>
    </w:p>
    <w:tbl>
      <w:tblPr>
        <w:tblW w:w="4880" w:type="pct"/>
        <w:tblLayout w:type="fixed"/>
        <w:tblCellMar>
          <w:left w:w="70" w:type="dxa"/>
          <w:right w:w="70" w:type="dxa"/>
        </w:tblCellMar>
        <w:tblLook w:val="04A0" w:firstRow="1" w:lastRow="0" w:firstColumn="1" w:lastColumn="0" w:noHBand="0" w:noVBand="1"/>
      </w:tblPr>
      <w:tblGrid>
        <w:gridCol w:w="1608"/>
        <w:gridCol w:w="1624"/>
        <w:gridCol w:w="938"/>
        <w:gridCol w:w="1309"/>
        <w:gridCol w:w="1254"/>
        <w:gridCol w:w="1296"/>
        <w:gridCol w:w="1254"/>
        <w:gridCol w:w="1275"/>
        <w:gridCol w:w="130"/>
        <w:gridCol w:w="1148"/>
        <w:gridCol w:w="329"/>
        <w:gridCol w:w="1087"/>
      </w:tblGrid>
      <w:tr w:rsidR="00F963DD" w:rsidRPr="00F963DD" w:rsidTr="00083185">
        <w:trPr>
          <w:trHeight w:val="20"/>
        </w:trPr>
        <w:tc>
          <w:tcPr>
            <w:tcW w:w="4033" w:type="pct"/>
            <w:gridSpan w:val="9"/>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b/>
                <w:bCs/>
                <w:color w:val="000000"/>
                <w:sz w:val="18"/>
                <w:szCs w:val="18"/>
                <w:lang w:val="es-ES"/>
              </w:rPr>
            </w:pPr>
            <w:r w:rsidRPr="00F963DD">
              <w:rPr>
                <w:rFonts w:ascii="Lucida Bright" w:hAnsi="Lucida Bright" w:cs="Calibri"/>
                <w:b/>
                <w:bCs/>
                <w:color w:val="000000"/>
                <w:sz w:val="18"/>
                <w:szCs w:val="18"/>
                <w:lang w:val="es-ES"/>
              </w:rPr>
              <w:t>Ejercicio 2023. Conciliación resultado contable y base imponible fiscal.</w:t>
            </w:r>
          </w:p>
        </w:tc>
        <w:tc>
          <w:tcPr>
            <w:tcW w:w="557"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p>
        </w:tc>
        <w:tc>
          <w:tcPr>
            <w:tcW w:w="410" w:type="pct"/>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6"/>
                <w:szCs w:val="16"/>
                <w:lang w:val="es-ES"/>
              </w:rPr>
            </w:pPr>
          </w:p>
        </w:tc>
      </w:tr>
      <w:tr w:rsidR="00F963DD" w:rsidRPr="00F963DD" w:rsidTr="00083185">
        <w:trPr>
          <w:trHeight w:val="20"/>
        </w:trPr>
        <w:tc>
          <w:tcPr>
            <w:tcW w:w="607" w:type="pct"/>
            <w:tcBorders>
              <w:top w:val="single" w:sz="8" w:space="0" w:color="auto"/>
              <w:left w:val="single" w:sz="8" w:space="0" w:color="auto"/>
              <w:bottom w:val="nil"/>
              <w:right w:val="nil"/>
            </w:tcBorders>
            <w:shd w:val="clear" w:color="000000" w:fill="CCFFCC"/>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613" w:type="pct"/>
            <w:tcBorders>
              <w:top w:val="single" w:sz="8" w:space="0" w:color="auto"/>
              <w:left w:val="nil"/>
              <w:bottom w:val="nil"/>
              <w:right w:val="nil"/>
            </w:tcBorders>
            <w:shd w:val="clear" w:color="000000" w:fill="CCFFCC"/>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354" w:type="pct"/>
            <w:tcBorders>
              <w:top w:val="single" w:sz="8" w:space="0" w:color="auto"/>
              <w:left w:val="nil"/>
              <w:bottom w:val="nil"/>
              <w:right w:val="single" w:sz="8" w:space="0" w:color="auto"/>
            </w:tcBorders>
            <w:shd w:val="clear" w:color="000000" w:fill="CCFFCC"/>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3427" w:type="pct"/>
            <w:gridSpan w:val="9"/>
            <w:tcBorders>
              <w:top w:val="single" w:sz="8" w:space="0" w:color="auto"/>
              <w:left w:val="nil"/>
              <w:bottom w:val="single" w:sz="8" w:space="0" w:color="auto"/>
              <w:right w:val="single" w:sz="8" w:space="0" w:color="000000"/>
            </w:tcBorders>
            <w:shd w:val="clear" w:color="000000" w:fill="CCFFCC"/>
            <w:vAlign w:val="bottom"/>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Euros</w:t>
            </w:r>
          </w:p>
        </w:tc>
      </w:tr>
      <w:tr w:rsidR="00083185" w:rsidRPr="00F963DD" w:rsidTr="00083185">
        <w:trPr>
          <w:trHeight w:val="20"/>
        </w:trPr>
        <w:tc>
          <w:tcPr>
            <w:tcW w:w="607" w:type="pct"/>
            <w:tcBorders>
              <w:top w:val="nil"/>
              <w:left w:val="single" w:sz="8" w:space="0" w:color="auto"/>
              <w:bottom w:val="single" w:sz="8" w:space="0" w:color="auto"/>
              <w:right w:val="nil"/>
            </w:tcBorders>
            <w:shd w:val="clear" w:color="000000" w:fill="CCFFCC"/>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613" w:type="pct"/>
            <w:tcBorders>
              <w:top w:val="nil"/>
              <w:left w:val="nil"/>
              <w:bottom w:val="single" w:sz="8" w:space="0" w:color="auto"/>
              <w:right w:val="nil"/>
            </w:tcBorders>
            <w:shd w:val="clear" w:color="000000" w:fill="CCFFCC"/>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354" w:type="pct"/>
            <w:tcBorders>
              <w:top w:val="nil"/>
              <w:left w:val="nil"/>
              <w:bottom w:val="single" w:sz="8" w:space="0" w:color="auto"/>
              <w:right w:val="single" w:sz="8" w:space="0" w:color="auto"/>
            </w:tcBorders>
            <w:shd w:val="clear" w:color="000000" w:fill="CCFFCC"/>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967" w:type="pct"/>
            <w:gridSpan w:val="2"/>
            <w:tcBorders>
              <w:top w:val="single" w:sz="8" w:space="0" w:color="auto"/>
              <w:left w:val="nil"/>
              <w:bottom w:val="single" w:sz="8" w:space="0" w:color="auto"/>
              <w:right w:val="single" w:sz="8" w:space="0" w:color="auto"/>
            </w:tcBorders>
            <w:shd w:val="clear" w:color="000000" w:fill="CCFFCC"/>
            <w:vAlign w:val="bottom"/>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Cuenta de Pérdidas y Ganancias</w:t>
            </w:r>
          </w:p>
        </w:tc>
        <w:tc>
          <w:tcPr>
            <w:tcW w:w="962" w:type="pct"/>
            <w:gridSpan w:val="2"/>
            <w:tcBorders>
              <w:top w:val="single" w:sz="8" w:space="0" w:color="auto"/>
              <w:left w:val="nil"/>
              <w:bottom w:val="single" w:sz="8" w:space="0" w:color="auto"/>
              <w:right w:val="single" w:sz="8" w:space="0" w:color="auto"/>
            </w:tcBorders>
            <w:shd w:val="clear" w:color="000000" w:fill="CCFFCC"/>
            <w:vAlign w:val="bottom"/>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Ingresos y Gastos Directamente Imputados al Patrimonio</w:t>
            </w:r>
          </w:p>
        </w:tc>
        <w:tc>
          <w:tcPr>
            <w:tcW w:w="963" w:type="pct"/>
            <w:gridSpan w:val="3"/>
            <w:tcBorders>
              <w:top w:val="single" w:sz="8" w:space="0" w:color="auto"/>
              <w:left w:val="nil"/>
              <w:bottom w:val="single" w:sz="8" w:space="0" w:color="auto"/>
              <w:right w:val="single" w:sz="8" w:space="0" w:color="auto"/>
            </w:tcBorders>
            <w:shd w:val="clear" w:color="000000" w:fill="CCFFCC"/>
            <w:vAlign w:val="bottom"/>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Reservas</w:t>
            </w:r>
          </w:p>
        </w:tc>
        <w:tc>
          <w:tcPr>
            <w:tcW w:w="534" w:type="pct"/>
            <w:gridSpan w:val="2"/>
            <w:tcBorders>
              <w:top w:val="nil"/>
              <w:left w:val="nil"/>
              <w:bottom w:val="single" w:sz="8" w:space="0" w:color="auto"/>
              <w:right w:val="single" w:sz="8" w:space="0" w:color="auto"/>
            </w:tcBorders>
            <w:shd w:val="clear" w:color="000000" w:fill="CCFFCC"/>
            <w:noWrap/>
            <w:vAlign w:val="bottom"/>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Total</w:t>
            </w:r>
          </w:p>
        </w:tc>
      </w:tr>
      <w:tr w:rsidR="00083185" w:rsidRPr="00F963DD" w:rsidTr="00083185">
        <w:trPr>
          <w:trHeight w:val="165"/>
        </w:trPr>
        <w:tc>
          <w:tcPr>
            <w:tcW w:w="157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Resultado contable antes del Impuesto sobre Sociedades</w:t>
            </w:r>
          </w:p>
        </w:tc>
        <w:tc>
          <w:tcPr>
            <w:tcW w:w="96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47.050.375,18</w:t>
            </w:r>
          </w:p>
        </w:tc>
        <w:tc>
          <w:tcPr>
            <w:tcW w:w="96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1.196.160,57</w:t>
            </w:r>
          </w:p>
        </w:tc>
        <w:tc>
          <w:tcPr>
            <w:tcW w:w="96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-81.228,02</w:t>
            </w:r>
          </w:p>
        </w:tc>
        <w:tc>
          <w:tcPr>
            <w:tcW w:w="534"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48.165.307,73</w:t>
            </w:r>
          </w:p>
        </w:tc>
      </w:tr>
      <w:tr w:rsidR="00083185" w:rsidRPr="00F963DD" w:rsidTr="00083185">
        <w:trPr>
          <w:trHeight w:val="165"/>
        </w:trPr>
        <w:tc>
          <w:tcPr>
            <w:tcW w:w="1573" w:type="pct"/>
            <w:gridSpan w:val="3"/>
            <w:vMerge/>
            <w:tcBorders>
              <w:top w:val="single" w:sz="8" w:space="0" w:color="auto"/>
              <w:left w:val="single" w:sz="8" w:space="0" w:color="auto"/>
              <w:bottom w:val="single" w:sz="8" w:space="0" w:color="000000"/>
              <w:right w:val="single" w:sz="8" w:space="0" w:color="000000"/>
            </w:tcBorders>
            <w:vAlign w:val="center"/>
            <w:hideMark/>
          </w:tcPr>
          <w:p w:rsidR="00F963DD" w:rsidRPr="00F963DD" w:rsidRDefault="00F963DD" w:rsidP="00F963DD">
            <w:pPr>
              <w:rPr>
                <w:rFonts w:ascii="Lucida Bright" w:hAnsi="Lucida Bright" w:cs="Calibri"/>
                <w:color w:val="000000"/>
                <w:sz w:val="14"/>
                <w:szCs w:val="14"/>
                <w:lang w:val="es-ES"/>
              </w:rPr>
            </w:pPr>
          </w:p>
        </w:tc>
        <w:tc>
          <w:tcPr>
            <w:tcW w:w="967" w:type="pct"/>
            <w:gridSpan w:val="2"/>
            <w:vMerge/>
            <w:tcBorders>
              <w:top w:val="single" w:sz="8" w:space="0" w:color="auto"/>
              <w:left w:val="single" w:sz="8" w:space="0" w:color="auto"/>
              <w:bottom w:val="single" w:sz="8" w:space="0" w:color="000000"/>
              <w:right w:val="single" w:sz="8" w:space="0" w:color="000000"/>
            </w:tcBorders>
            <w:vAlign w:val="center"/>
            <w:hideMark/>
          </w:tcPr>
          <w:p w:rsidR="00F963DD" w:rsidRPr="00F963DD" w:rsidRDefault="00F963DD" w:rsidP="00F963DD">
            <w:pPr>
              <w:rPr>
                <w:rFonts w:ascii="Lucida Bright" w:hAnsi="Lucida Bright" w:cs="Calibri"/>
                <w:color w:val="000000"/>
                <w:sz w:val="14"/>
                <w:szCs w:val="14"/>
                <w:lang w:val="es-ES"/>
              </w:rPr>
            </w:pPr>
          </w:p>
        </w:tc>
        <w:tc>
          <w:tcPr>
            <w:tcW w:w="962" w:type="pct"/>
            <w:gridSpan w:val="2"/>
            <w:vMerge/>
            <w:tcBorders>
              <w:top w:val="single" w:sz="8" w:space="0" w:color="auto"/>
              <w:left w:val="single" w:sz="8" w:space="0" w:color="auto"/>
              <w:bottom w:val="single" w:sz="8" w:space="0" w:color="000000"/>
              <w:right w:val="single" w:sz="8" w:space="0" w:color="000000"/>
            </w:tcBorders>
            <w:vAlign w:val="center"/>
            <w:hideMark/>
          </w:tcPr>
          <w:p w:rsidR="00F963DD" w:rsidRPr="00F963DD" w:rsidRDefault="00F963DD" w:rsidP="00F963DD">
            <w:pPr>
              <w:rPr>
                <w:rFonts w:ascii="Lucida Bright" w:hAnsi="Lucida Bright" w:cs="Calibri"/>
                <w:color w:val="000000"/>
                <w:sz w:val="14"/>
                <w:szCs w:val="14"/>
                <w:lang w:val="es-ES"/>
              </w:rPr>
            </w:pPr>
          </w:p>
        </w:tc>
        <w:tc>
          <w:tcPr>
            <w:tcW w:w="963" w:type="pct"/>
            <w:gridSpan w:val="3"/>
            <w:vMerge/>
            <w:tcBorders>
              <w:top w:val="single" w:sz="8" w:space="0" w:color="auto"/>
              <w:left w:val="single" w:sz="8" w:space="0" w:color="auto"/>
              <w:bottom w:val="single" w:sz="8" w:space="0" w:color="000000"/>
              <w:right w:val="single" w:sz="8" w:space="0" w:color="000000"/>
            </w:tcBorders>
            <w:vAlign w:val="center"/>
            <w:hideMark/>
          </w:tcPr>
          <w:p w:rsidR="00F963DD" w:rsidRPr="00F963DD" w:rsidRDefault="00F963DD" w:rsidP="00F963DD">
            <w:pPr>
              <w:rPr>
                <w:rFonts w:ascii="Lucida Bright" w:hAnsi="Lucida Bright" w:cs="Calibri"/>
                <w:color w:val="000000"/>
                <w:sz w:val="14"/>
                <w:szCs w:val="14"/>
                <w:lang w:val="es-ES"/>
              </w:rPr>
            </w:pPr>
          </w:p>
        </w:tc>
        <w:tc>
          <w:tcPr>
            <w:tcW w:w="534" w:type="pct"/>
            <w:gridSpan w:val="2"/>
            <w:vMerge/>
            <w:tcBorders>
              <w:top w:val="nil"/>
              <w:left w:val="single" w:sz="8" w:space="0" w:color="auto"/>
              <w:bottom w:val="single" w:sz="8" w:space="0" w:color="000000"/>
              <w:right w:val="single" w:sz="8" w:space="0" w:color="auto"/>
            </w:tcBorders>
            <w:vAlign w:val="center"/>
            <w:hideMark/>
          </w:tcPr>
          <w:p w:rsidR="00F963DD" w:rsidRPr="00F963DD" w:rsidRDefault="00F963DD" w:rsidP="00F963DD">
            <w:pPr>
              <w:rPr>
                <w:rFonts w:ascii="Lucida Bright" w:hAnsi="Lucida Bright" w:cs="Calibri"/>
                <w:color w:val="000000"/>
                <w:sz w:val="14"/>
                <w:szCs w:val="14"/>
                <w:lang w:val="es-ES"/>
              </w:rPr>
            </w:pPr>
          </w:p>
        </w:tc>
      </w:tr>
      <w:tr w:rsidR="00083185" w:rsidRPr="00F963DD" w:rsidTr="00083185">
        <w:trPr>
          <w:trHeight w:val="20"/>
        </w:trPr>
        <w:tc>
          <w:tcPr>
            <w:tcW w:w="1573" w:type="pct"/>
            <w:gridSpan w:val="3"/>
            <w:vMerge/>
            <w:tcBorders>
              <w:top w:val="single" w:sz="8" w:space="0" w:color="auto"/>
              <w:left w:val="single" w:sz="8" w:space="0" w:color="auto"/>
              <w:bottom w:val="single" w:sz="8" w:space="0" w:color="000000"/>
              <w:right w:val="single" w:sz="8" w:space="0" w:color="000000"/>
            </w:tcBorders>
            <w:vAlign w:val="center"/>
            <w:hideMark/>
          </w:tcPr>
          <w:p w:rsidR="00F963DD" w:rsidRPr="00F963DD" w:rsidRDefault="00F963DD" w:rsidP="00F963DD">
            <w:pPr>
              <w:rPr>
                <w:rFonts w:ascii="Lucida Bright" w:hAnsi="Lucida Bright" w:cs="Calibri"/>
                <w:color w:val="000000"/>
                <w:sz w:val="14"/>
                <w:szCs w:val="14"/>
                <w:lang w:val="es-ES"/>
              </w:rPr>
            </w:pPr>
          </w:p>
        </w:tc>
        <w:tc>
          <w:tcPr>
            <w:tcW w:w="49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xml:space="preserve">Aumentos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Disminuciones</w:t>
            </w:r>
          </w:p>
        </w:tc>
        <w:tc>
          <w:tcPr>
            <w:tcW w:w="489"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xml:space="preserve">Aumentos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Disminuciones</w:t>
            </w:r>
          </w:p>
        </w:tc>
        <w:tc>
          <w:tcPr>
            <w:tcW w:w="481" w:type="pct"/>
            <w:tcBorders>
              <w:top w:val="nil"/>
              <w:left w:val="nil"/>
              <w:bottom w:val="single" w:sz="4" w:space="0" w:color="auto"/>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xml:space="preserve">Aumentos </w:t>
            </w:r>
          </w:p>
        </w:tc>
        <w:tc>
          <w:tcPr>
            <w:tcW w:w="482" w:type="pct"/>
            <w:gridSpan w:val="2"/>
            <w:tcBorders>
              <w:top w:val="nil"/>
              <w:left w:val="nil"/>
              <w:bottom w:val="single" w:sz="4" w:space="0" w:color="auto"/>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Disminuciones</w:t>
            </w:r>
          </w:p>
        </w:tc>
        <w:tc>
          <w:tcPr>
            <w:tcW w:w="534" w:type="pct"/>
            <w:gridSpan w:val="2"/>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607" w:type="pct"/>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613" w:type="pct"/>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single" w:sz="8" w:space="0" w:color="auto"/>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single" w:sz="8" w:space="0" w:color="auto"/>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single" w:sz="8" w:space="0" w:color="auto"/>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single" w:sz="8" w:space="0" w:color="auto"/>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single" w:sz="8" w:space="0" w:color="auto"/>
              <w:left w:val="single" w:sz="8" w:space="0" w:color="auto"/>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center"/>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Diferencias permanentes:</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1573" w:type="pct"/>
            <w:gridSpan w:val="3"/>
            <w:tcBorders>
              <w:top w:val="nil"/>
              <w:left w:val="single" w:sz="8" w:space="0" w:color="auto"/>
              <w:bottom w:val="nil"/>
              <w:right w:val="single" w:sz="8" w:space="0" w:color="000000"/>
            </w:tcBorders>
            <w:shd w:val="clear" w:color="auto" w:fill="auto"/>
            <w:noWrap/>
            <w:vAlign w:val="center"/>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 xml:space="preserve">Dotación </w:t>
            </w:r>
            <w:proofErr w:type="spellStart"/>
            <w:r w:rsidRPr="00F963DD">
              <w:rPr>
                <w:rFonts w:ascii="Lucida Bright" w:hAnsi="Lucida Bright" w:cs="Calibri"/>
                <w:i/>
                <w:iCs/>
                <w:color w:val="000000"/>
                <w:sz w:val="14"/>
                <w:szCs w:val="14"/>
                <w:lang w:val="es-ES"/>
              </w:rPr>
              <w:t>amort</w:t>
            </w:r>
            <w:proofErr w:type="spellEnd"/>
            <w:r w:rsidRPr="00F963DD">
              <w:rPr>
                <w:rFonts w:ascii="Lucida Bright" w:hAnsi="Lucida Bright" w:cs="Calibri"/>
                <w:i/>
                <w:iCs/>
                <w:color w:val="000000"/>
                <w:sz w:val="14"/>
                <w:szCs w:val="14"/>
                <w:lang w:val="es-ES"/>
              </w:rPr>
              <w:t xml:space="preserve"> superior Plan Especial</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D01D3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1.036.805,1</w:t>
            </w:r>
            <w:r w:rsidR="00D01D3D">
              <w:rPr>
                <w:rFonts w:ascii="Lucida Bright" w:hAnsi="Lucida Bright" w:cs="Calibri"/>
                <w:color w:val="000000"/>
                <w:sz w:val="14"/>
                <w:szCs w:val="14"/>
                <w:lang w:val="es-ES"/>
              </w:rPr>
              <w:t>3</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D01D3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1.036.805,1</w:t>
            </w:r>
            <w:r w:rsidR="00D01D3D">
              <w:rPr>
                <w:rFonts w:ascii="Lucida Bright" w:hAnsi="Lucida Bright" w:cs="Calibri"/>
                <w:color w:val="000000"/>
                <w:sz w:val="14"/>
                <w:szCs w:val="14"/>
                <w:lang w:val="es-ES"/>
              </w:rPr>
              <w:t>3</w:t>
            </w:r>
          </w:p>
        </w:tc>
      </w:tr>
      <w:tr w:rsidR="00083185" w:rsidRPr="00F963DD" w:rsidTr="00083185">
        <w:trPr>
          <w:trHeight w:val="20"/>
        </w:trPr>
        <w:tc>
          <w:tcPr>
            <w:tcW w:w="1573" w:type="pct"/>
            <w:gridSpan w:val="3"/>
            <w:tcBorders>
              <w:top w:val="nil"/>
              <w:left w:val="single" w:sz="8" w:space="0" w:color="auto"/>
              <w:bottom w:val="nil"/>
              <w:right w:val="single" w:sz="8" w:space="0" w:color="000000"/>
            </w:tcBorders>
            <w:shd w:val="clear" w:color="auto" w:fill="auto"/>
            <w:noWrap/>
            <w:vAlign w:val="center"/>
            <w:hideMark/>
          </w:tcPr>
          <w:p w:rsidR="00F963DD" w:rsidRPr="00F963DD" w:rsidRDefault="00F963DD" w:rsidP="00F963DD">
            <w:pPr>
              <w:rPr>
                <w:rFonts w:ascii="Lucida Bright" w:hAnsi="Lucida Bright" w:cs="Calibri"/>
                <w:i/>
                <w:iCs/>
                <w:color w:val="000000"/>
                <w:sz w:val="14"/>
                <w:szCs w:val="14"/>
                <w:lang w:val="es-ES"/>
              </w:rPr>
            </w:pPr>
            <w:proofErr w:type="spellStart"/>
            <w:r w:rsidRPr="00F963DD">
              <w:rPr>
                <w:rFonts w:ascii="Lucida Bright" w:hAnsi="Lucida Bright" w:cs="Calibri"/>
                <w:i/>
                <w:iCs/>
                <w:color w:val="000000"/>
                <w:sz w:val="14"/>
                <w:szCs w:val="14"/>
                <w:lang w:val="es-ES"/>
              </w:rPr>
              <w:t>Ing</w:t>
            </w:r>
            <w:proofErr w:type="spellEnd"/>
            <w:r w:rsidRPr="00F963DD">
              <w:rPr>
                <w:rFonts w:ascii="Lucida Bright" w:hAnsi="Lucida Bright" w:cs="Calibri"/>
                <w:i/>
                <w:iCs/>
                <w:color w:val="000000"/>
                <w:sz w:val="14"/>
                <w:szCs w:val="14"/>
                <w:lang w:val="es-ES"/>
              </w:rPr>
              <w:t xml:space="preserve"> </w:t>
            </w:r>
            <w:proofErr w:type="spellStart"/>
            <w:r w:rsidRPr="00F963DD">
              <w:rPr>
                <w:rFonts w:ascii="Lucida Bright" w:hAnsi="Lucida Bright" w:cs="Calibri"/>
                <w:i/>
                <w:iCs/>
                <w:color w:val="000000"/>
                <w:sz w:val="14"/>
                <w:szCs w:val="14"/>
                <w:lang w:val="es-ES"/>
              </w:rPr>
              <w:t>trasp</w:t>
            </w:r>
            <w:proofErr w:type="spellEnd"/>
            <w:r w:rsidRPr="00F963DD">
              <w:rPr>
                <w:rFonts w:ascii="Lucida Bright" w:hAnsi="Lucida Bright" w:cs="Calibri"/>
                <w:i/>
                <w:iCs/>
                <w:color w:val="000000"/>
                <w:sz w:val="14"/>
                <w:szCs w:val="14"/>
                <w:lang w:val="es-ES"/>
              </w:rPr>
              <w:t xml:space="preserve"> </w:t>
            </w:r>
            <w:proofErr w:type="spellStart"/>
            <w:r w:rsidRPr="00F963DD">
              <w:rPr>
                <w:rFonts w:ascii="Lucida Bright" w:hAnsi="Lucida Bright" w:cs="Calibri"/>
                <w:i/>
                <w:iCs/>
                <w:color w:val="000000"/>
                <w:sz w:val="14"/>
                <w:szCs w:val="14"/>
                <w:lang w:val="es-ES"/>
              </w:rPr>
              <w:t>rdo</w:t>
            </w:r>
            <w:proofErr w:type="spellEnd"/>
            <w:r w:rsidRPr="00F963DD">
              <w:rPr>
                <w:rFonts w:ascii="Lucida Bright" w:hAnsi="Lucida Bright" w:cs="Calibri"/>
                <w:i/>
                <w:iCs/>
                <w:color w:val="000000"/>
                <w:sz w:val="14"/>
                <w:szCs w:val="14"/>
                <w:lang w:val="es-ES"/>
              </w:rPr>
              <w:t xml:space="preserve"> reversiones </w:t>
            </w:r>
            <w:proofErr w:type="spellStart"/>
            <w:r w:rsidRPr="00F963DD">
              <w:rPr>
                <w:rFonts w:ascii="Lucida Bright" w:hAnsi="Lucida Bright" w:cs="Calibri"/>
                <w:i/>
                <w:iCs/>
                <w:color w:val="000000"/>
                <w:sz w:val="14"/>
                <w:szCs w:val="14"/>
                <w:lang w:val="es-ES"/>
              </w:rPr>
              <w:t>conc</w:t>
            </w:r>
            <w:proofErr w:type="spellEnd"/>
            <w:r w:rsidRPr="00F963DD">
              <w:rPr>
                <w:rFonts w:ascii="Lucida Bright" w:hAnsi="Lucida Bright" w:cs="Calibri"/>
                <w:i/>
                <w:iCs/>
                <w:color w:val="000000"/>
                <w:sz w:val="14"/>
                <w:szCs w:val="14"/>
                <w:lang w:val="es-ES"/>
              </w:rPr>
              <w:t xml:space="preserve"> </w:t>
            </w:r>
            <w:proofErr w:type="spellStart"/>
            <w:r w:rsidRPr="00F963DD">
              <w:rPr>
                <w:rFonts w:ascii="Lucida Bright" w:hAnsi="Lucida Bright" w:cs="Calibri"/>
                <w:i/>
                <w:iCs/>
                <w:color w:val="000000"/>
                <w:sz w:val="14"/>
                <w:szCs w:val="14"/>
                <w:lang w:val="es-ES"/>
              </w:rPr>
              <w:t>ej</w:t>
            </w:r>
            <w:proofErr w:type="spellEnd"/>
            <w:r w:rsidRPr="00F963DD">
              <w:rPr>
                <w:rFonts w:ascii="Lucida Bright" w:hAnsi="Lucida Bright" w:cs="Calibri"/>
                <w:i/>
                <w:iCs/>
                <w:color w:val="000000"/>
                <w:sz w:val="14"/>
                <w:szCs w:val="14"/>
                <w:lang w:val="es-ES"/>
              </w:rPr>
              <w:t xml:space="preserve"> ante 2020</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121.594,21</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(121.594,21)</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center"/>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Gastos no económicos del ejercicio</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D01D3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5.617.171,7</w:t>
            </w:r>
            <w:r w:rsidR="00D01D3D">
              <w:rPr>
                <w:rFonts w:ascii="Lucida Bright" w:hAnsi="Lucida Bright" w:cs="Calibri"/>
                <w:color w:val="000000"/>
                <w:sz w:val="14"/>
                <w:szCs w:val="14"/>
                <w:lang w:val="es-ES"/>
              </w:rPr>
              <w:t>7</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D01D3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5.617.171,7</w:t>
            </w:r>
            <w:r w:rsidR="00D01D3D">
              <w:rPr>
                <w:rFonts w:ascii="Lucida Bright" w:hAnsi="Lucida Bright" w:cs="Calibri"/>
                <w:color w:val="000000"/>
                <w:sz w:val="14"/>
                <w:szCs w:val="14"/>
                <w:lang w:val="es-ES"/>
              </w:rPr>
              <w:t>7</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center"/>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Gastos no deducibles</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85.386,00</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85.386,00</w:t>
            </w:r>
          </w:p>
        </w:tc>
      </w:tr>
      <w:tr w:rsidR="00083185" w:rsidRPr="00F963DD" w:rsidTr="00083185">
        <w:trPr>
          <w:trHeight w:val="20"/>
        </w:trPr>
        <w:tc>
          <w:tcPr>
            <w:tcW w:w="1573" w:type="pct"/>
            <w:gridSpan w:val="3"/>
            <w:tcBorders>
              <w:top w:val="nil"/>
              <w:left w:val="single" w:sz="8" w:space="0" w:color="auto"/>
              <w:bottom w:val="nil"/>
              <w:right w:val="single" w:sz="8" w:space="0" w:color="000000"/>
            </w:tcBorders>
            <w:shd w:val="clear" w:color="auto" w:fill="auto"/>
            <w:noWrap/>
            <w:vAlign w:val="center"/>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Cambios de criterio y errores contables</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85.040,09</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85.040,09</w:t>
            </w:r>
          </w:p>
        </w:tc>
      </w:tr>
      <w:tr w:rsidR="00083185" w:rsidRPr="00F963DD" w:rsidTr="00083185">
        <w:trPr>
          <w:trHeight w:val="20"/>
        </w:trPr>
        <w:tc>
          <w:tcPr>
            <w:tcW w:w="1573" w:type="pct"/>
            <w:gridSpan w:val="3"/>
            <w:tcBorders>
              <w:top w:val="nil"/>
              <w:left w:val="single" w:sz="8" w:space="0" w:color="auto"/>
              <w:bottom w:val="nil"/>
              <w:right w:val="single" w:sz="8" w:space="0" w:color="000000"/>
            </w:tcBorders>
            <w:shd w:val="clear" w:color="auto" w:fill="auto"/>
            <w:noWrap/>
            <w:vAlign w:val="center"/>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Imputación renta FFATP (modelo 184)</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118,87</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118,87</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center"/>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Reserva de capitalización 2023</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3.285.606,61</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(3.285.606,61)</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Adquisiciones lucrativas</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w:t>
            </w:r>
          </w:p>
        </w:tc>
      </w:tr>
      <w:tr w:rsidR="00083185" w:rsidRPr="00F963DD" w:rsidTr="00083185">
        <w:trPr>
          <w:trHeight w:val="20"/>
        </w:trPr>
        <w:tc>
          <w:tcPr>
            <w:tcW w:w="607" w:type="pct"/>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 </w:t>
            </w:r>
          </w:p>
        </w:tc>
        <w:tc>
          <w:tcPr>
            <w:tcW w:w="613" w:type="pct"/>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Diferencias temporales:</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Con origen en el ejercicio</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1573" w:type="pct"/>
            <w:gridSpan w:val="3"/>
            <w:tcBorders>
              <w:top w:val="nil"/>
              <w:left w:val="single" w:sz="8" w:space="0" w:color="auto"/>
              <w:bottom w:val="nil"/>
              <w:right w:val="single" w:sz="8" w:space="0" w:color="000000"/>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 xml:space="preserve">Diferencias </w:t>
            </w:r>
            <w:proofErr w:type="spellStart"/>
            <w:r w:rsidRPr="00F963DD">
              <w:rPr>
                <w:rFonts w:ascii="Lucida Bright" w:hAnsi="Lucida Bright" w:cs="Calibri"/>
                <w:i/>
                <w:iCs/>
                <w:color w:val="000000"/>
                <w:sz w:val="14"/>
                <w:szCs w:val="14"/>
                <w:lang w:val="es-ES"/>
              </w:rPr>
              <w:t>anortización</w:t>
            </w:r>
            <w:proofErr w:type="spellEnd"/>
            <w:r w:rsidRPr="00F963DD">
              <w:rPr>
                <w:rFonts w:ascii="Lucida Bright" w:hAnsi="Lucida Bright" w:cs="Calibri"/>
                <w:i/>
                <w:iCs/>
                <w:color w:val="000000"/>
                <w:sz w:val="14"/>
                <w:szCs w:val="14"/>
                <w:lang w:val="es-ES"/>
              </w:rPr>
              <w:t xml:space="preserve"> contable y fiscal</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259,82</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142,63</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117,19</w:t>
            </w:r>
          </w:p>
        </w:tc>
      </w:tr>
      <w:tr w:rsidR="00083185" w:rsidRPr="00F963DD" w:rsidTr="00083185">
        <w:trPr>
          <w:trHeight w:val="20"/>
        </w:trPr>
        <w:tc>
          <w:tcPr>
            <w:tcW w:w="1573" w:type="pct"/>
            <w:gridSpan w:val="3"/>
            <w:tcBorders>
              <w:top w:val="nil"/>
              <w:left w:val="single" w:sz="8" w:space="0" w:color="auto"/>
              <w:bottom w:val="nil"/>
              <w:right w:val="single" w:sz="8" w:space="0" w:color="000000"/>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 xml:space="preserve">Actualización finan provisiones no </w:t>
            </w:r>
            <w:proofErr w:type="spellStart"/>
            <w:r w:rsidRPr="00F963DD">
              <w:rPr>
                <w:rFonts w:ascii="Lucida Bright" w:hAnsi="Lucida Bright" w:cs="Calibri"/>
                <w:i/>
                <w:iCs/>
                <w:color w:val="000000"/>
                <w:sz w:val="14"/>
                <w:szCs w:val="14"/>
                <w:lang w:val="es-ES"/>
              </w:rPr>
              <w:t>deduc</w:t>
            </w:r>
            <w:proofErr w:type="spellEnd"/>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62.052,10</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62.052,10</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Subvenciones recibidas</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1.196.160,57</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(1.196.160,57)</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Adquisiciones lucrativas</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170.504,83</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(170.504,83)</w:t>
            </w:r>
          </w:p>
        </w:tc>
      </w:tr>
      <w:tr w:rsidR="00083185" w:rsidRPr="00F963DD" w:rsidTr="00083185">
        <w:trPr>
          <w:trHeight w:val="20"/>
        </w:trPr>
        <w:tc>
          <w:tcPr>
            <w:tcW w:w="607" w:type="pct"/>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 </w:t>
            </w:r>
          </w:p>
        </w:tc>
        <w:tc>
          <w:tcPr>
            <w:tcW w:w="613" w:type="pct"/>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1219" w:type="pct"/>
            <w:gridSpan w:val="2"/>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Con origen en ejercicios anteriores</w:t>
            </w: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1573" w:type="pct"/>
            <w:gridSpan w:val="3"/>
            <w:tcBorders>
              <w:top w:val="nil"/>
              <w:left w:val="single" w:sz="8" w:space="0" w:color="auto"/>
              <w:bottom w:val="nil"/>
              <w:right w:val="single" w:sz="8" w:space="0" w:color="000000"/>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proofErr w:type="spellStart"/>
            <w:r w:rsidRPr="00F963DD">
              <w:rPr>
                <w:rFonts w:ascii="Lucida Bright" w:hAnsi="Lucida Bright" w:cs="Calibri"/>
                <w:i/>
                <w:iCs/>
                <w:color w:val="000000"/>
                <w:sz w:val="14"/>
                <w:szCs w:val="14"/>
                <w:lang w:val="es-ES"/>
              </w:rPr>
              <w:t>Deducc</w:t>
            </w:r>
            <w:proofErr w:type="spellEnd"/>
            <w:r w:rsidRPr="00F963DD">
              <w:rPr>
                <w:rFonts w:ascii="Lucida Bright" w:hAnsi="Lucida Bright" w:cs="Calibri"/>
                <w:i/>
                <w:iCs/>
                <w:color w:val="000000"/>
                <w:sz w:val="14"/>
                <w:szCs w:val="14"/>
                <w:lang w:val="es-ES"/>
              </w:rPr>
              <w:t xml:space="preserve"> 30% gastos </w:t>
            </w:r>
            <w:proofErr w:type="spellStart"/>
            <w:r w:rsidRPr="00F963DD">
              <w:rPr>
                <w:rFonts w:ascii="Lucida Bright" w:hAnsi="Lucida Bright" w:cs="Calibri"/>
                <w:i/>
                <w:iCs/>
                <w:color w:val="000000"/>
                <w:sz w:val="14"/>
                <w:szCs w:val="14"/>
                <w:lang w:val="es-ES"/>
              </w:rPr>
              <w:t>amortiz</w:t>
            </w:r>
            <w:proofErr w:type="spellEnd"/>
            <w:r w:rsidRPr="00F963DD">
              <w:rPr>
                <w:rFonts w:ascii="Lucida Bright" w:hAnsi="Lucida Bright" w:cs="Calibri"/>
                <w:i/>
                <w:iCs/>
                <w:color w:val="000000"/>
                <w:sz w:val="14"/>
                <w:szCs w:val="14"/>
                <w:lang w:val="es-ES"/>
              </w:rPr>
              <w:t xml:space="preserve"> Art 7 L16/2012</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44.452,51</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(44.452,51)</w:t>
            </w:r>
          </w:p>
        </w:tc>
      </w:tr>
      <w:tr w:rsidR="00083185" w:rsidRPr="00F963DD" w:rsidTr="00083185">
        <w:trPr>
          <w:trHeight w:val="20"/>
        </w:trPr>
        <w:tc>
          <w:tcPr>
            <w:tcW w:w="1573" w:type="pct"/>
            <w:gridSpan w:val="3"/>
            <w:tcBorders>
              <w:top w:val="nil"/>
              <w:left w:val="single" w:sz="8" w:space="0" w:color="auto"/>
              <w:bottom w:val="nil"/>
              <w:right w:val="single" w:sz="8" w:space="0" w:color="000000"/>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 xml:space="preserve">Diferencias </w:t>
            </w:r>
            <w:proofErr w:type="spellStart"/>
            <w:r w:rsidRPr="00F963DD">
              <w:rPr>
                <w:rFonts w:ascii="Lucida Bright" w:hAnsi="Lucida Bright" w:cs="Calibri"/>
                <w:i/>
                <w:iCs/>
                <w:color w:val="000000"/>
                <w:sz w:val="14"/>
                <w:szCs w:val="14"/>
                <w:lang w:val="es-ES"/>
              </w:rPr>
              <w:t>anortización</w:t>
            </w:r>
            <w:proofErr w:type="spellEnd"/>
            <w:r w:rsidRPr="00F963DD">
              <w:rPr>
                <w:rFonts w:ascii="Lucida Bright" w:hAnsi="Lucida Bright" w:cs="Calibri"/>
                <w:i/>
                <w:iCs/>
                <w:color w:val="000000"/>
                <w:sz w:val="14"/>
                <w:szCs w:val="14"/>
                <w:lang w:val="es-ES"/>
              </w:rPr>
              <w:t xml:space="preserve"> contable y fiscal</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610,25</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894,84</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jc w:val="right"/>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(284,59)</w:t>
            </w:r>
          </w:p>
        </w:tc>
      </w:tr>
      <w:tr w:rsidR="00083185" w:rsidRPr="00F963DD" w:rsidTr="00083185">
        <w:trPr>
          <w:trHeight w:val="20"/>
        </w:trPr>
        <w:tc>
          <w:tcPr>
            <w:tcW w:w="607" w:type="pct"/>
            <w:tcBorders>
              <w:top w:val="nil"/>
              <w:left w:val="single" w:sz="8" w:space="0" w:color="auto"/>
              <w:bottom w:val="nil"/>
              <w:right w:val="nil"/>
            </w:tcBorders>
            <w:shd w:val="clear" w:color="auto" w:fill="auto"/>
            <w:noWrap/>
            <w:vAlign w:val="bottom"/>
            <w:hideMark/>
          </w:tcPr>
          <w:p w:rsidR="00F963DD" w:rsidRPr="00F963DD" w:rsidRDefault="00F963DD" w:rsidP="00F963DD">
            <w:pPr>
              <w:rPr>
                <w:rFonts w:ascii="Lucida Bright" w:hAnsi="Lucida Bright" w:cs="Calibri"/>
                <w:i/>
                <w:iCs/>
                <w:color w:val="000000"/>
                <w:sz w:val="14"/>
                <w:szCs w:val="14"/>
                <w:lang w:val="es-ES"/>
              </w:rPr>
            </w:pPr>
            <w:r w:rsidRPr="00F963DD">
              <w:rPr>
                <w:rFonts w:ascii="Lucida Bright" w:hAnsi="Lucida Bright" w:cs="Calibri"/>
                <w:i/>
                <w:iCs/>
                <w:color w:val="000000"/>
                <w:sz w:val="14"/>
                <w:szCs w:val="14"/>
                <w:lang w:val="es-ES"/>
              </w:rPr>
              <w:t> </w:t>
            </w:r>
          </w:p>
        </w:tc>
        <w:tc>
          <w:tcPr>
            <w:tcW w:w="613" w:type="pct"/>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354"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94"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nil"/>
              <w:right w:val="single" w:sz="4"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p>
        </w:tc>
        <w:tc>
          <w:tcPr>
            <w:tcW w:w="534" w:type="pct"/>
            <w:gridSpan w:val="2"/>
            <w:tcBorders>
              <w:top w:val="nil"/>
              <w:left w:val="single" w:sz="8" w:space="0" w:color="auto"/>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1573" w:type="pct"/>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Compensación de bases imponibles negativas de ejercicios anteriores</w:t>
            </w:r>
          </w:p>
        </w:tc>
        <w:tc>
          <w:tcPr>
            <w:tcW w:w="494" w:type="pct"/>
            <w:tcBorders>
              <w:top w:val="single" w:sz="8" w:space="0" w:color="auto"/>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single" w:sz="8" w:space="0" w:color="auto"/>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single" w:sz="8" w:space="0" w:color="auto"/>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single" w:sz="8" w:space="0" w:color="auto"/>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single" w:sz="8" w:space="0" w:color="auto"/>
              <w:left w:val="nil"/>
              <w:bottom w:val="nil"/>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single" w:sz="8" w:space="0" w:color="auto"/>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534" w:type="pct"/>
            <w:gridSpan w:val="2"/>
            <w:tcBorders>
              <w:top w:val="single" w:sz="8" w:space="0" w:color="auto"/>
              <w:left w:val="nil"/>
              <w:bottom w:val="nil"/>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20"/>
        </w:trPr>
        <w:tc>
          <w:tcPr>
            <w:tcW w:w="1573" w:type="pct"/>
            <w:gridSpan w:val="3"/>
            <w:vMerge/>
            <w:tcBorders>
              <w:top w:val="nil"/>
              <w:left w:val="single" w:sz="8" w:space="0" w:color="auto"/>
              <w:bottom w:val="single" w:sz="8" w:space="0" w:color="000000"/>
              <w:right w:val="single" w:sz="8" w:space="0" w:color="000000"/>
            </w:tcBorders>
            <w:vAlign w:val="center"/>
            <w:hideMark/>
          </w:tcPr>
          <w:p w:rsidR="00F963DD" w:rsidRPr="00F963DD" w:rsidRDefault="00F963DD" w:rsidP="00F963DD">
            <w:pPr>
              <w:rPr>
                <w:rFonts w:ascii="Lucida Bright" w:hAnsi="Lucida Bright" w:cs="Calibri"/>
                <w:color w:val="000000"/>
                <w:sz w:val="14"/>
                <w:szCs w:val="14"/>
                <w:lang w:val="es-ES"/>
              </w:rPr>
            </w:pPr>
          </w:p>
        </w:tc>
        <w:tc>
          <w:tcPr>
            <w:tcW w:w="494" w:type="pct"/>
            <w:tcBorders>
              <w:top w:val="nil"/>
              <w:left w:val="nil"/>
              <w:bottom w:val="single" w:sz="8" w:space="0" w:color="auto"/>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single" w:sz="8" w:space="0" w:color="auto"/>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9" w:type="pct"/>
            <w:tcBorders>
              <w:top w:val="nil"/>
              <w:left w:val="nil"/>
              <w:bottom w:val="single" w:sz="8" w:space="0" w:color="auto"/>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73" w:type="pct"/>
            <w:tcBorders>
              <w:top w:val="nil"/>
              <w:left w:val="nil"/>
              <w:bottom w:val="single" w:sz="8" w:space="0" w:color="auto"/>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1" w:type="pct"/>
            <w:tcBorders>
              <w:top w:val="nil"/>
              <w:left w:val="nil"/>
              <w:bottom w:val="single" w:sz="8" w:space="0" w:color="auto"/>
              <w:right w:val="nil"/>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482" w:type="pct"/>
            <w:gridSpan w:val="2"/>
            <w:tcBorders>
              <w:top w:val="nil"/>
              <w:left w:val="nil"/>
              <w:bottom w:val="single" w:sz="8" w:space="0" w:color="auto"/>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c>
          <w:tcPr>
            <w:tcW w:w="534" w:type="pct"/>
            <w:gridSpan w:val="2"/>
            <w:tcBorders>
              <w:top w:val="nil"/>
              <w:left w:val="nil"/>
              <w:bottom w:val="single" w:sz="8" w:space="0" w:color="auto"/>
              <w:right w:val="single" w:sz="8" w:space="0" w:color="auto"/>
            </w:tcBorders>
            <w:shd w:val="clear" w:color="auto" w:fill="auto"/>
            <w:noWrap/>
            <w:vAlign w:val="bottom"/>
            <w:hideMark/>
          </w:tcPr>
          <w:p w:rsidR="00F963DD" w:rsidRPr="00F963DD" w:rsidRDefault="00F963DD" w:rsidP="00F963DD">
            <w:pP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 </w:t>
            </w:r>
          </w:p>
        </w:tc>
      </w:tr>
      <w:tr w:rsidR="00083185" w:rsidRPr="00F963DD" w:rsidTr="00083185">
        <w:trPr>
          <w:trHeight w:val="165"/>
        </w:trPr>
        <w:tc>
          <w:tcPr>
            <w:tcW w:w="157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63DD" w:rsidRPr="00F963DD" w:rsidRDefault="00F963DD" w:rsidP="00F963DD">
            <w:pPr>
              <w:rPr>
                <w:rFonts w:ascii="Lucida Bright" w:hAnsi="Lucida Bright" w:cs="Calibri"/>
                <w:b/>
                <w:bCs/>
                <w:color w:val="000000"/>
                <w:sz w:val="14"/>
                <w:szCs w:val="14"/>
                <w:lang w:val="es-ES"/>
              </w:rPr>
            </w:pPr>
            <w:r w:rsidRPr="00F963DD">
              <w:rPr>
                <w:rFonts w:ascii="Lucida Bright" w:hAnsi="Lucida Bright" w:cs="Calibri"/>
                <w:b/>
                <w:bCs/>
                <w:color w:val="000000"/>
                <w:sz w:val="14"/>
                <w:szCs w:val="14"/>
                <w:lang w:val="es-ES"/>
              </w:rPr>
              <w:t>Base Imponible fiscal</w:t>
            </w:r>
          </w:p>
        </w:tc>
        <w:tc>
          <w:tcPr>
            <w:tcW w:w="967"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50.229.583,49</w:t>
            </w:r>
          </w:p>
        </w:tc>
        <w:tc>
          <w:tcPr>
            <w:tcW w:w="962"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0,00</w:t>
            </w:r>
          </w:p>
        </w:tc>
        <w:tc>
          <w:tcPr>
            <w:tcW w:w="963"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3.812,07</w:t>
            </w:r>
          </w:p>
        </w:tc>
        <w:tc>
          <w:tcPr>
            <w:tcW w:w="534"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F963DD" w:rsidRPr="00F963DD" w:rsidRDefault="00F963DD" w:rsidP="00F963DD">
            <w:pPr>
              <w:jc w:val="center"/>
              <w:rPr>
                <w:rFonts w:ascii="Lucida Bright" w:hAnsi="Lucida Bright" w:cs="Calibri"/>
                <w:color w:val="000000"/>
                <w:sz w:val="14"/>
                <w:szCs w:val="14"/>
                <w:lang w:val="es-ES"/>
              </w:rPr>
            </w:pPr>
            <w:r w:rsidRPr="00F963DD">
              <w:rPr>
                <w:rFonts w:ascii="Lucida Bright" w:hAnsi="Lucida Bright" w:cs="Calibri"/>
                <w:color w:val="000000"/>
                <w:sz w:val="14"/>
                <w:szCs w:val="14"/>
                <w:lang w:val="es-ES"/>
              </w:rPr>
              <w:t>50.233.395,56</w:t>
            </w:r>
          </w:p>
        </w:tc>
      </w:tr>
      <w:tr w:rsidR="00083185" w:rsidRPr="00F963DD" w:rsidTr="00083185">
        <w:trPr>
          <w:trHeight w:val="165"/>
        </w:trPr>
        <w:tc>
          <w:tcPr>
            <w:tcW w:w="1573" w:type="pct"/>
            <w:gridSpan w:val="3"/>
            <w:vMerge/>
            <w:tcBorders>
              <w:top w:val="single" w:sz="8" w:space="0" w:color="auto"/>
              <w:left w:val="single" w:sz="8" w:space="0" w:color="auto"/>
              <w:bottom w:val="single" w:sz="8" w:space="0" w:color="000000"/>
              <w:right w:val="single" w:sz="8" w:space="0" w:color="000000"/>
            </w:tcBorders>
            <w:vAlign w:val="center"/>
            <w:hideMark/>
          </w:tcPr>
          <w:p w:rsidR="00F963DD" w:rsidRPr="00F963DD" w:rsidRDefault="00F963DD" w:rsidP="00F963DD">
            <w:pPr>
              <w:rPr>
                <w:rFonts w:ascii="Lucida Bright" w:hAnsi="Lucida Bright" w:cs="Calibri"/>
                <w:b/>
                <w:bCs/>
                <w:color w:val="000000"/>
                <w:sz w:val="14"/>
                <w:szCs w:val="14"/>
                <w:lang w:val="es-ES"/>
              </w:rPr>
            </w:pPr>
          </w:p>
        </w:tc>
        <w:tc>
          <w:tcPr>
            <w:tcW w:w="967" w:type="pct"/>
            <w:gridSpan w:val="2"/>
            <w:vMerge/>
            <w:tcBorders>
              <w:top w:val="single" w:sz="8" w:space="0" w:color="auto"/>
              <w:left w:val="single" w:sz="8" w:space="0" w:color="auto"/>
              <w:bottom w:val="single" w:sz="8" w:space="0" w:color="000000"/>
              <w:right w:val="single" w:sz="8" w:space="0" w:color="auto"/>
            </w:tcBorders>
            <w:vAlign w:val="center"/>
            <w:hideMark/>
          </w:tcPr>
          <w:p w:rsidR="00F963DD" w:rsidRPr="00F963DD" w:rsidRDefault="00F963DD" w:rsidP="00F963DD">
            <w:pPr>
              <w:rPr>
                <w:rFonts w:ascii="Lucida Bright" w:hAnsi="Lucida Bright" w:cs="Calibri"/>
                <w:color w:val="000000"/>
                <w:sz w:val="14"/>
                <w:szCs w:val="14"/>
                <w:lang w:val="es-ES"/>
              </w:rPr>
            </w:pPr>
          </w:p>
        </w:tc>
        <w:tc>
          <w:tcPr>
            <w:tcW w:w="962" w:type="pct"/>
            <w:gridSpan w:val="2"/>
            <w:vMerge/>
            <w:tcBorders>
              <w:top w:val="single" w:sz="8" w:space="0" w:color="auto"/>
              <w:left w:val="single" w:sz="8" w:space="0" w:color="auto"/>
              <w:bottom w:val="single" w:sz="8" w:space="0" w:color="000000"/>
              <w:right w:val="single" w:sz="8" w:space="0" w:color="auto"/>
            </w:tcBorders>
            <w:vAlign w:val="center"/>
            <w:hideMark/>
          </w:tcPr>
          <w:p w:rsidR="00F963DD" w:rsidRPr="00F963DD" w:rsidRDefault="00F963DD" w:rsidP="00F963DD">
            <w:pPr>
              <w:rPr>
                <w:rFonts w:ascii="Lucida Bright" w:hAnsi="Lucida Bright" w:cs="Calibri"/>
                <w:color w:val="000000"/>
                <w:sz w:val="14"/>
                <w:szCs w:val="14"/>
                <w:lang w:val="es-ES"/>
              </w:rPr>
            </w:pPr>
          </w:p>
        </w:tc>
        <w:tc>
          <w:tcPr>
            <w:tcW w:w="963" w:type="pct"/>
            <w:gridSpan w:val="3"/>
            <w:vMerge/>
            <w:tcBorders>
              <w:top w:val="single" w:sz="8" w:space="0" w:color="auto"/>
              <w:left w:val="single" w:sz="8" w:space="0" w:color="auto"/>
              <w:bottom w:val="single" w:sz="8" w:space="0" w:color="000000"/>
              <w:right w:val="single" w:sz="8" w:space="0" w:color="auto"/>
            </w:tcBorders>
            <w:vAlign w:val="center"/>
            <w:hideMark/>
          </w:tcPr>
          <w:p w:rsidR="00F963DD" w:rsidRPr="00F963DD" w:rsidRDefault="00F963DD" w:rsidP="00F963DD">
            <w:pPr>
              <w:rPr>
                <w:rFonts w:ascii="Lucida Bright" w:hAnsi="Lucida Bright" w:cs="Calibri"/>
                <w:color w:val="000000"/>
                <w:sz w:val="14"/>
                <w:szCs w:val="14"/>
                <w:lang w:val="es-ES"/>
              </w:rPr>
            </w:pPr>
          </w:p>
        </w:tc>
        <w:tc>
          <w:tcPr>
            <w:tcW w:w="534" w:type="pct"/>
            <w:gridSpan w:val="2"/>
            <w:vMerge/>
            <w:tcBorders>
              <w:top w:val="nil"/>
              <w:left w:val="single" w:sz="8" w:space="0" w:color="auto"/>
              <w:bottom w:val="single" w:sz="8" w:space="0" w:color="000000"/>
              <w:right w:val="single" w:sz="8" w:space="0" w:color="auto"/>
            </w:tcBorders>
            <w:vAlign w:val="center"/>
            <w:hideMark/>
          </w:tcPr>
          <w:p w:rsidR="00F963DD" w:rsidRPr="00F963DD" w:rsidRDefault="00F963DD" w:rsidP="00F963DD">
            <w:pPr>
              <w:rPr>
                <w:rFonts w:ascii="Lucida Bright" w:hAnsi="Lucida Bright" w:cs="Calibri"/>
                <w:color w:val="000000"/>
                <w:sz w:val="14"/>
                <w:szCs w:val="14"/>
                <w:lang w:val="es-ES"/>
              </w:rPr>
            </w:pPr>
          </w:p>
        </w:tc>
      </w:tr>
    </w:tbl>
    <w:p w:rsidR="00F963DD" w:rsidRDefault="00F963DD" w:rsidP="00E0015A">
      <w:pPr>
        <w:tabs>
          <w:tab w:val="right" w:pos="8364"/>
        </w:tabs>
        <w:jc w:val="both"/>
        <w:rPr>
          <w:bCs/>
          <w:sz w:val="16"/>
          <w:szCs w:val="16"/>
        </w:rPr>
        <w:sectPr w:rsidR="00F963DD" w:rsidSect="00F963DD">
          <w:pgSz w:w="16840" w:h="11907" w:orient="landscape" w:code="9"/>
          <w:pgMar w:top="1985" w:right="1701" w:bottom="1418" w:left="1701" w:header="567" w:footer="720" w:gutter="0"/>
          <w:cols w:space="720"/>
          <w:docGrid w:linePitch="272"/>
        </w:sectPr>
      </w:pPr>
    </w:p>
    <w:p w:rsidR="00BB70A9" w:rsidRDefault="00BB70A9">
      <w:pPr>
        <w:tabs>
          <w:tab w:val="right" w:pos="8364"/>
        </w:tabs>
        <w:ind w:firstLine="540"/>
        <w:jc w:val="both"/>
        <w:rPr>
          <w:rFonts w:ascii="NewBaskerville" w:hAnsi="NewBaskerville"/>
          <w:bCs/>
          <w:u w:val="single"/>
        </w:rPr>
      </w:pPr>
    </w:p>
    <w:tbl>
      <w:tblPr>
        <w:tblW w:w="5000" w:type="pct"/>
        <w:tblLayout w:type="fixed"/>
        <w:tblCellMar>
          <w:left w:w="70" w:type="dxa"/>
          <w:right w:w="70" w:type="dxa"/>
        </w:tblCellMar>
        <w:tblLook w:val="04A0" w:firstRow="1" w:lastRow="0" w:firstColumn="1" w:lastColumn="0" w:noHBand="0" w:noVBand="1"/>
      </w:tblPr>
      <w:tblGrid>
        <w:gridCol w:w="1259"/>
        <w:gridCol w:w="1259"/>
        <w:gridCol w:w="864"/>
        <w:gridCol w:w="1363"/>
        <w:gridCol w:w="1559"/>
        <w:gridCol w:w="1420"/>
        <w:gridCol w:w="1559"/>
        <w:gridCol w:w="1418"/>
        <w:gridCol w:w="511"/>
        <w:gridCol w:w="907"/>
        <w:gridCol w:w="299"/>
        <w:gridCol w:w="1160"/>
      </w:tblGrid>
      <w:tr w:rsidR="00BB70A9" w:rsidRPr="00BB70A9" w:rsidTr="00083185">
        <w:trPr>
          <w:trHeight w:val="20"/>
        </w:trPr>
        <w:tc>
          <w:tcPr>
            <w:tcW w:w="4129" w:type="pct"/>
            <w:gridSpan w:val="9"/>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b/>
                <w:bCs/>
                <w:color w:val="000000"/>
                <w:sz w:val="18"/>
                <w:szCs w:val="18"/>
                <w:lang w:val="es-ES"/>
              </w:rPr>
            </w:pPr>
            <w:r w:rsidRPr="00BB70A9">
              <w:rPr>
                <w:rFonts w:ascii="Lucida Bright" w:hAnsi="Lucida Bright" w:cs="Calibri"/>
                <w:b/>
                <w:bCs/>
                <w:color w:val="000000"/>
                <w:sz w:val="18"/>
                <w:szCs w:val="18"/>
                <w:lang w:val="es-ES"/>
              </w:rPr>
              <w:t>Ejercicio 2022. Conciliación resultado contable y base imponible fiscal.</w:t>
            </w:r>
          </w:p>
        </w:tc>
        <w:tc>
          <w:tcPr>
            <w:tcW w:w="444"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6"/>
                <w:szCs w:val="16"/>
                <w:lang w:val="es-ES"/>
              </w:rPr>
            </w:pPr>
          </w:p>
        </w:tc>
        <w:tc>
          <w:tcPr>
            <w:tcW w:w="427" w:type="pct"/>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6"/>
                <w:szCs w:val="16"/>
                <w:lang w:val="es-ES"/>
              </w:rPr>
            </w:pPr>
          </w:p>
        </w:tc>
      </w:tr>
      <w:tr w:rsidR="00BB70A9" w:rsidRPr="00BB70A9" w:rsidTr="00083185">
        <w:trPr>
          <w:trHeight w:val="20"/>
        </w:trPr>
        <w:tc>
          <w:tcPr>
            <w:tcW w:w="464" w:type="pct"/>
            <w:tcBorders>
              <w:top w:val="single" w:sz="8" w:space="0" w:color="auto"/>
              <w:left w:val="single" w:sz="8" w:space="0" w:color="auto"/>
              <w:bottom w:val="nil"/>
              <w:right w:val="nil"/>
            </w:tcBorders>
            <w:shd w:val="clear" w:color="000000" w:fill="CCFFCC"/>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464" w:type="pct"/>
            <w:tcBorders>
              <w:top w:val="single" w:sz="8" w:space="0" w:color="auto"/>
              <w:left w:val="nil"/>
              <w:bottom w:val="nil"/>
              <w:right w:val="nil"/>
            </w:tcBorders>
            <w:shd w:val="clear" w:color="000000" w:fill="CCFFCC"/>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318" w:type="pct"/>
            <w:tcBorders>
              <w:top w:val="single" w:sz="8" w:space="0" w:color="auto"/>
              <w:left w:val="nil"/>
              <w:bottom w:val="nil"/>
              <w:right w:val="single" w:sz="8" w:space="0" w:color="auto"/>
            </w:tcBorders>
            <w:shd w:val="clear" w:color="000000" w:fill="CCFFCC"/>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3755" w:type="pct"/>
            <w:gridSpan w:val="9"/>
            <w:tcBorders>
              <w:top w:val="single" w:sz="8" w:space="0" w:color="auto"/>
              <w:left w:val="nil"/>
              <w:bottom w:val="single" w:sz="8" w:space="0" w:color="auto"/>
              <w:right w:val="single" w:sz="8" w:space="0" w:color="000000"/>
            </w:tcBorders>
            <w:shd w:val="clear" w:color="000000" w:fill="CCFFCC"/>
            <w:vAlign w:val="bottom"/>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Euros</w:t>
            </w:r>
          </w:p>
        </w:tc>
      </w:tr>
      <w:tr w:rsidR="00BB70A9" w:rsidRPr="00BB70A9" w:rsidTr="00083185">
        <w:trPr>
          <w:trHeight w:val="20"/>
        </w:trPr>
        <w:tc>
          <w:tcPr>
            <w:tcW w:w="464" w:type="pct"/>
            <w:tcBorders>
              <w:top w:val="nil"/>
              <w:left w:val="single" w:sz="8" w:space="0" w:color="auto"/>
              <w:bottom w:val="single" w:sz="8" w:space="0" w:color="auto"/>
              <w:right w:val="nil"/>
            </w:tcBorders>
            <w:shd w:val="clear" w:color="000000" w:fill="CCFFCC"/>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464" w:type="pct"/>
            <w:tcBorders>
              <w:top w:val="nil"/>
              <w:left w:val="nil"/>
              <w:bottom w:val="single" w:sz="8" w:space="0" w:color="auto"/>
              <w:right w:val="nil"/>
            </w:tcBorders>
            <w:shd w:val="clear" w:color="000000" w:fill="CCFFCC"/>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318" w:type="pct"/>
            <w:tcBorders>
              <w:top w:val="nil"/>
              <w:left w:val="nil"/>
              <w:bottom w:val="single" w:sz="8" w:space="0" w:color="auto"/>
              <w:right w:val="single" w:sz="8" w:space="0" w:color="auto"/>
            </w:tcBorders>
            <w:shd w:val="clear" w:color="000000" w:fill="CCFFCC"/>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1076" w:type="pct"/>
            <w:gridSpan w:val="2"/>
            <w:tcBorders>
              <w:top w:val="single" w:sz="8" w:space="0" w:color="auto"/>
              <w:left w:val="nil"/>
              <w:bottom w:val="single" w:sz="8" w:space="0" w:color="auto"/>
              <w:right w:val="single" w:sz="8" w:space="0" w:color="auto"/>
            </w:tcBorders>
            <w:shd w:val="clear" w:color="000000" w:fill="CCFFCC"/>
            <w:vAlign w:val="bottom"/>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Cuenta de Pérdidas y Ganancias</w:t>
            </w:r>
          </w:p>
        </w:tc>
        <w:tc>
          <w:tcPr>
            <w:tcW w:w="1097" w:type="pct"/>
            <w:gridSpan w:val="2"/>
            <w:tcBorders>
              <w:top w:val="single" w:sz="8" w:space="0" w:color="auto"/>
              <w:left w:val="nil"/>
              <w:bottom w:val="single" w:sz="8" w:space="0" w:color="auto"/>
              <w:right w:val="single" w:sz="8" w:space="0" w:color="auto"/>
            </w:tcBorders>
            <w:shd w:val="clear" w:color="000000" w:fill="CCFFCC"/>
            <w:vAlign w:val="bottom"/>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Ingresos y Gastos Directamente Imputados al Patrimonio</w:t>
            </w:r>
          </w:p>
        </w:tc>
        <w:tc>
          <w:tcPr>
            <w:tcW w:w="1044" w:type="pct"/>
            <w:gridSpan w:val="3"/>
            <w:tcBorders>
              <w:top w:val="single" w:sz="8" w:space="0" w:color="auto"/>
              <w:left w:val="nil"/>
              <w:bottom w:val="single" w:sz="8" w:space="0" w:color="auto"/>
              <w:right w:val="single" w:sz="8" w:space="0" w:color="auto"/>
            </w:tcBorders>
            <w:shd w:val="clear" w:color="000000" w:fill="CCFFCC"/>
            <w:vAlign w:val="bottom"/>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Reservas</w:t>
            </w:r>
          </w:p>
        </w:tc>
        <w:tc>
          <w:tcPr>
            <w:tcW w:w="537" w:type="pct"/>
            <w:gridSpan w:val="2"/>
            <w:tcBorders>
              <w:top w:val="nil"/>
              <w:left w:val="nil"/>
              <w:bottom w:val="single" w:sz="8" w:space="0" w:color="auto"/>
              <w:right w:val="single" w:sz="8" w:space="0" w:color="auto"/>
            </w:tcBorders>
            <w:shd w:val="clear" w:color="000000" w:fill="CCFFCC"/>
            <w:noWrap/>
            <w:vAlign w:val="bottom"/>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Total</w:t>
            </w:r>
          </w:p>
        </w:tc>
      </w:tr>
      <w:tr w:rsidR="00BB70A9" w:rsidRPr="00BB70A9" w:rsidTr="00083185">
        <w:trPr>
          <w:trHeight w:val="165"/>
        </w:trPr>
        <w:tc>
          <w:tcPr>
            <w:tcW w:w="1245"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Resultado contable antes del Impuesto sobre Sociedades</w:t>
            </w:r>
          </w:p>
        </w:tc>
        <w:tc>
          <w:tcPr>
            <w:tcW w:w="107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32.803.783,33</w:t>
            </w:r>
          </w:p>
        </w:tc>
        <w:tc>
          <w:tcPr>
            <w:tcW w:w="109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535.092,25</w:t>
            </w:r>
          </w:p>
        </w:tc>
        <w:tc>
          <w:tcPr>
            <w:tcW w:w="104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0,00</w:t>
            </w:r>
          </w:p>
        </w:tc>
        <w:tc>
          <w:tcPr>
            <w:tcW w:w="537"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33.338.875,58</w:t>
            </w:r>
          </w:p>
        </w:tc>
      </w:tr>
      <w:tr w:rsidR="00BB70A9" w:rsidRPr="00BB70A9" w:rsidTr="00083185">
        <w:trPr>
          <w:trHeight w:val="165"/>
        </w:trPr>
        <w:tc>
          <w:tcPr>
            <w:tcW w:w="1245" w:type="pct"/>
            <w:gridSpan w:val="3"/>
            <w:vMerge/>
            <w:tcBorders>
              <w:top w:val="single" w:sz="8" w:space="0" w:color="auto"/>
              <w:left w:val="single" w:sz="8" w:space="0" w:color="auto"/>
              <w:bottom w:val="single" w:sz="8" w:space="0" w:color="000000"/>
              <w:right w:val="single" w:sz="8" w:space="0" w:color="000000"/>
            </w:tcBorders>
            <w:vAlign w:val="center"/>
            <w:hideMark/>
          </w:tcPr>
          <w:p w:rsidR="00BB70A9" w:rsidRPr="00BB70A9" w:rsidRDefault="00BB70A9" w:rsidP="00BB70A9">
            <w:pPr>
              <w:rPr>
                <w:rFonts w:ascii="Lucida Bright" w:hAnsi="Lucida Bright" w:cs="Calibri"/>
                <w:color w:val="000000"/>
                <w:sz w:val="14"/>
                <w:szCs w:val="14"/>
                <w:lang w:val="es-ES"/>
              </w:rPr>
            </w:pPr>
          </w:p>
        </w:tc>
        <w:tc>
          <w:tcPr>
            <w:tcW w:w="1076" w:type="pct"/>
            <w:gridSpan w:val="2"/>
            <w:vMerge/>
            <w:tcBorders>
              <w:top w:val="single" w:sz="8" w:space="0" w:color="auto"/>
              <w:left w:val="single" w:sz="8" w:space="0" w:color="auto"/>
              <w:bottom w:val="single" w:sz="8" w:space="0" w:color="000000"/>
              <w:right w:val="single" w:sz="8" w:space="0" w:color="000000"/>
            </w:tcBorders>
            <w:vAlign w:val="center"/>
            <w:hideMark/>
          </w:tcPr>
          <w:p w:rsidR="00BB70A9" w:rsidRPr="00BB70A9" w:rsidRDefault="00BB70A9" w:rsidP="00BB70A9">
            <w:pPr>
              <w:rPr>
                <w:rFonts w:ascii="Lucida Bright" w:hAnsi="Lucida Bright" w:cs="Calibri"/>
                <w:color w:val="000000"/>
                <w:sz w:val="14"/>
                <w:szCs w:val="14"/>
                <w:lang w:val="es-ES"/>
              </w:rPr>
            </w:pPr>
          </w:p>
        </w:tc>
        <w:tc>
          <w:tcPr>
            <w:tcW w:w="1097" w:type="pct"/>
            <w:gridSpan w:val="2"/>
            <w:vMerge/>
            <w:tcBorders>
              <w:top w:val="single" w:sz="8" w:space="0" w:color="auto"/>
              <w:left w:val="single" w:sz="8" w:space="0" w:color="auto"/>
              <w:bottom w:val="single" w:sz="8" w:space="0" w:color="000000"/>
              <w:right w:val="single" w:sz="8" w:space="0" w:color="000000"/>
            </w:tcBorders>
            <w:vAlign w:val="center"/>
            <w:hideMark/>
          </w:tcPr>
          <w:p w:rsidR="00BB70A9" w:rsidRPr="00BB70A9" w:rsidRDefault="00BB70A9" w:rsidP="00BB70A9">
            <w:pPr>
              <w:rPr>
                <w:rFonts w:ascii="Lucida Bright" w:hAnsi="Lucida Bright" w:cs="Calibri"/>
                <w:color w:val="000000"/>
                <w:sz w:val="14"/>
                <w:szCs w:val="14"/>
                <w:lang w:val="es-ES"/>
              </w:rPr>
            </w:pPr>
          </w:p>
        </w:tc>
        <w:tc>
          <w:tcPr>
            <w:tcW w:w="1044" w:type="pct"/>
            <w:gridSpan w:val="3"/>
            <w:vMerge/>
            <w:tcBorders>
              <w:top w:val="single" w:sz="8" w:space="0" w:color="auto"/>
              <w:left w:val="single" w:sz="8" w:space="0" w:color="auto"/>
              <w:bottom w:val="single" w:sz="8" w:space="0" w:color="000000"/>
              <w:right w:val="single" w:sz="8" w:space="0" w:color="000000"/>
            </w:tcBorders>
            <w:vAlign w:val="center"/>
            <w:hideMark/>
          </w:tcPr>
          <w:p w:rsidR="00BB70A9" w:rsidRPr="00BB70A9" w:rsidRDefault="00BB70A9" w:rsidP="00BB70A9">
            <w:pPr>
              <w:rPr>
                <w:rFonts w:ascii="Lucida Bright" w:hAnsi="Lucida Bright" w:cs="Calibri"/>
                <w:color w:val="000000"/>
                <w:sz w:val="14"/>
                <w:szCs w:val="14"/>
                <w:lang w:val="es-ES"/>
              </w:rPr>
            </w:pPr>
          </w:p>
        </w:tc>
        <w:tc>
          <w:tcPr>
            <w:tcW w:w="537" w:type="pct"/>
            <w:gridSpan w:val="2"/>
            <w:vMerge/>
            <w:tcBorders>
              <w:top w:val="nil"/>
              <w:left w:val="single" w:sz="8" w:space="0" w:color="auto"/>
              <w:bottom w:val="single" w:sz="8" w:space="0" w:color="000000"/>
              <w:right w:val="single" w:sz="8" w:space="0" w:color="auto"/>
            </w:tcBorders>
            <w:vAlign w:val="center"/>
            <w:hideMark/>
          </w:tcPr>
          <w:p w:rsidR="00BB70A9" w:rsidRPr="00BB70A9" w:rsidRDefault="00BB70A9" w:rsidP="00BB70A9">
            <w:pPr>
              <w:rPr>
                <w:rFonts w:ascii="Lucida Bright" w:hAnsi="Lucida Bright" w:cs="Calibri"/>
                <w:color w:val="000000"/>
                <w:sz w:val="14"/>
                <w:szCs w:val="14"/>
                <w:lang w:val="es-ES"/>
              </w:rPr>
            </w:pPr>
          </w:p>
        </w:tc>
      </w:tr>
      <w:tr w:rsidR="00083185" w:rsidRPr="00BB70A9" w:rsidTr="00083185">
        <w:trPr>
          <w:trHeight w:val="20"/>
        </w:trPr>
        <w:tc>
          <w:tcPr>
            <w:tcW w:w="1245" w:type="pct"/>
            <w:gridSpan w:val="3"/>
            <w:vMerge/>
            <w:tcBorders>
              <w:top w:val="single" w:sz="8" w:space="0" w:color="auto"/>
              <w:left w:val="single" w:sz="8" w:space="0" w:color="auto"/>
              <w:bottom w:val="single" w:sz="8" w:space="0" w:color="000000"/>
              <w:right w:val="single" w:sz="8" w:space="0" w:color="000000"/>
            </w:tcBorders>
            <w:vAlign w:val="center"/>
            <w:hideMark/>
          </w:tcPr>
          <w:p w:rsidR="00BB70A9" w:rsidRPr="00BB70A9" w:rsidRDefault="00BB70A9" w:rsidP="00BB70A9">
            <w:pPr>
              <w:rPr>
                <w:rFonts w:ascii="Lucida Bright" w:hAnsi="Lucida Bright" w:cs="Calibri"/>
                <w:color w:val="000000"/>
                <w:sz w:val="14"/>
                <w:szCs w:val="14"/>
                <w:lang w:val="es-ES"/>
              </w:rPr>
            </w:pPr>
          </w:p>
        </w:tc>
        <w:tc>
          <w:tcPr>
            <w:tcW w:w="502"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xml:space="preserve">Aumentos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Disminuciones</w:t>
            </w:r>
          </w:p>
        </w:tc>
        <w:tc>
          <w:tcPr>
            <w:tcW w:w="523"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xml:space="preserve">Aumentos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Disminuciones</w:t>
            </w:r>
          </w:p>
        </w:tc>
        <w:tc>
          <w:tcPr>
            <w:tcW w:w="522" w:type="pct"/>
            <w:tcBorders>
              <w:top w:val="nil"/>
              <w:left w:val="nil"/>
              <w:bottom w:val="single" w:sz="8" w:space="0" w:color="auto"/>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xml:space="preserve">Aumentos </w:t>
            </w:r>
          </w:p>
        </w:tc>
        <w:tc>
          <w:tcPr>
            <w:tcW w:w="522" w:type="pct"/>
            <w:gridSpan w:val="2"/>
            <w:tcBorders>
              <w:top w:val="nil"/>
              <w:left w:val="nil"/>
              <w:bottom w:val="single" w:sz="8" w:space="0" w:color="auto"/>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Disminuciones</w:t>
            </w:r>
          </w:p>
        </w:tc>
        <w:tc>
          <w:tcPr>
            <w:tcW w:w="537" w:type="pct"/>
            <w:gridSpan w:val="2"/>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464" w:type="pct"/>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464" w:type="pct"/>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single" w:sz="8" w:space="0" w:color="auto"/>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single" w:sz="8" w:space="0" w:color="auto"/>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single" w:sz="8" w:space="0" w:color="auto"/>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single" w:sz="8" w:space="0" w:color="auto"/>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single" w:sz="8" w:space="0" w:color="auto"/>
              <w:left w:val="single" w:sz="8" w:space="0" w:color="auto"/>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center"/>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Diferencias permanentes:</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1245" w:type="pct"/>
            <w:gridSpan w:val="3"/>
            <w:tcBorders>
              <w:top w:val="nil"/>
              <w:left w:val="single" w:sz="8" w:space="0" w:color="auto"/>
              <w:bottom w:val="nil"/>
              <w:right w:val="single" w:sz="8" w:space="0" w:color="000000"/>
            </w:tcBorders>
            <w:shd w:val="clear" w:color="auto" w:fill="auto"/>
            <w:noWrap/>
            <w:vAlign w:val="center"/>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 xml:space="preserve">Dotación </w:t>
            </w:r>
            <w:proofErr w:type="spellStart"/>
            <w:r w:rsidRPr="00BB70A9">
              <w:rPr>
                <w:rFonts w:ascii="Lucida Bright" w:hAnsi="Lucida Bright" w:cs="Calibri"/>
                <w:i/>
                <w:iCs/>
                <w:color w:val="000000"/>
                <w:sz w:val="14"/>
                <w:szCs w:val="14"/>
                <w:lang w:val="es-ES"/>
              </w:rPr>
              <w:t>amort</w:t>
            </w:r>
            <w:proofErr w:type="spellEnd"/>
            <w:r w:rsidRPr="00BB70A9">
              <w:rPr>
                <w:rFonts w:ascii="Lucida Bright" w:hAnsi="Lucida Bright" w:cs="Calibri"/>
                <w:i/>
                <w:iCs/>
                <w:color w:val="000000"/>
                <w:sz w:val="14"/>
                <w:szCs w:val="14"/>
                <w:lang w:val="es-ES"/>
              </w:rPr>
              <w:t xml:space="preserve"> superior Plan Especial</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355.424,95</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355.424,95</w:t>
            </w:r>
          </w:p>
        </w:tc>
      </w:tr>
      <w:tr w:rsidR="00083185" w:rsidRPr="00BB70A9" w:rsidTr="00083185">
        <w:trPr>
          <w:trHeight w:val="20"/>
        </w:trPr>
        <w:tc>
          <w:tcPr>
            <w:tcW w:w="1245" w:type="pct"/>
            <w:gridSpan w:val="3"/>
            <w:tcBorders>
              <w:top w:val="nil"/>
              <w:left w:val="single" w:sz="8" w:space="0" w:color="auto"/>
              <w:bottom w:val="nil"/>
              <w:right w:val="single" w:sz="8" w:space="0" w:color="000000"/>
            </w:tcBorders>
            <w:shd w:val="clear" w:color="auto" w:fill="auto"/>
            <w:noWrap/>
            <w:vAlign w:val="center"/>
            <w:hideMark/>
          </w:tcPr>
          <w:p w:rsidR="00BB70A9" w:rsidRPr="00BB70A9" w:rsidRDefault="00BB70A9" w:rsidP="00BB70A9">
            <w:pPr>
              <w:rPr>
                <w:rFonts w:ascii="Lucida Bright" w:hAnsi="Lucida Bright" w:cs="Calibri"/>
                <w:i/>
                <w:iCs/>
                <w:color w:val="000000"/>
                <w:sz w:val="14"/>
                <w:szCs w:val="14"/>
                <w:lang w:val="es-ES"/>
              </w:rPr>
            </w:pPr>
            <w:proofErr w:type="spellStart"/>
            <w:r w:rsidRPr="00BB70A9">
              <w:rPr>
                <w:rFonts w:ascii="Lucida Bright" w:hAnsi="Lucida Bright" w:cs="Calibri"/>
                <w:i/>
                <w:iCs/>
                <w:color w:val="000000"/>
                <w:sz w:val="14"/>
                <w:szCs w:val="14"/>
                <w:lang w:val="es-ES"/>
              </w:rPr>
              <w:t>Ing</w:t>
            </w:r>
            <w:proofErr w:type="spellEnd"/>
            <w:r w:rsidRPr="00BB70A9">
              <w:rPr>
                <w:rFonts w:ascii="Lucida Bright" w:hAnsi="Lucida Bright" w:cs="Calibri"/>
                <w:i/>
                <w:iCs/>
                <w:color w:val="000000"/>
                <w:sz w:val="14"/>
                <w:szCs w:val="14"/>
                <w:lang w:val="es-ES"/>
              </w:rPr>
              <w:t xml:space="preserve"> </w:t>
            </w:r>
            <w:proofErr w:type="spellStart"/>
            <w:r w:rsidRPr="00BB70A9">
              <w:rPr>
                <w:rFonts w:ascii="Lucida Bright" w:hAnsi="Lucida Bright" w:cs="Calibri"/>
                <w:i/>
                <w:iCs/>
                <w:color w:val="000000"/>
                <w:sz w:val="14"/>
                <w:szCs w:val="14"/>
                <w:lang w:val="es-ES"/>
              </w:rPr>
              <w:t>trasp</w:t>
            </w:r>
            <w:proofErr w:type="spellEnd"/>
            <w:r w:rsidRPr="00BB70A9">
              <w:rPr>
                <w:rFonts w:ascii="Lucida Bright" w:hAnsi="Lucida Bright" w:cs="Calibri"/>
                <w:i/>
                <w:iCs/>
                <w:color w:val="000000"/>
                <w:sz w:val="14"/>
                <w:szCs w:val="14"/>
                <w:lang w:val="es-ES"/>
              </w:rPr>
              <w:t xml:space="preserve"> </w:t>
            </w:r>
            <w:proofErr w:type="spellStart"/>
            <w:r w:rsidRPr="00BB70A9">
              <w:rPr>
                <w:rFonts w:ascii="Lucida Bright" w:hAnsi="Lucida Bright" w:cs="Calibri"/>
                <w:i/>
                <w:iCs/>
                <w:color w:val="000000"/>
                <w:sz w:val="14"/>
                <w:szCs w:val="14"/>
                <w:lang w:val="es-ES"/>
              </w:rPr>
              <w:t>rdo</w:t>
            </w:r>
            <w:proofErr w:type="spellEnd"/>
            <w:r w:rsidRPr="00BB70A9">
              <w:rPr>
                <w:rFonts w:ascii="Lucida Bright" w:hAnsi="Lucida Bright" w:cs="Calibri"/>
                <w:i/>
                <w:iCs/>
                <w:color w:val="000000"/>
                <w:sz w:val="14"/>
                <w:szCs w:val="14"/>
                <w:lang w:val="es-ES"/>
              </w:rPr>
              <w:t xml:space="preserve"> reversiones </w:t>
            </w:r>
            <w:proofErr w:type="spellStart"/>
            <w:r w:rsidRPr="00BB70A9">
              <w:rPr>
                <w:rFonts w:ascii="Lucida Bright" w:hAnsi="Lucida Bright" w:cs="Calibri"/>
                <w:i/>
                <w:iCs/>
                <w:color w:val="000000"/>
                <w:sz w:val="14"/>
                <w:szCs w:val="14"/>
                <w:lang w:val="es-ES"/>
              </w:rPr>
              <w:t>conc</w:t>
            </w:r>
            <w:proofErr w:type="spellEnd"/>
            <w:r w:rsidRPr="00BB70A9">
              <w:rPr>
                <w:rFonts w:ascii="Lucida Bright" w:hAnsi="Lucida Bright" w:cs="Calibri"/>
                <w:i/>
                <w:iCs/>
                <w:color w:val="000000"/>
                <w:sz w:val="14"/>
                <w:szCs w:val="14"/>
                <w:lang w:val="es-ES"/>
              </w:rPr>
              <w:t xml:space="preserve"> </w:t>
            </w:r>
            <w:proofErr w:type="spellStart"/>
            <w:r w:rsidRPr="00BB70A9">
              <w:rPr>
                <w:rFonts w:ascii="Lucida Bright" w:hAnsi="Lucida Bright" w:cs="Calibri"/>
                <w:i/>
                <w:iCs/>
                <w:color w:val="000000"/>
                <w:sz w:val="14"/>
                <w:szCs w:val="14"/>
                <w:lang w:val="es-ES"/>
              </w:rPr>
              <w:t>ej</w:t>
            </w:r>
            <w:proofErr w:type="spellEnd"/>
            <w:r w:rsidRPr="00BB70A9">
              <w:rPr>
                <w:rFonts w:ascii="Lucida Bright" w:hAnsi="Lucida Bright" w:cs="Calibri"/>
                <w:i/>
                <w:iCs/>
                <w:color w:val="000000"/>
                <w:sz w:val="14"/>
                <w:szCs w:val="14"/>
                <w:lang w:val="es-ES"/>
              </w:rPr>
              <w:t xml:space="preserve"> ante 2020</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172.721,96</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(172.721,96)</w:t>
            </w:r>
          </w:p>
        </w:tc>
      </w:tr>
      <w:tr w:rsidR="00083185" w:rsidRPr="00BB70A9" w:rsidTr="00083185">
        <w:trPr>
          <w:trHeight w:val="20"/>
        </w:trPr>
        <w:tc>
          <w:tcPr>
            <w:tcW w:w="1245" w:type="pct"/>
            <w:gridSpan w:val="3"/>
            <w:tcBorders>
              <w:top w:val="nil"/>
              <w:left w:val="single" w:sz="8" w:space="0" w:color="auto"/>
              <w:bottom w:val="nil"/>
              <w:right w:val="single" w:sz="8" w:space="0" w:color="000000"/>
            </w:tcBorders>
            <w:shd w:val="clear" w:color="auto" w:fill="auto"/>
            <w:noWrap/>
            <w:vAlign w:val="center"/>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 xml:space="preserve">Dotación </w:t>
            </w:r>
            <w:proofErr w:type="spellStart"/>
            <w:r w:rsidRPr="00BB70A9">
              <w:rPr>
                <w:rFonts w:ascii="Lucida Bright" w:hAnsi="Lucida Bright" w:cs="Calibri"/>
                <w:i/>
                <w:iCs/>
                <w:color w:val="000000"/>
                <w:sz w:val="14"/>
                <w:szCs w:val="14"/>
                <w:lang w:val="es-ES"/>
              </w:rPr>
              <w:t>amort</w:t>
            </w:r>
            <w:proofErr w:type="spellEnd"/>
            <w:r w:rsidRPr="00BB70A9">
              <w:rPr>
                <w:rFonts w:ascii="Lucida Bright" w:hAnsi="Lucida Bright" w:cs="Calibri"/>
                <w:i/>
                <w:iCs/>
                <w:color w:val="000000"/>
                <w:sz w:val="14"/>
                <w:szCs w:val="14"/>
                <w:lang w:val="es-ES"/>
              </w:rPr>
              <w:t xml:space="preserve"> no deducible art 15 n LIS</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553.838,61</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553.838,61</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center"/>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Gastos no económicos del ejercicio</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4.159.237,97</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4.159.237,97</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center"/>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Gastos no deducibles</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7.203,02</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7.203,02</w:t>
            </w:r>
          </w:p>
        </w:tc>
      </w:tr>
      <w:tr w:rsidR="00083185" w:rsidRPr="00BB70A9" w:rsidTr="00083185">
        <w:trPr>
          <w:trHeight w:val="20"/>
        </w:trPr>
        <w:tc>
          <w:tcPr>
            <w:tcW w:w="1245" w:type="pct"/>
            <w:gridSpan w:val="3"/>
            <w:tcBorders>
              <w:top w:val="nil"/>
              <w:left w:val="single" w:sz="8" w:space="0" w:color="auto"/>
              <w:bottom w:val="nil"/>
              <w:right w:val="single" w:sz="8" w:space="0" w:color="000000"/>
            </w:tcBorders>
            <w:shd w:val="clear" w:color="auto" w:fill="auto"/>
            <w:noWrap/>
            <w:vAlign w:val="center"/>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Imputación renta FFATP (modelo 184)</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386,71</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386,71</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center"/>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Reserva de capitalización 2022</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3.018.862,61</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(3.018.862,61)</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Adquisiciones lucrativas</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535.092,25</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(535.092,25)</w:t>
            </w:r>
          </w:p>
        </w:tc>
      </w:tr>
      <w:tr w:rsidR="00083185" w:rsidRPr="00BB70A9" w:rsidTr="00083185">
        <w:trPr>
          <w:trHeight w:val="20"/>
        </w:trPr>
        <w:tc>
          <w:tcPr>
            <w:tcW w:w="464" w:type="pct"/>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 </w:t>
            </w:r>
          </w:p>
        </w:tc>
        <w:tc>
          <w:tcPr>
            <w:tcW w:w="464" w:type="pct"/>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Diferencias temporales:</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Con origen en el ejercicio</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1245" w:type="pct"/>
            <w:gridSpan w:val="3"/>
            <w:tcBorders>
              <w:top w:val="nil"/>
              <w:left w:val="single" w:sz="8" w:space="0" w:color="auto"/>
              <w:bottom w:val="nil"/>
              <w:right w:val="single" w:sz="8" w:space="0" w:color="000000"/>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 xml:space="preserve">Diferencias </w:t>
            </w:r>
            <w:proofErr w:type="spellStart"/>
            <w:r w:rsidRPr="00BB70A9">
              <w:rPr>
                <w:rFonts w:ascii="Lucida Bright" w:hAnsi="Lucida Bright" w:cs="Calibri"/>
                <w:i/>
                <w:iCs/>
                <w:color w:val="000000"/>
                <w:sz w:val="14"/>
                <w:szCs w:val="14"/>
                <w:lang w:val="es-ES"/>
              </w:rPr>
              <w:t>anortización</w:t>
            </w:r>
            <w:proofErr w:type="spellEnd"/>
            <w:r w:rsidRPr="00BB70A9">
              <w:rPr>
                <w:rFonts w:ascii="Lucida Bright" w:hAnsi="Lucida Bright" w:cs="Calibri"/>
                <w:i/>
                <w:iCs/>
                <w:color w:val="000000"/>
                <w:sz w:val="14"/>
                <w:szCs w:val="14"/>
                <w:lang w:val="es-ES"/>
              </w:rPr>
              <w:t xml:space="preserve"> contable y fiscal</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283,35</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476,71</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(193,36)</w:t>
            </w:r>
          </w:p>
        </w:tc>
      </w:tr>
      <w:tr w:rsidR="00083185" w:rsidRPr="00BB70A9" w:rsidTr="00083185">
        <w:trPr>
          <w:trHeight w:val="20"/>
        </w:trPr>
        <w:tc>
          <w:tcPr>
            <w:tcW w:w="1245" w:type="pct"/>
            <w:gridSpan w:val="3"/>
            <w:tcBorders>
              <w:top w:val="nil"/>
              <w:left w:val="single" w:sz="8" w:space="0" w:color="auto"/>
              <w:bottom w:val="nil"/>
              <w:right w:val="single" w:sz="8" w:space="0" w:color="000000"/>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 xml:space="preserve">Actualización finan provisiones no </w:t>
            </w:r>
            <w:proofErr w:type="spellStart"/>
            <w:r w:rsidRPr="00BB70A9">
              <w:rPr>
                <w:rFonts w:ascii="Lucida Bright" w:hAnsi="Lucida Bright" w:cs="Calibri"/>
                <w:i/>
                <w:iCs/>
                <w:color w:val="000000"/>
                <w:sz w:val="14"/>
                <w:szCs w:val="14"/>
                <w:lang w:val="es-ES"/>
              </w:rPr>
              <w:t>deduc</w:t>
            </w:r>
            <w:proofErr w:type="spellEnd"/>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57.278,86</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57.278,86</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Subvenciones recibidas</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Adquisiciones lucrativas</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535.092,25</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13.786,00</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521.306,25</w:t>
            </w:r>
          </w:p>
        </w:tc>
      </w:tr>
      <w:tr w:rsidR="00083185" w:rsidRPr="00BB70A9" w:rsidTr="00083185">
        <w:trPr>
          <w:trHeight w:val="20"/>
        </w:trPr>
        <w:tc>
          <w:tcPr>
            <w:tcW w:w="464" w:type="pct"/>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 </w:t>
            </w:r>
          </w:p>
        </w:tc>
        <w:tc>
          <w:tcPr>
            <w:tcW w:w="464" w:type="pct"/>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927" w:type="pct"/>
            <w:gridSpan w:val="2"/>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Con origen en ejercicios anteriores</w:t>
            </w: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1245" w:type="pct"/>
            <w:gridSpan w:val="3"/>
            <w:tcBorders>
              <w:top w:val="nil"/>
              <w:left w:val="single" w:sz="8" w:space="0" w:color="auto"/>
              <w:bottom w:val="nil"/>
              <w:right w:val="single" w:sz="8" w:space="0" w:color="000000"/>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proofErr w:type="spellStart"/>
            <w:r w:rsidRPr="00BB70A9">
              <w:rPr>
                <w:rFonts w:ascii="Lucida Bright" w:hAnsi="Lucida Bright" w:cs="Calibri"/>
                <w:i/>
                <w:iCs/>
                <w:color w:val="000000"/>
                <w:sz w:val="14"/>
                <w:szCs w:val="14"/>
                <w:lang w:val="es-ES"/>
              </w:rPr>
              <w:t>Deducc</w:t>
            </w:r>
            <w:proofErr w:type="spellEnd"/>
            <w:r w:rsidRPr="00BB70A9">
              <w:rPr>
                <w:rFonts w:ascii="Lucida Bright" w:hAnsi="Lucida Bright" w:cs="Calibri"/>
                <w:i/>
                <w:iCs/>
                <w:color w:val="000000"/>
                <w:sz w:val="14"/>
                <w:szCs w:val="14"/>
                <w:lang w:val="es-ES"/>
              </w:rPr>
              <w:t xml:space="preserve"> 30% gastos </w:t>
            </w:r>
            <w:proofErr w:type="spellStart"/>
            <w:r w:rsidRPr="00BB70A9">
              <w:rPr>
                <w:rFonts w:ascii="Lucida Bright" w:hAnsi="Lucida Bright" w:cs="Calibri"/>
                <w:i/>
                <w:iCs/>
                <w:color w:val="000000"/>
                <w:sz w:val="14"/>
                <w:szCs w:val="14"/>
                <w:lang w:val="es-ES"/>
              </w:rPr>
              <w:t>amortiz</w:t>
            </w:r>
            <w:proofErr w:type="spellEnd"/>
            <w:r w:rsidRPr="00BB70A9">
              <w:rPr>
                <w:rFonts w:ascii="Lucida Bright" w:hAnsi="Lucida Bright" w:cs="Calibri"/>
                <w:i/>
                <w:iCs/>
                <w:color w:val="000000"/>
                <w:sz w:val="14"/>
                <w:szCs w:val="14"/>
                <w:lang w:val="es-ES"/>
              </w:rPr>
              <w:t xml:space="preserve"> Art 7 L16/2012</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44.452,51</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(44.452,51)</w:t>
            </w:r>
          </w:p>
        </w:tc>
      </w:tr>
      <w:tr w:rsidR="00083185" w:rsidRPr="00BB70A9" w:rsidTr="00083185">
        <w:trPr>
          <w:trHeight w:val="20"/>
        </w:trPr>
        <w:tc>
          <w:tcPr>
            <w:tcW w:w="1245" w:type="pct"/>
            <w:gridSpan w:val="3"/>
            <w:tcBorders>
              <w:top w:val="nil"/>
              <w:left w:val="single" w:sz="8" w:space="0" w:color="auto"/>
              <w:bottom w:val="nil"/>
              <w:right w:val="single" w:sz="8" w:space="0" w:color="000000"/>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 xml:space="preserve">Diferencias </w:t>
            </w:r>
            <w:proofErr w:type="spellStart"/>
            <w:r w:rsidRPr="00BB70A9">
              <w:rPr>
                <w:rFonts w:ascii="Lucida Bright" w:hAnsi="Lucida Bright" w:cs="Calibri"/>
                <w:i/>
                <w:iCs/>
                <w:color w:val="000000"/>
                <w:sz w:val="14"/>
                <w:szCs w:val="14"/>
                <w:lang w:val="es-ES"/>
              </w:rPr>
              <w:t>anortización</w:t>
            </w:r>
            <w:proofErr w:type="spellEnd"/>
            <w:r w:rsidRPr="00BB70A9">
              <w:rPr>
                <w:rFonts w:ascii="Lucida Bright" w:hAnsi="Lucida Bright" w:cs="Calibri"/>
                <w:i/>
                <w:iCs/>
                <w:color w:val="000000"/>
                <w:sz w:val="14"/>
                <w:szCs w:val="14"/>
                <w:lang w:val="es-ES"/>
              </w:rPr>
              <w:t xml:space="preserve"> contable y fiscal</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190,98</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87,19</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jc w:val="right"/>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103,79</w:t>
            </w:r>
          </w:p>
        </w:tc>
      </w:tr>
      <w:tr w:rsidR="00083185" w:rsidRPr="00BB70A9" w:rsidTr="00083185">
        <w:trPr>
          <w:trHeight w:val="20"/>
        </w:trPr>
        <w:tc>
          <w:tcPr>
            <w:tcW w:w="464" w:type="pct"/>
            <w:tcBorders>
              <w:top w:val="nil"/>
              <w:left w:val="single" w:sz="8" w:space="0" w:color="auto"/>
              <w:bottom w:val="nil"/>
              <w:right w:val="nil"/>
            </w:tcBorders>
            <w:shd w:val="clear" w:color="auto" w:fill="auto"/>
            <w:noWrap/>
            <w:vAlign w:val="bottom"/>
            <w:hideMark/>
          </w:tcPr>
          <w:p w:rsidR="00BB70A9" w:rsidRPr="00BB70A9" w:rsidRDefault="00BB70A9" w:rsidP="00BB70A9">
            <w:pPr>
              <w:rPr>
                <w:rFonts w:ascii="Lucida Bright" w:hAnsi="Lucida Bright" w:cs="Calibri"/>
                <w:i/>
                <w:iCs/>
                <w:color w:val="000000"/>
                <w:sz w:val="14"/>
                <w:szCs w:val="14"/>
                <w:lang w:val="es-ES"/>
              </w:rPr>
            </w:pPr>
            <w:r w:rsidRPr="00BB70A9">
              <w:rPr>
                <w:rFonts w:ascii="Lucida Bright" w:hAnsi="Lucida Bright" w:cs="Calibri"/>
                <w:i/>
                <w:iCs/>
                <w:color w:val="000000"/>
                <w:sz w:val="14"/>
                <w:szCs w:val="14"/>
                <w:lang w:val="es-ES"/>
              </w:rPr>
              <w:t> </w:t>
            </w:r>
          </w:p>
        </w:tc>
        <w:tc>
          <w:tcPr>
            <w:tcW w:w="464" w:type="pct"/>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318"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0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nil"/>
              <w:right w:val="single" w:sz="4"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p>
        </w:tc>
        <w:tc>
          <w:tcPr>
            <w:tcW w:w="537" w:type="pct"/>
            <w:gridSpan w:val="2"/>
            <w:tcBorders>
              <w:top w:val="nil"/>
              <w:left w:val="single" w:sz="8" w:space="0" w:color="auto"/>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1245" w:type="pct"/>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Compensación de bases imponibles negativas de ejercicios anteriores</w:t>
            </w:r>
          </w:p>
        </w:tc>
        <w:tc>
          <w:tcPr>
            <w:tcW w:w="502" w:type="pct"/>
            <w:tcBorders>
              <w:top w:val="single" w:sz="8" w:space="0" w:color="auto"/>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single" w:sz="8" w:space="0" w:color="auto"/>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single" w:sz="8" w:space="0" w:color="auto"/>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single" w:sz="8" w:space="0" w:color="auto"/>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single" w:sz="8" w:space="0" w:color="auto"/>
              <w:left w:val="nil"/>
              <w:bottom w:val="nil"/>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single" w:sz="8" w:space="0" w:color="auto"/>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37" w:type="pct"/>
            <w:gridSpan w:val="2"/>
            <w:tcBorders>
              <w:top w:val="single" w:sz="8" w:space="0" w:color="auto"/>
              <w:left w:val="nil"/>
              <w:bottom w:val="nil"/>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083185" w:rsidRPr="00BB70A9" w:rsidTr="00083185">
        <w:trPr>
          <w:trHeight w:val="20"/>
        </w:trPr>
        <w:tc>
          <w:tcPr>
            <w:tcW w:w="1245" w:type="pct"/>
            <w:gridSpan w:val="3"/>
            <w:vMerge/>
            <w:tcBorders>
              <w:top w:val="nil"/>
              <w:left w:val="single" w:sz="8" w:space="0" w:color="auto"/>
              <w:bottom w:val="single" w:sz="8" w:space="0" w:color="000000"/>
              <w:right w:val="single" w:sz="8" w:space="0" w:color="000000"/>
            </w:tcBorders>
            <w:vAlign w:val="center"/>
            <w:hideMark/>
          </w:tcPr>
          <w:p w:rsidR="00BB70A9" w:rsidRPr="00BB70A9" w:rsidRDefault="00BB70A9" w:rsidP="00BB70A9">
            <w:pPr>
              <w:rPr>
                <w:rFonts w:ascii="Lucida Bright" w:hAnsi="Lucida Bright" w:cs="Calibri"/>
                <w:color w:val="000000"/>
                <w:sz w:val="14"/>
                <w:szCs w:val="14"/>
                <w:lang w:val="es-ES"/>
              </w:rPr>
            </w:pPr>
          </w:p>
        </w:tc>
        <w:tc>
          <w:tcPr>
            <w:tcW w:w="502" w:type="pct"/>
            <w:tcBorders>
              <w:top w:val="nil"/>
              <w:left w:val="nil"/>
              <w:bottom w:val="single" w:sz="8" w:space="0" w:color="auto"/>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single" w:sz="8" w:space="0" w:color="auto"/>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3" w:type="pct"/>
            <w:tcBorders>
              <w:top w:val="nil"/>
              <w:left w:val="nil"/>
              <w:bottom w:val="single" w:sz="8" w:space="0" w:color="auto"/>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74" w:type="pct"/>
            <w:tcBorders>
              <w:top w:val="nil"/>
              <w:left w:val="nil"/>
              <w:bottom w:val="single" w:sz="8" w:space="0" w:color="auto"/>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tcBorders>
              <w:top w:val="nil"/>
              <w:left w:val="nil"/>
              <w:bottom w:val="single" w:sz="8" w:space="0" w:color="auto"/>
              <w:right w:val="nil"/>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22" w:type="pct"/>
            <w:gridSpan w:val="2"/>
            <w:tcBorders>
              <w:top w:val="nil"/>
              <w:left w:val="nil"/>
              <w:bottom w:val="single" w:sz="8" w:space="0" w:color="auto"/>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c>
          <w:tcPr>
            <w:tcW w:w="537" w:type="pct"/>
            <w:gridSpan w:val="2"/>
            <w:tcBorders>
              <w:top w:val="nil"/>
              <w:left w:val="nil"/>
              <w:bottom w:val="single" w:sz="8" w:space="0" w:color="auto"/>
              <w:right w:val="single" w:sz="8" w:space="0" w:color="auto"/>
            </w:tcBorders>
            <w:shd w:val="clear" w:color="auto" w:fill="auto"/>
            <w:noWrap/>
            <w:vAlign w:val="bottom"/>
            <w:hideMark/>
          </w:tcPr>
          <w:p w:rsidR="00BB70A9" w:rsidRPr="00BB70A9" w:rsidRDefault="00BB70A9" w:rsidP="00BB70A9">
            <w:pP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 </w:t>
            </w:r>
          </w:p>
        </w:tc>
      </w:tr>
      <w:tr w:rsidR="00BB70A9" w:rsidRPr="00BB70A9" w:rsidTr="00083185">
        <w:trPr>
          <w:trHeight w:val="165"/>
        </w:trPr>
        <w:tc>
          <w:tcPr>
            <w:tcW w:w="1245"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B70A9" w:rsidRPr="00BB70A9" w:rsidRDefault="00BB70A9" w:rsidP="00BB70A9">
            <w:pPr>
              <w:rPr>
                <w:rFonts w:ascii="Lucida Bright" w:hAnsi="Lucida Bright" w:cs="Calibri"/>
                <w:b/>
                <w:bCs/>
                <w:color w:val="000000"/>
                <w:sz w:val="14"/>
                <w:szCs w:val="14"/>
                <w:lang w:val="es-ES"/>
              </w:rPr>
            </w:pPr>
            <w:r w:rsidRPr="00BB70A9">
              <w:rPr>
                <w:rFonts w:ascii="Lucida Bright" w:hAnsi="Lucida Bright" w:cs="Calibri"/>
                <w:b/>
                <w:bCs/>
                <w:color w:val="000000"/>
                <w:sz w:val="14"/>
                <w:szCs w:val="14"/>
                <w:lang w:val="es-ES"/>
              </w:rPr>
              <w:t>Base Imponible fiscal</w:t>
            </w:r>
          </w:p>
        </w:tc>
        <w:tc>
          <w:tcPr>
            <w:tcW w:w="107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35.222.333,05</w:t>
            </w:r>
          </w:p>
        </w:tc>
        <w:tc>
          <w:tcPr>
            <w:tcW w:w="1097"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0,00</w:t>
            </w:r>
          </w:p>
        </w:tc>
        <w:tc>
          <w:tcPr>
            <w:tcW w:w="1044"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0,00</w:t>
            </w:r>
          </w:p>
        </w:tc>
        <w:tc>
          <w:tcPr>
            <w:tcW w:w="537"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BB70A9" w:rsidRPr="00BB70A9" w:rsidRDefault="00BB70A9" w:rsidP="00BB70A9">
            <w:pPr>
              <w:jc w:val="center"/>
              <w:rPr>
                <w:rFonts w:ascii="Lucida Bright" w:hAnsi="Lucida Bright" w:cs="Calibri"/>
                <w:color w:val="000000"/>
                <w:sz w:val="14"/>
                <w:szCs w:val="14"/>
                <w:lang w:val="es-ES"/>
              </w:rPr>
            </w:pPr>
            <w:r w:rsidRPr="00BB70A9">
              <w:rPr>
                <w:rFonts w:ascii="Lucida Bright" w:hAnsi="Lucida Bright" w:cs="Calibri"/>
                <w:color w:val="000000"/>
                <w:sz w:val="14"/>
                <w:szCs w:val="14"/>
                <w:lang w:val="es-ES"/>
              </w:rPr>
              <w:t>35.222.333,05</w:t>
            </w:r>
          </w:p>
        </w:tc>
      </w:tr>
      <w:tr w:rsidR="00BB70A9" w:rsidRPr="00BB70A9" w:rsidTr="00083185">
        <w:trPr>
          <w:trHeight w:val="165"/>
        </w:trPr>
        <w:tc>
          <w:tcPr>
            <w:tcW w:w="1245" w:type="pct"/>
            <w:gridSpan w:val="3"/>
            <w:vMerge/>
            <w:tcBorders>
              <w:top w:val="single" w:sz="8" w:space="0" w:color="auto"/>
              <w:left w:val="single" w:sz="8" w:space="0" w:color="auto"/>
              <w:bottom w:val="single" w:sz="8" w:space="0" w:color="000000"/>
              <w:right w:val="single" w:sz="8" w:space="0" w:color="000000"/>
            </w:tcBorders>
            <w:vAlign w:val="center"/>
            <w:hideMark/>
          </w:tcPr>
          <w:p w:rsidR="00BB70A9" w:rsidRPr="00BB70A9" w:rsidRDefault="00BB70A9" w:rsidP="00BB70A9">
            <w:pPr>
              <w:rPr>
                <w:rFonts w:ascii="Lucida Bright" w:hAnsi="Lucida Bright" w:cs="Calibri"/>
                <w:b/>
                <w:bCs/>
                <w:color w:val="000000"/>
                <w:sz w:val="14"/>
                <w:szCs w:val="14"/>
                <w:lang w:val="es-ES"/>
              </w:rPr>
            </w:pPr>
          </w:p>
        </w:tc>
        <w:tc>
          <w:tcPr>
            <w:tcW w:w="1076" w:type="pct"/>
            <w:gridSpan w:val="2"/>
            <w:vMerge/>
            <w:tcBorders>
              <w:top w:val="single" w:sz="8" w:space="0" w:color="auto"/>
              <w:left w:val="single" w:sz="8" w:space="0" w:color="auto"/>
              <w:bottom w:val="single" w:sz="8" w:space="0" w:color="000000"/>
              <w:right w:val="single" w:sz="8" w:space="0" w:color="auto"/>
            </w:tcBorders>
            <w:vAlign w:val="center"/>
            <w:hideMark/>
          </w:tcPr>
          <w:p w:rsidR="00BB70A9" w:rsidRPr="00BB70A9" w:rsidRDefault="00BB70A9" w:rsidP="00BB70A9">
            <w:pPr>
              <w:rPr>
                <w:rFonts w:ascii="Lucida Bright" w:hAnsi="Lucida Bright" w:cs="Calibri"/>
                <w:color w:val="000000"/>
                <w:sz w:val="14"/>
                <w:szCs w:val="14"/>
                <w:lang w:val="es-ES"/>
              </w:rPr>
            </w:pPr>
          </w:p>
        </w:tc>
        <w:tc>
          <w:tcPr>
            <w:tcW w:w="1097" w:type="pct"/>
            <w:gridSpan w:val="2"/>
            <w:vMerge/>
            <w:tcBorders>
              <w:top w:val="single" w:sz="8" w:space="0" w:color="auto"/>
              <w:left w:val="single" w:sz="8" w:space="0" w:color="auto"/>
              <w:bottom w:val="single" w:sz="8" w:space="0" w:color="000000"/>
              <w:right w:val="single" w:sz="8" w:space="0" w:color="auto"/>
            </w:tcBorders>
            <w:vAlign w:val="center"/>
            <w:hideMark/>
          </w:tcPr>
          <w:p w:rsidR="00BB70A9" w:rsidRPr="00BB70A9" w:rsidRDefault="00BB70A9" w:rsidP="00BB70A9">
            <w:pPr>
              <w:rPr>
                <w:rFonts w:ascii="Lucida Bright" w:hAnsi="Lucida Bright" w:cs="Calibri"/>
                <w:color w:val="000000"/>
                <w:sz w:val="14"/>
                <w:szCs w:val="14"/>
                <w:lang w:val="es-ES"/>
              </w:rPr>
            </w:pPr>
          </w:p>
        </w:tc>
        <w:tc>
          <w:tcPr>
            <w:tcW w:w="1044" w:type="pct"/>
            <w:gridSpan w:val="3"/>
            <w:vMerge/>
            <w:tcBorders>
              <w:top w:val="single" w:sz="8" w:space="0" w:color="auto"/>
              <w:left w:val="single" w:sz="8" w:space="0" w:color="auto"/>
              <w:bottom w:val="single" w:sz="8" w:space="0" w:color="000000"/>
              <w:right w:val="single" w:sz="8" w:space="0" w:color="auto"/>
            </w:tcBorders>
            <w:vAlign w:val="center"/>
            <w:hideMark/>
          </w:tcPr>
          <w:p w:rsidR="00BB70A9" w:rsidRPr="00BB70A9" w:rsidRDefault="00BB70A9" w:rsidP="00BB70A9">
            <w:pPr>
              <w:rPr>
                <w:rFonts w:ascii="Lucida Bright" w:hAnsi="Lucida Bright" w:cs="Calibri"/>
                <w:color w:val="000000"/>
                <w:sz w:val="14"/>
                <w:szCs w:val="14"/>
                <w:lang w:val="es-ES"/>
              </w:rPr>
            </w:pPr>
          </w:p>
        </w:tc>
        <w:tc>
          <w:tcPr>
            <w:tcW w:w="537" w:type="pct"/>
            <w:gridSpan w:val="2"/>
            <w:vMerge/>
            <w:tcBorders>
              <w:top w:val="nil"/>
              <w:left w:val="single" w:sz="8" w:space="0" w:color="auto"/>
              <w:bottom w:val="single" w:sz="8" w:space="0" w:color="000000"/>
              <w:right w:val="single" w:sz="8" w:space="0" w:color="auto"/>
            </w:tcBorders>
            <w:vAlign w:val="center"/>
            <w:hideMark/>
          </w:tcPr>
          <w:p w:rsidR="00BB70A9" w:rsidRPr="00BB70A9" w:rsidRDefault="00BB70A9" w:rsidP="00BB70A9">
            <w:pPr>
              <w:rPr>
                <w:rFonts w:ascii="Lucida Bright" w:hAnsi="Lucida Bright" w:cs="Calibri"/>
                <w:color w:val="000000"/>
                <w:sz w:val="14"/>
                <w:szCs w:val="14"/>
                <w:lang w:val="es-ES"/>
              </w:rPr>
            </w:pPr>
          </w:p>
        </w:tc>
      </w:tr>
    </w:tbl>
    <w:p w:rsidR="00BB70A9" w:rsidRDefault="00BB70A9">
      <w:pPr>
        <w:tabs>
          <w:tab w:val="right" w:pos="8364"/>
        </w:tabs>
        <w:ind w:firstLine="540"/>
        <w:jc w:val="both"/>
        <w:rPr>
          <w:rFonts w:ascii="NewBaskerville" w:hAnsi="NewBaskerville"/>
          <w:bCs/>
          <w:u w:val="single"/>
        </w:rPr>
      </w:pPr>
    </w:p>
    <w:p w:rsidR="00BB70A9" w:rsidRDefault="00BB70A9">
      <w:pPr>
        <w:tabs>
          <w:tab w:val="right" w:pos="8364"/>
        </w:tabs>
        <w:ind w:firstLine="540"/>
        <w:jc w:val="both"/>
        <w:rPr>
          <w:rFonts w:ascii="NewBaskerville" w:hAnsi="NewBaskerville"/>
          <w:bCs/>
          <w:u w:val="single"/>
        </w:rPr>
      </w:pPr>
    </w:p>
    <w:p w:rsidR="00BB70A9" w:rsidRDefault="00BB70A9">
      <w:pPr>
        <w:tabs>
          <w:tab w:val="right" w:pos="8364"/>
        </w:tabs>
        <w:ind w:firstLine="540"/>
        <w:jc w:val="both"/>
        <w:rPr>
          <w:rFonts w:ascii="NewBaskerville" w:hAnsi="NewBaskerville"/>
          <w:bCs/>
          <w:u w:val="single"/>
        </w:rPr>
      </w:pPr>
    </w:p>
    <w:p w:rsidR="00BB70A9" w:rsidRDefault="00BB70A9">
      <w:pPr>
        <w:tabs>
          <w:tab w:val="right" w:pos="8364"/>
        </w:tabs>
        <w:ind w:firstLine="540"/>
        <w:jc w:val="both"/>
        <w:rPr>
          <w:rFonts w:ascii="NewBaskerville" w:hAnsi="NewBaskerville"/>
          <w:bCs/>
          <w:u w:val="single"/>
        </w:rPr>
      </w:pPr>
    </w:p>
    <w:p w:rsidR="00BB70A9" w:rsidRDefault="00BB70A9">
      <w:pPr>
        <w:tabs>
          <w:tab w:val="right" w:pos="8364"/>
        </w:tabs>
        <w:ind w:firstLine="540"/>
        <w:jc w:val="both"/>
        <w:rPr>
          <w:rFonts w:ascii="NewBaskerville" w:hAnsi="NewBaskerville"/>
          <w:bCs/>
          <w:u w:val="single"/>
        </w:rPr>
        <w:sectPr w:rsidR="00BB70A9" w:rsidSect="00BB70A9">
          <w:pgSz w:w="16840" w:h="11907" w:orient="landscape" w:code="9"/>
          <w:pgMar w:top="1985" w:right="1701" w:bottom="1418" w:left="1701" w:header="567" w:footer="720" w:gutter="0"/>
          <w:cols w:space="720"/>
          <w:docGrid w:linePitch="272"/>
        </w:sectPr>
      </w:pPr>
    </w:p>
    <w:p w:rsidR="00BB70A9" w:rsidRDefault="00BB70A9">
      <w:pPr>
        <w:tabs>
          <w:tab w:val="right" w:pos="8364"/>
        </w:tabs>
        <w:ind w:firstLine="540"/>
        <w:jc w:val="both"/>
        <w:rPr>
          <w:rFonts w:ascii="NewBaskerville" w:hAnsi="NewBaskerville"/>
          <w:bCs/>
          <w:u w:val="single"/>
        </w:rPr>
      </w:pPr>
    </w:p>
    <w:p w:rsidR="0087318F" w:rsidRPr="00B450EE" w:rsidRDefault="00BB70A9">
      <w:pPr>
        <w:tabs>
          <w:tab w:val="right" w:pos="8364"/>
        </w:tabs>
        <w:ind w:firstLine="540"/>
        <w:jc w:val="both"/>
        <w:rPr>
          <w:rFonts w:ascii="NewBaskerville" w:hAnsi="NewBaskerville"/>
          <w:bCs/>
          <w:u w:val="single"/>
        </w:rPr>
      </w:pPr>
      <w:r>
        <w:rPr>
          <w:rFonts w:ascii="NewBaskerville" w:hAnsi="NewBaskerville"/>
          <w:bCs/>
          <w:u w:val="single"/>
        </w:rPr>
        <w:t>Im</w:t>
      </w:r>
      <w:r w:rsidR="0087318F" w:rsidRPr="00B450EE">
        <w:rPr>
          <w:rFonts w:ascii="NewBaskerville" w:hAnsi="NewBaskerville"/>
          <w:bCs/>
          <w:u w:val="single"/>
        </w:rPr>
        <w:t>puestos reconocidos en el patrimonio neto.</w:t>
      </w:r>
    </w:p>
    <w:p w:rsidR="0010198F" w:rsidRPr="00B450EE" w:rsidRDefault="0010198F">
      <w:pPr>
        <w:tabs>
          <w:tab w:val="right" w:pos="8364"/>
        </w:tabs>
        <w:ind w:firstLine="540"/>
        <w:jc w:val="both"/>
        <w:rPr>
          <w:rFonts w:ascii="NewBaskerville" w:hAnsi="NewBaskerville"/>
          <w:bCs/>
        </w:rPr>
      </w:pPr>
    </w:p>
    <w:p w:rsidR="0087318F" w:rsidRPr="00B450EE" w:rsidRDefault="0087318F">
      <w:pPr>
        <w:tabs>
          <w:tab w:val="right" w:pos="8364"/>
        </w:tabs>
        <w:ind w:firstLine="540"/>
        <w:jc w:val="both"/>
        <w:rPr>
          <w:rFonts w:ascii="NewBaskerville" w:hAnsi="NewBaskerville"/>
          <w:bCs/>
        </w:rPr>
      </w:pPr>
      <w:r w:rsidRPr="00B450EE">
        <w:rPr>
          <w:rFonts w:ascii="NewBaskerville" w:hAnsi="NewBaskerville"/>
          <w:bCs/>
        </w:rPr>
        <w:t xml:space="preserve">Detalle </w:t>
      </w:r>
      <w:r w:rsidR="003F24D6" w:rsidRPr="00B450EE">
        <w:rPr>
          <w:rFonts w:ascii="NewBaskerville" w:hAnsi="NewBaskerville"/>
          <w:bCs/>
        </w:rPr>
        <w:t>de los impuestos reconocidos</w:t>
      </w:r>
      <w:r w:rsidRPr="00B450EE">
        <w:rPr>
          <w:rFonts w:ascii="NewBaskerville" w:hAnsi="NewBaskerville"/>
          <w:bCs/>
        </w:rPr>
        <w:t xml:space="preserve"> directamente en el patrimonio neto.</w:t>
      </w:r>
    </w:p>
    <w:p w:rsidR="00E0015A" w:rsidRDefault="00E0015A">
      <w:pPr>
        <w:tabs>
          <w:tab w:val="right" w:pos="8364"/>
        </w:tabs>
        <w:ind w:firstLine="540"/>
        <w:jc w:val="both"/>
        <w:rPr>
          <w:bCs/>
        </w:rPr>
      </w:pPr>
    </w:p>
    <w:p w:rsidR="00B450EE" w:rsidRDefault="00B450EE">
      <w:pPr>
        <w:tabs>
          <w:tab w:val="right" w:pos="8364"/>
        </w:tabs>
        <w:ind w:firstLine="540"/>
        <w:jc w:val="both"/>
        <w:rPr>
          <w:bCs/>
        </w:rPr>
      </w:pPr>
    </w:p>
    <w:tbl>
      <w:tblPr>
        <w:tblW w:w="5124" w:type="pct"/>
        <w:tblLayout w:type="fixed"/>
        <w:tblCellMar>
          <w:left w:w="70" w:type="dxa"/>
          <w:right w:w="70" w:type="dxa"/>
        </w:tblCellMar>
        <w:tblLook w:val="04A0" w:firstRow="1" w:lastRow="0" w:firstColumn="1" w:lastColumn="0" w:noHBand="0" w:noVBand="1"/>
      </w:tblPr>
      <w:tblGrid>
        <w:gridCol w:w="1186"/>
        <w:gridCol w:w="1184"/>
        <w:gridCol w:w="1183"/>
        <w:gridCol w:w="1222"/>
        <w:gridCol w:w="1534"/>
        <w:gridCol w:w="1387"/>
        <w:gridCol w:w="1162"/>
      </w:tblGrid>
      <w:tr w:rsidR="009E72CE" w:rsidRPr="009E72CE" w:rsidTr="00533ECB">
        <w:trPr>
          <w:trHeight w:val="240"/>
        </w:trPr>
        <w:tc>
          <w:tcPr>
            <w:tcW w:w="3560" w:type="pct"/>
            <w:gridSpan w:val="5"/>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b/>
                <w:bCs/>
                <w:color w:val="000000"/>
                <w:sz w:val="16"/>
                <w:szCs w:val="16"/>
                <w:lang w:val="es-ES"/>
              </w:rPr>
            </w:pPr>
            <w:r w:rsidRPr="009E72CE">
              <w:rPr>
                <w:rFonts w:ascii="Lucida Bright" w:hAnsi="Lucida Bright" w:cs="Calibri"/>
                <w:b/>
                <w:bCs/>
                <w:color w:val="000000"/>
                <w:sz w:val="16"/>
                <w:szCs w:val="16"/>
                <w:lang w:val="es-ES"/>
              </w:rPr>
              <w:t>Ejercicio 2023. Impuestos reconocidos en el patrimonio neto.</w:t>
            </w:r>
          </w:p>
        </w:tc>
        <w:tc>
          <w:tcPr>
            <w:tcW w:w="783"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6"/>
                <w:szCs w:val="16"/>
                <w:lang w:val="es-ES"/>
              </w:rPr>
            </w:pPr>
          </w:p>
        </w:tc>
        <w:tc>
          <w:tcPr>
            <w:tcW w:w="656"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6"/>
                <w:szCs w:val="16"/>
                <w:lang w:val="es-ES"/>
              </w:rPr>
            </w:pPr>
          </w:p>
        </w:tc>
      </w:tr>
      <w:tr w:rsidR="009E72CE" w:rsidRPr="009E72CE" w:rsidTr="00533ECB">
        <w:trPr>
          <w:trHeight w:val="240"/>
        </w:trPr>
        <w:tc>
          <w:tcPr>
            <w:tcW w:w="669" w:type="pct"/>
            <w:tcBorders>
              <w:top w:val="single" w:sz="8" w:space="0" w:color="auto"/>
              <w:left w:val="single" w:sz="8" w:space="0" w:color="auto"/>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8" w:type="pct"/>
            <w:tcBorders>
              <w:top w:val="single" w:sz="8" w:space="0" w:color="auto"/>
              <w:left w:val="nil"/>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single" w:sz="8" w:space="0" w:color="auto"/>
              <w:left w:val="nil"/>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90" w:type="pct"/>
            <w:tcBorders>
              <w:top w:val="single" w:sz="8" w:space="0" w:color="auto"/>
              <w:left w:val="nil"/>
              <w:bottom w:val="nil"/>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66" w:type="pct"/>
            <w:tcBorders>
              <w:top w:val="single" w:sz="8" w:space="0" w:color="auto"/>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single" w:sz="8" w:space="0" w:color="auto"/>
              <w:left w:val="nil"/>
              <w:bottom w:val="single" w:sz="8" w:space="0" w:color="auto"/>
              <w:right w:val="nil"/>
            </w:tcBorders>
            <w:shd w:val="clear" w:color="000000" w:fill="CCFFCC"/>
            <w:noWrap/>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Euros</w:t>
            </w:r>
          </w:p>
        </w:tc>
        <w:tc>
          <w:tcPr>
            <w:tcW w:w="656" w:type="pct"/>
            <w:tcBorders>
              <w:top w:val="single" w:sz="8" w:space="0" w:color="auto"/>
              <w:left w:val="nil"/>
              <w:bottom w:val="single" w:sz="8" w:space="0" w:color="auto"/>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70"/>
        </w:trPr>
        <w:tc>
          <w:tcPr>
            <w:tcW w:w="669" w:type="pct"/>
            <w:tcBorders>
              <w:top w:val="nil"/>
              <w:left w:val="single" w:sz="8" w:space="0" w:color="auto"/>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8" w:type="pct"/>
            <w:tcBorders>
              <w:top w:val="nil"/>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nil"/>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90" w:type="pct"/>
            <w:tcBorders>
              <w:top w:val="nil"/>
              <w:left w:val="nil"/>
              <w:bottom w:val="single" w:sz="8" w:space="0" w:color="auto"/>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66" w:type="pct"/>
            <w:tcBorders>
              <w:top w:val="nil"/>
              <w:left w:val="nil"/>
              <w:bottom w:val="single" w:sz="8" w:space="0" w:color="auto"/>
              <w:right w:val="single" w:sz="8" w:space="0" w:color="auto"/>
            </w:tcBorders>
            <w:shd w:val="clear" w:color="000000" w:fill="CCFFCC"/>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Aumentos</w:t>
            </w:r>
          </w:p>
        </w:tc>
        <w:tc>
          <w:tcPr>
            <w:tcW w:w="783" w:type="pct"/>
            <w:tcBorders>
              <w:top w:val="nil"/>
              <w:left w:val="nil"/>
              <w:bottom w:val="single" w:sz="8" w:space="0" w:color="auto"/>
              <w:right w:val="single" w:sz="8" w:space="0" w:color="auto"/>
            </w:tcBorders>
            <w:shd w:val="clear" w:color="000000" w:fill="CCFFCC"/>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Disminuciones</w:t>
            </w:r>
          </w:p>
        </w:tc>
        <w:tc>
          <w:tcPr>
            <w:tcW w:w="656" w:type="pct"/>
            <w:tcBorders>
              <w:top w:val="nil"/>
              <w:left w:val="nil"/>
              <w:bottom w:val="single" w:sz="8" w:space="0" w:color="auto"/>
              <w:right w:val="single" w:sz="8" w:space="0" w:color="auto"/>
            </w:tcBorders>
            <w:shd w:val="clear" w:color="000000" w:fill="CCFFCC"/>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Total</w:t>
            </w:r>
          </w:p>
        </w:tc>
      </w:tr>
      <w:tr w:rsidR="009E72CE" w:rsidRPr="009E72CE" w:rsidTr="00533ECB">
        <w:trPr>
          <w:trHeight w:val="225"/>
        </w:trPr>
        <w:tc>
          <w:tcPr>
            <w:tcW w:w="669" w:type="pct"/>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8"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90"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6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2694" w:type="pct"/>
            <w:gridSpan w:val="4"/>
            <w:tcBorders>
              <w:top w:val="nil"/>
              <w:left w:val="single" w:sz="8" w:space="0" w:color="auto"/>
              <w:bottom w:val="nil"/>
              <w:right w:val="single" w:sz="8" w:space="0" w:color="000000"/>
            </w:tcBorders>
            <w:shd w:val="clear" w:color="auto" w:fill="auto"/>
            <w:vAlign w:val="center"/>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Por impuesto corriente:</w:t>
            </w:r>
          </w:p>
        </w:tc>
        <w:tc>
          <w:tcPr>
            <w:tcW w:w="86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40"/>
        </w:trPr>
        <w:tc>
          <w:tcPr>
            <w:tcW w:w="669" w:type="pct"/>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i/>
                <w:iCs/>
                <w:color w:val="000000"/>
                <w:sz w:val="14"/>
                <w:szCs w:val="14"/>
                <w:lang w:val="es-ES"/>
              </w:rPr>
            </w:pPr>
            <w:r w:rsidRPr="009E72CE">
              <w:rPr>
                <w:rFonts w:ascii="Lucida Bright" w:hAnsi="Lucida Bright" w:cs="Calibri"/>
                <w:i/>
                <w:iCs/>
                <w:color w:val="000000"/>
                <w:sz w:val="14"/>
                <w:szCs w:val="14"/>
                <w:lang w:val="es-ES"/>
              </w:rPr>
              <w:t> </w:t>
            </w:r>
          </w:p>
        </w:tc>
        <w:tc>
          <w:tcPr>
            <w:tcW w:w="668"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67"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90"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66"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40"/>
        </w:trPr>
        <w:tc>
          <w:tcPr>
            <w:tcW w:w="2694"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Total impuesto corriente</w:t>
            </w:r>
          </w:p>
        </w:tc>
        <w:tc>
          <w:tcPr>
            <w:tcW w:w="866"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single" w:sz="8" w:space="0" w:color="auto"/>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669" w:type="pct"/>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8"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67"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90"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6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2694"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Por impuesto diferido:</w:t>
            </w:r>
          </w:p>
        </w:tc>
        <w:tc>
          <w:tcPr>
            <w:tcW w:w="86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2694"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Con origen en el ejercicio</w:t>
            </w:r>
          </w:p>
        </w:tc>
        <w:tc>
          <w:tcPr>
            <w:tcW w:w="86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55"/>
        </w:trPr>
        <w:tc>
          <w:tcPr>
            <w:tcW w:w="2004" w:type="pct"/>
            <w:gridSpan w:val="3"/>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i/>
                <w:iCs/>
                <w:color w:val="000000"/>
                <w:sz w:val="14"/>
                <w:szCs w:val="14"/>
                <w:lang w:val="es-ES"/>
              </w:rPr>
            </w:pPr>
            <w:r w:rsidRPr="009E72CE">
              <w:rPr>
                <w:rFonts w:ascii="Lucida Bright" w:hAnsi="Lucida Bright" w:cs="Calibri"/>
                <w:i/>
                <w:iCs/>
                <w:color w:val="000000"/>
                <w:sz w:val="14"/>
                <w:szCs w:val="14"/>
                <w:lang w:val="es-ES"/>
              </w:rPr>
              <w:t xml:space="preserve">Efecto fiscal subvenciones devengadas </w:t>
            </w:r>
          </w:p>
        </w:tc>
        <w:tc>
          <w:tcPr>
            <w:tcW w:w="690" w:type="pct"/>
            <w:tcBorders>
              <w:top w:val="nil"/>
              <w:left w:val="nil"/>
              <w:bottom w:val="nil"/>
              <w:right w:val="single" w:sz="8" w:space="0" w:color="auto"/>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66" w:type="pct"/>
            <w:tcBorders>
              <w:top w:val="nil"/>
              <w:left w:val="nil"/>
              <w:bottom w:val="nil"/>
              <w:right w:val="single" w:sz="4"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299.040,13</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299.040,13</w:t>
            </w:r>
          </w:p>
        </w:tc>
      </w:tr>
      <w:tr w:rsidR="009E72CE" w:rsidRPr="009E72CE" w:rsidTr="00533ECB">
        <w:trPr>
          <w:trHeight w:val="225"/>
        </w:trPr>
        <w:tc>
          <w:tcPr>
            <w:tcW w:w="2694"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Con origen en ejercicios anteriores</w:t>
            </w:r>
          </w:p>
        </w:tc>
        <w:tc>
          <w:tcPr>
            <w:tcW w:w="866"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40"/>
        </w:trPr>
        <w:tc>
          <w:tcPr>
            <w:tcW w:w="2004" w:type="pct"/>
            <w:gridSpan w:val="3"/>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i/>
                <w:iCs/>
                <w:color w:val="000000"/>
                <w:sz w:val="14"/>
                <w:szCs w:val="14"/>
                <w:lang w:val="es-ES"/>
              </w:rPr>
            </w:pPr>
            <w:r w:rsidRPr="009E72CE">
              <w:rPr>
                <w:rFonts w:ascii="Lucida Bright" w:hAnsi="Lucida Bright" w:cs="Calibri"/>
                <w:i/>
                <w:iCs/>
                <w:color w:val="000000"/>
                <w:sz w:val="14"/>
                <w:szCs w:val="14"/>
                <w:lang w:val="es-ES"/>
              </w:rPr>
              <w:t>Efecto fiscal subvenciones traspasadas al resultado</w:t>
            </w:r>
          </w:p>
        </w:tc>
        <w:tc>
          <w:tcPr>
            <w:tcW w:w="690"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66"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3"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199.714,44</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(199.714,44)</w:t>
            </w:r>
          </w:p>
        </w:tc>
      </w:tr>
      <w:tr w:rsidR="009E72CE" w:rsidRPr="009E72CE" w:rsidTr="00533ECB">
        <w:trPr>
          <w:trHeight w:val="240"/>
        </w:trPr>
        <w:tc>
          <w:tcPr>
            <w:tcW w:w="2694"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Total impuesto diferido</w:t>
            </w:r>
          </w:p>
        </w:tc>
        <w:tc>
          <w:tcPr>
            <w:tcW w:w="866"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299.040,13</w:t>
            </w:r>
          </w:p>
        </w:tc>
        <w:tc>
          <w:tcPr>
            <w:tcW w:w="783"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199.714,44</w:t>
            </w:r>
          </w:p>
        </w:tc>
        <w:tc>
          <w:tcPr>
            <w:tcW w:w="656" w:type="pct"/>
            <w:tcBorders>
              <w:top w:val="single" w:sz="8" w:space="0" w:color="auto"/>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99.325,69</w:t>
            </w:r>
          </w:p>
        </w:tc>
      </w:tr>
      <w:tr w:rsidR="009E72CE" w:rsidRPr="009E72CE" w:rsidTr="00533ECB">
        <w:trPr>
          <w:trHeight w:val="240"/>
        </w:trPr>
        <w:tc>
          <w:tcPr>
            <w:tcW w:w="2694" w:type="pct"/>
            <w:gridSpan w:val="4"/>
            <w:tcBorders>
              <w:top w:val="nil"/>
              <w:left w:val="single" w:sz="8" w:space="0" w:color="auto"/>
              <w:bottom w:val="single" w:sz="8" w:space="0" w:color="auto"/>
              <w:right w:val="single" w:sz="8" w:space="0" w:color="000000"/>
            </w:tcBorders>
            <w:shd w:val="clear" w:color="auto" w:fill="auto"/>
            <w:vAlign w:val="bottom"/>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Total impuesto reconocido directamente en el patrimonio</w:t>
            </w:r>
          </w:p>
        </w:tc>
        <w:tc>
          <w:tcPr>
            <w:tcW w:w="866"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299.040,13</w:t>
            </w:r>
          </w:p>
        </w:tc>
        <w:tc>
          <w:tcPr>
            <w:tcW w:w="783"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199.714,44</w:t>
            </w:r>
          </w:p>
        </w:tc>
        <w:tc>
          <w:tcPr>
            <w:tcW w:w="656"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99.325,69</w:t>
            </w:r>
          </w:p>
        </w:tc>
      </w:tr>
    </w:tbl>
    <w:p w:rsidR="00B450EE" w:rsidRDefault="00B450EE">
      <w:pPr>
        <w:tabs>
          <w:tab w:val="right" w:pos="8364"/>
        </w:tabs>
        <w:ind w:firstLine="540"/>
        <w:jc w:val="both"/>
        <w:rPr>
          <w:bCs/>
        </w:rPr>
      </w:pPr>
    </w:p>
    <w:p w:rsidR="006C0EE0" w:rsidRDefault="006C0EE0" w:rsidP="006C0EE0">
      <w:pPr>
        <w:tabs>
          <w:tab w:val="right" w:pos="8364"/>
        </w:tabs>
        <w:jc w:val="both"/>
        <w:rPr>
          <w:bCs/>
        </w:rPr>
      </w:pPr>
    </w:p>
    <w:tbl>
      <w:tblPr>
        <w:tblW w:w="5124" w:type="pct"/>
        <w:tblLayout w:type="fixed"/>
        <w:tblCellMar>
          <w:left w:w="70" w:type="dxa"/>
          <w:right w:w="70" w:type="dxa"/>
        </w:tblCellMar>
        <w:tblLook w:val="04A0" w:firstRow="1" w:lastRow="0" w:firstColumn="1" w:lastColumn="0" w:noHBand="0" w:noVBand="1"/>
      </w:tblPr>
      <w:tblGrid>
        <w:gridCol w:w="1189"/>
        <w:gridCol w:w="1182"/>
        <w:gridCol w:w="1180"/>
        <w:gridCol w:w="1245"/>
        <w:gridCol w:w="1511"/>
        <w:gridCol w:w="1389"/>
        <w:gridCol w:w="1162"/>
      </w:tblGrid>
      <w:tr w:rsidR="009E72CE" w:rsidRPr="009E72CE" w:rsidTr="00533ECB">
        <w:trPr>
          <w:trHeight w:val="240"/>
        </w:trPr>
        <w:tc>
          <w:tcPr>
            <w:tcW w:w="3560" w:type="pct"/>
            <w:gridSpan w:val="5"/>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b/>
                <w:bCs/>
                <w:color w:val="000000"/>
                <w:sz w:val="16"/>
                <w:szCs w:val="16"/>
                <w:lang w:val="es-ES"/>
              </w:rPr>
            </w:pPr>
            <w:r w:rsidRPr="009E72CE">
              <w:rPr>
                <w:rFonts w:ascii="Lucida Bright" w:hAnsi="Lucida Bright" w:cs="Calibri"/>
                <w:b/>
                <w:bCs/>
                <w:color w:val="000000"/>
                <w:sz w:val="16"/>
                <w:szCs w:val="16"/>
                <w:lang w:val="es-ES"/>
              </w:rPr>
              <w:t>Ejercicio 2022. Impuestos reconocidos en el patrimonio neto.</w:t>
            </w:r>
          </w:p>
        </w:tc>
        <w:tc>
          <w:tcPr>
            <w:tcW w:w="784"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6"/>
                <w:szCs w:val="16"/>
                <w:lang w:val="es-ES"/>
              </w:rPr>
            </w:pPr>
          </w:p>
        </w:tc>
        <w:tc>
          <w:tcPr>
            <w:tcW w:w="656"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6"/>
                <w:szCs w:val="16"/>
                <w:lang w:val="es-ES"/>
              </w:rPr>
            </w:pPr>
          </w:p>
        </w:tc>
      </w:tr>
      <w:tr w:rsidR="009E72CE" w:rsidRPr="009E72CE" w:rsidTr="00533ECB">
        <w:trPr>
          <w:trHeight w:val="240"/>
        </w:trPr>
        <w:tc>
          <w:tcPr>
            <w:tcW w:w="671" w:type="pct"/>
            <w:tcBorders>
              <w:top w:val="single" w:sz="8" w:space="0" w:color="auto"/>
              <w:left w:val="single" w:sz="8" w:space="0" w:color="auto"/>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single" w:sz="8" w:space="0" w:color="auto"/>
              <w:left w:val="nil"/>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6" w:type="pct"/>
            <w:tcBorders>
              <w:top w:val="single" w:sz="8" w:space="0" w:color="auto"/>
              <w:left w:val="nil"/>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03" w:type="pct"/>
            <w:tcBorders>
              <w:top w:val="single" w:sz="8" w:space="0" w:color="auto"/>
              <w:left w:val="nil"/>
              <w:bottom w:val="nil"/>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53" w:type="pct"/>
            <w:tcBorders>
              <w:top w:val="single" w:sz="8" w:space="0" w:color="auto"/>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single" w:sz="8" w:space="0" w:color="auto"/>
              <w:left w:val="nil"/>
              <w:bottom w:val="single" w:sz="8" w:space="0" w:color="auto"/>
              <w:right w:val="nil"/>
            </w:tcBorders>
            <w:shd w:val="clear" w:color="000000" w:fill="CCFFCC"/>
            <w:noWrap/>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Euros</w:t>
            </w:r>
          </w:p>
        </w:tc>
        <w:tc>
          <w:tcPr>
            <w:tcW w:w="656" w:type="pct"/>
            <w:tcBorders>
              <w:top w:val="single" w:sz="8" w:space="0" w:color="auto"/>
              <w:left w:val="nil"/>
              <w:bottom w:val="single" w:sz="8" w:space="0" w:color="auto"/>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70"/>
        </w:trPr>
        <w:tc>
          <w:tcPr>
            <w:tcW w:w="671" w:type="pct"/>
            <w:tcBorders>
              <w:top w:val="nil"/>
              <w:left w:val="single" w:sz="8" w:space="0" w:color="auto"/>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nil"/>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6" w:type="pct"/>
            <w:tcBorders>
              <w:top w:val="nil"/>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03" w:type="pct"/>
            <w:tcBorders>
              <w:top w:val="nil"/>
              <w:left w:val="nil"/>
              <w:bottom w:val="single" w:sz="8" w:space="0" w:color="auto"/>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53" w:type="pct"/>
            <w:tcBorders>
              <w:top w:val="nil"/>
              <w:left w:val="nil"/>
              <w:bottom w:val="single" w:sz="8" w:space="0" w:color="auto"/>
              <w:right w:val="single" w:sz="8" w:space="0" w:color="auto"/>
            </w:tcBorders>
            <w:shd w:val="clear" w:color="000000" w:fill="CCFFCC"/>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Aumentos</w:t>
            </w:r>
          </w:p>
        </w:tc>
        <w:tc>
          <w:tcPr>
            <w:tcW w:w="784" w:type="pct"/>
            <w:tcBorders>
              <w:top w:val="nil"/>
              <w:left w:val="nil"/>
              <w:bottom w:val="single" w:sz="8" w:space="0" w:color="auto"/>
              <w:right w:val="single" w:sz="8" w:space="0" w:color="auto"/>
            </w:tcBorders>
            <w:shd w:val="clear" w:color="000000" w:fill="CCFFCC"/>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Disminuciones</w:t>
            </w:r>
          </w:p>
        </w:tc>
        <w:tc>
          <w:tcPr>
            <w:tcW w:w="656" w:type="pct"/>
            <w:tcBorders>
              <w:top w:val="nil"/>
              <w:left w:val="nil"/>
              <w:bottom w:val="single" w:sz="8" w:space="0" w:color="auto"/>
              <w:right w:val="single" w:sz="8" w:space="0" w:color="auto"/>
            </w:tcBorders>
            <w:shd w:val="clear" w:color="000000" w:fill="CCFFCC"/>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Total</w:t>
            </w:r>
          </w:p>
        </w:tc>
      </w:tr>
      <w:tr w:rsidR="009E72CE" w:rsidRPr="009E72CE" w:rsidTr="00533ECB">
        <w:trPr>
          <w:trHeight w:val="225"/>
        </w:trPr>
        <w:tc>
          <w:tcPr>
            <w:tcW w:w="671" w:type="pct"/>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6"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03"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5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2707" w:type="pct"/>
            <w:gridSpan w:val="4"/>
            <w:tcBorders>
              <w:top w:val="nil"/>
              <w:left w:val="single" w:sz="8" w:space="0" w:color="auto"/>
              <w:bottom w:val="nil"/>
              <w:right w:val="single" w:sz="8" w:space="0" w:color="000000"/>
            </w:tcBorders>
            <w:shd w:val="clear" w:color="auto" w:fill="auto"/>
            <w:vAlign w:val="center"/>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Por impuesto corriente:</w:t>
            </w:r>
          </w:p>
        </w:tc>
        <w:tc>
          <w:tcPr>
            <w:tcW w:w="85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40"/>
        </w:trPr>
        <w:tc>
          <w:tcPr>
            <w:tcW w:w="671" w:type="pct"/>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i/>
                <w:iCs/>
                <w:color w:val="000000"/>
                <w:sz w:val="14"/>
                <w:szCs w:val="14"/>
                <w:lang w:val="es-ES"/>
              </w:rPr>
            </w:pPr>
            <w:r w:rsidRPr="009E72CE">
              <w:rPr>
                <w:rFonts w:ascii="Lucida Bright" w:hAnsi="Lucida Bright" w:cs="Calibri"/>
                <w:i/>
                <w:iCs/>
                <w:color w:val="000000"/>
                <w:sz w:val="14"/>
                <w:szCs w:val="14"/>
                <w:lang w:val="es-ES"/>
              </w:rPr>
              <w:t> </w:t>
            </w:r>
          </w:p>
        </w:tc>
        <w:tc>
          <w:tcPr>
            <w:tcW w:w="667"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66"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703"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53"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40"/>
        </w:trPr>
        <w:tc>
          <w:tcPr>
            <w:tcW w:w="2707"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Total impuesto corriente</w:t>
            </w:r>
          </w:p>
        </w:tc>
        <w:tc>
          <w:tcPr>
            <w:tcW w:w="853"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single" w:sz="8" w:space="0" w:color="auto"/>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671" w:type="pct"/>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67"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666" w:type="pct"/>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703"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5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2707"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Por impuesto diferido:</w:t>
            </w:r>
          </w:p>
        </w:tc>
        <w:tc>
          <w:tcPr>
            <w:tcW w:w="85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2707"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Con origen en el ejercicio</w:t>
            </w:r>
          </w:p>
        </w:tc>
        <w:tc>
          <w:tcPr>
            <w:tcW w:w="85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2004" w:type="pct"/>
            <w:gridSpan w:val="3"/>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i/>
                <w:iCs/>
                <w:color w:val="000000"/>
                <w:sz w:val="14"/>
                <w:szCs w:val="14"/>
                <w:lang w:val="es-ES"/>
              </w:rPr>
            </w:pPr>
            <w:r w:rsidRPr="009E72CE">
              <w:rPr>
                <w:rFonts w:ascii="Lucida Bright" w:hAnsi="Lucida Bright" w:cs="Calibri"/>
                <w:i/>
                <w:iCs/>
                <w:color w:val="000000"/>
                <w:sz w:val="14"/>
                <w:szCs w:val="14"/>
                <w:lang w:val="es-ES"/>
              </w:rPr>
              <w:t xml:space="preserve">Efecto fiscal subvenciones devengadas </w:t>
            </w:r>
          </w:p>
        </w:tc>
        <w:tc>
          <w:tcPr>
            <w:tcW w:w="703" w:type="pct"/>
            <w:tcBorders>
              <w:top w:val="nil"/>
              <w:left w:val="nil"/>
              <w:bottom w:val="nil"/>
              <w:right w:val="single" w:sz="8" w:space="0" w:color="auto"/>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5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25"/>
        </w:trPr>
        <w:tc>
          <w:tcPr>
            <w:tcW w:w="2707"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Con origen en ejercicios anteriores</w:t>
            </w:r>
          </w:p>
        </w:tc>
        <w:tc>
          <w:tcPr>
            <w:tcW w:w="853"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nil"/>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33ECB">
        <w:trPr>
          <w:trHeight w:val="240"/>
        </w:trPr>
        <w:tc>
          <w:tcPr>
            <w:tcW w:w="2004" w:type="pct"/>
            <w:gridSpan w:val="3"/>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i/>
                <w:iCs/>
                <w:color w:val="000000"/>
                <w:sz w:val="14"/>
                <w:szCs w:val="14"/>
                <w:lang w:val="es-ES"/>
              </w:rPr>
            </w:pPr>
            <w:r w:rsidRPr="009E72CE">
              <w:rPr>
                <w:rFonts w:ascii="Lucida Bright" w:hAnsi="Lucida Bright" w:cs="Calibri"/>
                <w:i/>
                <w:iCs/>
                <w:color w:val="000000"/>
                <w:sz w:val="14"/>
                <w:szCs w:val="14"/>
                <w:lang w:val="es-ES"/>
              </w:rPr>
              <w:t>Efecto fiscal subvenciones traspasadas al resultado</w:t>
            </w:r>
          </w:p>
        </w:tc>
        <w:tc>
          <w:tcPr>
            <w:tcW w:w="703" w:type="pct"/>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853"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784" w:type="pct"/>
            <w:tcBorders>
              <w:top w:val="nil"/>
              <w:left w:val="nil"/>
              <w:bottom w:val="single" w:sz="8" w:space="0" w:color="auto"/>
              <w:right w:val="single" w:sz="4"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232.136,58</w:t>
            </w:r>
          </w:p>
        </w:tc>
        <w:tc>
          <w:tcPr>
            <w:tcW w:w="656" w:type="pct"/>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(232.136,58)</w:t>
            </w:r>
          </w:p>
        </w:tc>
      </w:tr>
      <w:tr w:rsidR="009E72CE" w:rsidRPr="009E72CE" w:rsidTr="00533ECB">
        <w:trPr>
          <w:trHeight w:val="240"/>
        </w:trPr>
        <w:tc>
          <w:tcPr>
            <w:tcW w:w="2707" w:type="pct"/>
            <w:gridSpan w:val="4"/>
            <w:tcBorders>
              <w:top w:val="nil"/>
              <w:left w:val="single" w:sz="8" w:space="0" w:color="auto"/>
              <w:bottom w:val="nil"/>
              <w:right w:val="single" w:sz="8" w:space="0" w:color="000000"/>
            </w:tcBorders>
            <w:shd w:val="clear" w:color="auto" w:fill="auto"/>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Total impuesto diferido</w:t>
            </w:r>
          </w:p>
        </w:tc>
        <w:tc>
          <w:tcPr>
            <w:tcW w:w="853"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0,00</w:t>
            </w:r>
          </w:p>
        </w:tc>
        <w:tc>
          <w:tcPr>
            <w:tcW w:w="784"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232.136,58</w:t>
            </w:r>
          </w:p>
        </w:tc>
        <w:tc>
          <w:tcPr>
            <w:tcW w:w="656" w:type="pct"/>
            <w:tcBorders>
              <w:top w:val="single" w:sz="8" w:space="0" w:color="auto"/>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(232.136,58)</w:t>
            </w:r>
          </w:p>
        </w:tc>
      </w:tr>
      <w:tr w:rsidR="009E72CE" w:rsidRPr="009E72CE" w:rsidTr="00533ECB">
        <w:trPr>
          <w:trHeight w:val="240"/>
        </w:trPr>
        <w:tc>
          <w:tcPr>
            <w:tcW w:w="2707" w:type="pct"/>
            <w:gridSpan w:val="4"/>
            <w:tcBorders>
              <w:top w:val="nil"/>
              <w:left w:val="single" w:sz="8" w:space="0" w:color="auto"/>
              <w:bottom w:val="single" w:sz="8" w:space="0" w:color="auto"/>
              <w:right w:val="single" w:sz="8" w:space="0" w:color="000000"/>
            </w:tcBorders>
            <w:shd w:val="clear" w:color="auto" w:fill="auto"/>
            <w:vAlign w:val="bottom"/>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Total impuesto reconocido directamente en el patrimonio</w:t>
            </w:r>
          </w:p>
        </w:tc>
        <w:tc>
          <w:tcPr>
            <w:tcW w:w="853"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0,00</w:t>
            </w:r>
          </w:p>
        </w:tc>
        <w:tc>
          <w:tcPr>
            <w:tcW w:w="784"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232.136,58</w:t>
            </w:r>
          </w:p>
        </w:tc>
        <w:tc>
          <w:tcPr>
            <w:tcW w:w="656" w:type="pct"/>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(232.136,58)</w:t>
            </w:r>
          </w:p>
        </w:tc>
      </w:tr>
    </w:tbl>
    <w:p w:rsidR="00B450EE" w:rsidRDefault="00B450EE" w:rsidP="006C0EE0">
      <w:pPr>
        <w:tabs>
          <w:tab w:val="right" w:pos="8364"/>
        </w:tabs>
        <w:jc w:val="both"/>
        <w:rPr>
          <w:bCs/>
        </w:rPr>
      </w:pPr>
    </w:p>
    <w:p w:rsidR="00B450EE" w:rsidRDefault="00B450EE" w:rsidP="006C0EE0">
      <w:pPr>
        <w:tabs>
          <w:tab w:val="right" w:pos="8364"/>
        </w:tabs>
        <w:jc w:val="both"/>
        <w:rPr>
          <w:bCs/>
        </w:rPr>
      </w:pPr>
    </w:p>
    <w:p w:rsidR="00E0015A" w:rsidRDefault="00E0015A">
      <w:pPr>
        <w:tabs>
          <w:tab w:val="right" w:pos="8364"/>
        </w:tabs>
        <w:ind w:firstLine="540"/>
        <w:jc w:val="both"/>
        <w:rPr>
          <w:bCs/>
        </w:rPr>
      </w:pPr>
    </w:p>
    <w:p w:rsidR="00B450EE" w:rsidRDefault="00B450EE">
      <w:pPr>
        <w:tabs>
          <w:tab w:val="right" w:pos="8364"/>
        </w:tabs>
        <w:ind w:firstLine="540"/>
        <w:jc w:val="both"/>
        <w:rPr>
          <w:bCs/>
        </w:rPr>
      </w:pPr>
    </w:p>
    <w:p w:rsidR="00B450EE" w:rsidRDefault="00B450EE">
      <w:pPr>
        <w:tabs>
          <w:tab w:val="right" w:pos="8364"/>
        </w:tabs>
        <w:ind w:firstLine="540"/>
        <w:jc w:val="both"/>
        <w:rPr>
          <w:bCs/>
        </w:rPr>
      </w:pPr>
    </w:p>
    <w:p w:rsidR="00B450EE" w:rsidRDefault="00B450EE">
      <w:pPr>
        <w:tabs>
          <w:tab w:val="right" w:pos="8364"/>
        </w:tabs>
        <w:ind w:firstLine="540"/>
        <w:jc w:val="both"/>
        <w:rPr>
          <w:bCs/>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9E72CE" w:rsidRDefault="009E72CE">
      <w:pPr>
        <w:tabs>
          <w:tab w:val="right" w:pos="8364"/>
        </w:tabs>
        <w:ind w:firstLine="540"/>
        <w:jc w:val="both"/>
        <w:rPr>
          <w:rFonts w:ascii="NewBaskerville" w:hAnsi="NewBaskerville"/>
          <w:bCs/>
          <w:u w:val="single"/>
        </w:rPr>
      </w:pPr>
    </w:p>
    <w:p w:rsidR="0087318F" w:rsidRPr="00B450EE" w:rsidRDefault="00964DBB">
      <w:pPr>
        <w:tabs>
          <w:tab w:val="right" w:pos="8364"/>
        </w:tabs>
        <w:ind w:firstLine="540"/>
        <w:jc w:val="both"/>
        <w:rPr>
          <w:rFonts w:ascii="NewBaskerville" w:hAnsi="NewBaskerville"/>
          <w:bCs/>
        </w:rPr>
      </w:pPr>
      <w:r w:rsidRPr="00B450EE">
        <w:rPr>
          <w:rFonts w:ascii="NewBaskerville" w:hAnsi="NewBaskerville"/>
          <w:bCs/>
          <w:u w:val="single"/>
        </w:rPr>
        <w:lastRenderedPageBreak/>
        <w:t>Conciliación entre el resultado contable y el gasto por Impuesto de Sociedades.</w:t>
      </w:r>
    </w:p>
    <w:p w:rsidR="0010198F" w:rsidRPr="00B450EE" w:rsidRDefault="0010198F">
      <w:pPr>
        <w:tabs>
          <w:tab w:val="right" w:pos="8364"/>
        </w:tabs>
        <w:ind w:firstLine="540"/>
        <w:jc w:val="both"/>
        <w:rPr>
          <w:rFonts w:ascii="NewBaskerville" w:hAnsi="NewBaskerville"/>
          <w:bCs/>
        </w:rPr>
      </w:pPr>
    </w:p>
    <w:p w:rsidR="0010198F" w:rsidRDefault="0010198F">
      <w:pPr>
        <w:tabs>
          <w:tab w:val="right" w:pos="8364"/>
        </w:tabs>
        <w:ind w:firstLine="540"/>
        <w:jc w:val="both"/>
        <w:rPr>
          <w:rFonts w:ascii="NewBaskerville" w:hAnsi="NewBaskerville"/>
          <w:bCs/>
        </w:rPr>
      </w:pPr>
      <w:r w:rsidRPr="00B450EE">
        <w:rPr>
          <w:rFonts w:ascii="NewBaskerville" w:hAnsi="NewBaskerville"/>
          <w:bCs/>
        </w:rPr>
        <w:t>La conciliación entre el resultado contable y el gasto por Impuesto sobre Sociedades es la siguiente:</w:t>
      </w:r>
    </w:p>
    <w:p w:rsidR="009E72CE" w:rsidRDefault="009E72CE">
      <w:pPr>
        <w:tabs>
          <w:tab w:val="right" w:pos="8364"/>
        </w:tabs>
        <w:ind w:firstLine="540"/>
        <w:jc w:val="both"/>
        <w:rPr>
          <w:rFonts w:ascii="NewBaskerville" w:hAnsi="NewBaskerville"/>
          <w:bCs/>
        </w:rPr>
      </w:pPr>
    </w:p>
    <w:tbl>
      <w:tblPr>
        <w:tblW w:w="7268" w:type="dxa"/>
        <w:tblInd w:w="55" w:type="dxa"/>
        <w:tblCellMar>
          <w:left w:w="70" w:type="dxa"/>
          <w:right w:w="70" w:type="dxa"/>
        </w:tblCellMar>
        <w:tblLook w:val="04A0" w:firstRow="1" w:lastRow="0" w:firstColumn="1" w:lastColumn="0" w:noHBand="0" w:noVBand="1"/>
      </w:tblPr>
      <w:tblGrid>
        <w:gridCol w:w="2534"/>
        <w:gridCol w:w="198"/>
        <w:gridCol w:w="198"/>
        <w:gridCol w:w="2169"/>
        <w:gridCol w:w="2169"/>
      </w:tblGrid>
      <w:tr w:rsidR="009E72CE" w:rsidRPr="009E72CE" w:rsidTr="009E72CE">
        <w:trPr>
          <w:trHeight w:val="240"/>
        </w:trPr>
        <w:tc>
          <w:tcPr>
            <w:tcW w:w="7268" w:type="dxa"/>
            <w:gridSpan w:val="5"/>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b/>
                <w:bCs/>
                <w:color w:val="000000"/>
                <w:sz w:val="16"/>
                <w:szCs w:val="16"/>
                <w:lang w:val="es-ES"/>
              </w:rPr>
            </w:pPr>
            <w:r w:rsidRPr="009E72CE">
              <w:rPr>
                <w:rFonts w:ascii="Lucida Bright" w:hAnsi="Lucida Bright" w:cs="Calibri"/>
                <w:b/>
                <w:bCs/>
                <w:color w:val="000000"/>
                <w:sz w:val="16"/>
                <w:szCs w:val="16"/>
                <w:lang w:val="es-ES"/>
              </w:rPr>
              <w:t>Conciliación entre el resultado contable y gasto por Impuesto sobre Sociedades</w:t>
            </w:r>
          </w:p>
        </w:tc>
      </w:tr>
      <w:tr w:rsidR="009E72CE" w:rsidRPr="009E72CE" w:rsidTr="009E72CE">
        <w:trPr>
          <w:trHeight w:val="240"/>
        </w:trPr>
        <w:tc>
          <w:tcPr>
            <w:tcW w:w="2534" w:type="dxa"/>
            <w:tcBorders>
              <w:top w:val="single" w:sz="8" w:space="0" w:color="auto"/>
              <w:left w:val="single" w:sz="8" w:space="0" w:color="auto"/>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98" w:type="dxa"/>
            <w:tcBorders>
              <w:top w:val="single" w:sz="8" w:space="0" w:color="auto"/>
              <w:left w:val="nil"/>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98" w:type="dxa"/>
            <w:tcBorders>
              <w:top w:val="single" w:sz="8" w:space="0" w:color="auto"/>
              <w:left w:val="nil"/>
              <w:bottom w:val="nil"/>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4338"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Euros</w:t>
            </w:r>
          </w:p>
        </w:tc>
      </w:tr>
      <w:tr w:rsidR="009E72CE" w:rsidRPr="009E72CE" w:rsidTr="009E72CE">
        <w:trPr>
          <w:trHeight w:val="240"/>
        </w:trPr>
        <w:tc>
          <w:tcPr>
            <w:tcW w:w="2534" w:type="dxa"/>
            <w:tcBorders>
              <w:top w:val="nil"/>
              <w:left w:val="single" w:sz="8" w:space="0" w:color="auto"/>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98" w:type="dxa"/>
            <w:tcBorders>
              <w:top w:val="nil"/>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98" w:type="dxa"/>
            <w:tcBorders>
              <w:top w:val="nil"/>
              <w:left w:val="nil"/>
              <w:bottom w:val="single" w:sz="8" w:space="0" w:color="auto"/>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single" w:sz="8" w:space="0" w:color="auto"/>
              <w:right w:val="single" w:sz="8" w:space="0" w:color="auto"/>
            </w:tcBorders>
            <w:shd w:val="clear" w:color="000000" w:fill="CCFFCC"/>
            <w:noWrap/>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2023</w:t>
            </w:r>
          </w:p>
        </w:tc>
        <w:tc>
          <w:tcPr>
            <w:tcW w:w="2169" w:type="dxa"/>
            <w:tcBorders>
              <w:top w:val="nil"/>
              <w:left w:val="nil"/>
              <w:bottom w:val="single" w:sz="8" w:space="0" w:color="auto"/>
              <w:right w:val="single" w:sz="8" w:space="0" w:color="auto"/>
            </w:tcBorders>
            <w:shd w:val="clear" w:color="000000" w:fill="CCFFCC"/>
            <w:noWrap/>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2022</w:t>
            </w:r>
          </w:p>
        </w:tc>
      </w:tr>
      <w:tr w:rsidR="009E72CE" w:rsidRPr="009E72CE" w:rsidTr="009E72CE">
        <w:trPr>
          <w:trHeight w:val="225"/>
        </w:trPr>
        <w:tc>
          <w:tcPr>
            <w:tcW w:w="293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Resultado contable antes de impuestos</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47.050.375,18</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32.803.783,33</w:t>
            </w:r>
          </w:p>
        </w:tc>
      </w:tr>
      <w:tr w:rsidR="009E72CE" w:rsidRPr="009E72CE" w:rsidTr="009E72CE">
        <w:trPr>
          <w:trHeight w:val="225"/>
        </w:trPr>
        <w:tc>
          <w:tcPr>
            <w:tcW w:w="2732" w:type="dxa"/>
            <w:gridSpan w:val="2"/>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Diferencias permanentes</w:t>
            </w:r>
          </w:p>
        </w:tc>
        <w:tc>
          <w:tcPr>
            <w:tcW w:w="198"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single" w:sz="4"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3.336.093,02</w:t>
            </w:r>
          </w:p>
        </w:tc>
        <w:tc>
          <w:tcPr>
            <w:tcW w:w="2169" w:type="dxa"/>
            <w:tcBorders>
              <w:top w:val="nil"/>
              <w:left w:val="nil"/>
              <w:bottom w:val="single" w:sz="4" w:space="0" w:color="auto"/>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1.884.506,69</w:t>
            </w:r>
          </w:p>
        </w:tc>
      </w:tr>
      <w:tr w:rsidR="009E72CE" w:rsidRPr="009E72CE" w:rsidTr="009E72CE">
        <w:trPr>
          <w:trHeight w:val="225"/>
        </w:trPr>
        <w:tc>
          <w:tcPr>
            <w:tcW w:w="2534" w:type="dxa"/>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Subtotal</w:t>
            </w:r>
          </w:p>
        </w:tc>
        <w:tc>
          <w:tcPr>
            <w:tcW w:w="198" w:type="dxa"/>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198"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50.386.468,20</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34.688.290,02</w:t>
            </w:r>
          </w:p>
        </w:tc>
      </w:tr>
      <w:tr w:rsidR="009E72CE" w:rsidRPr="009E72CE" w:rsidTr="009E72CE">
        <w:trPr>
          <w:trHeight w:val="225"/>
        </w:trPr>
        <w:tc>
          <w:tcPr>
            <w:tcW w:w="2534" w:type="dxa"/>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Cuota al 25%</w:t>
            </w:r>
          </w:p>
        </w:tc>
        <w:tc>
          <w:tcPr>
            <w:tcW w:w="198" w:type="dxa"/>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198"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12.596.617,05</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8.672.072,51</w:t>
            </w:r>
          </w:p>
        </w:tc>
      </w:tr>
      <w:tr w:rsidR="009E72CE" w:rsidRPr="009E72CE" w:rsidTr="009E72CE">
        <w:trPr>
          <w:trHeight w:val="225"/>
        </w:trPr>
        <w:tc>
          <w:tcPr>
            <w:tcW w:w="2732" w:type="dxa"/>
            <w:gridSpan w:val="2"/>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Impacto diferencias temporarias</w:t>
            </w:r>
          </w:p>
        </w:tc>
        <w:tc>
          <w:tcPr>
            <w:tcW w:w="198"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9E72CE">
        <w:trPr>
          <w:trHeight w:val="225"/>
        </w:trPr>
        <w:tc>
          <w:tcPr>
            <w:tcW w:w="2534" w:type="dxa"/>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Deducciones:</w:t>
            </w:r>
          </w:p>
        </w:tc>
        <w:tc>
          <w:tcPr>
            <w:tcW w:w="198" w:type="dxa"/>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198"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9E72CE">
        <w:trPr>
          <w:trHeight w:val="225"/>
        </w:trPr>
        <w:tc>
          <w:tcPr>
            <w:tcW w:w="2732" w:type="dxa"/>
            <w:gridSpan w:val="2"/>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Por gastos no económicos</w:t>
            </w:r>
          </w:p>
        </w:tc>
        <w:tc>
          <w:tcPr>
            <w:tcW w:w="198"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(4.394.710,22)</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(4.159.237,97)</w:t>
            </w:r>
          </w:p>
        </w:tc>
      </w:tr>
      <w:tr w:rsidR="009E72CE" w:rsidRPr="009E72CE" w:rsidTr="009E72CE">
        <w:trPr>
          <w:trHeight w:val="225"/>
        </w:trPr>
        <w:tc>
          <w:tcPr>
            <w:tcW w:w="2732" w:type="dxa"/>
            <w:gridSpan w:val="2"/>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xml:space="preserve">Por inversiones no </w:t>
            </w:r>
            <w:r w:rsidR="00DD448C" w:rsidRPr="009E72CE">
              <w:rPr>
                <w:rFonts w:ascii="Lucida Bright" w:hAnsi="Lucida Bright" w:cs="Calibri"/>
                <w:color w:val="000000"/>
                <w:sz w:val="14"/>
                <w:szCs w:val="14"/>
                <w:lang w:val="es-ES"/>
              </w:rPr>
              <w:t>económicos</w:t>
            </w:r>
          </w:p>
        </w:tc>
        <w:tc>
          <w:tcPr>
            <w:tcW w:w="198"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(8.163.638,67)</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(4.646.345,29)</w:t>
            </w:r>
          </w:p>
        </w:tc>
      </w:tr>
      <w:tr w:rsidR="009E72CE" w:rsidRPr="009E72CE" w:rsidTr="009E72CE">
        <w:trPr>
          <w:trHeight w:val="225"/>
        </w:trPr>
        <w:tc>
          <w:tcPr>
            <w:tcW w:w="2930" w:type="dxa"/>
            <w:gridSpan w:val="3"/>
            <w:tcBorders>
              <w:top w:val="nil"/>
              <w:left w:val="single" w:sz="8" w:space="0" w:color="auto"/>
              <w:bottom w:val="nil"/>
              <w:right w:val="single" w:sz="8" w:space="0" w:color="000000"/>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Compensación bases imponibles negativas</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9E72CE">
        <w:trPr>
          <w:trHeight w:val="225"/>
        </w:trPr>
        <w:tc>
          <w:tcPr>
            <w:tcW w:w="2930" w:type="dxa"/>
            <w:gridSpan w:val="3"/>
            <w:tcBorders>
              <w:top w:val="nil"/>
              <w:left w:val="single" w:sz="8" w:space="0" w:color="auto"/>
              <w:bottom w:val="nil"/>
              <w:right w:val="single" w:sz="8" w:space="0" w:color="000000"/>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xml:space="preserve">Otros-Reserva Capitalización no </w:t>
            </w:r>
            <w:proofErr w:type="spellStart"/>
            <w:r w:rsidRPr="009E72CE">
              <w:rPr>
                <w:rFonts w:ascii="Lucida Bright" w:hAnsi="Lucida Bright" w:cs="Calibri"/>
                <w:color w:val="000000"/>
                <w:sz w:val="14"/>
                <w:szCs w:val="14"/>
                <w:lang w:val="es-ES"/>
              </w:rPr>
              <w:t>deduc</w:t>
            </w:r>
            <w:proofErr w:type="spellEnd"/>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9E72CE">
        <w:trPr>
          <w:trHeight w:val="240"/>
        </w:trPr>
        <w:tc>
          <w:tcPr>
            <w:tcW w:w="2732" w:type="dxa"/>
            <w:gridSpan w:val="2"/>
            <w:tcBorders>
              <w:top w:val="nil"/>
              <w:left w:val="single" w:sz="8" w:space="0" w:color="auto"/>
              <w:bottom w:val="single" w:sz="8" w:space="0" w:color="auto"/>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Otros-Liquidación definitiva IS 2020</w:t>
            </w:r>
          </w:p>
        </w:tc>
        <w:tc>
          <w:tcPr>
            <w:tcW w:w="198" w:type="dxa"/>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169" w:type="dxa"/>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9E72CE">
        <w:trPr>
          <w:trHeight w:val="495"/>
        </w:trPr>
        <w:tc>
          <w:tcPr>
            <w:tcW w:w="293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72CE" w:rsidRPr="009E72CE" w:rsidRDefault="009E72CE" w:rsidP="009E72CE">
            <w:pPr>
              <w:jc w:val="cente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Total gasto por impuesto reconocido en la cuenta de pérdidas y ganancias</w:t>
            </w:r>
          </w:p>
        </w:tc>
        <w:tc>
          <w:tcPr>
            <w:tcW w:w="2169" w:type="dxa"/>
            <w:tcBorders>
              <w:top w:val="nil"/>
              <w:left w:val="nil"/>
              <w:bottom w:val="single" w:sz="8" w:space="0" w:color="auto"/>
              <w:right w:val="single" w:sz="8" w:space="0" w:color="auto"/>
            </w:tcBorders>
            <w:shd w:val="clear" w:color="auto" w:fill="auto"/>
            <w:vAlign w:val="center"/>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38.268,16</w:t>
            </w:r>
          </w:p>
        </w:tc>
        <w:tc>
          <w:tcPr>
            <w:tcW w:w="2169" w:type="dxa"/>
            <w:tcBorders>
              <w:top w:val="nil"/>
              <w:left w:val="nil"/>
              <w:bottom w:val="single" w:sz="8" w:space="0" w:color="auto"/>
              <w:right w:val="single" w:sz="8" w:space="0" w:color="auto"/>
            </w:tcBorders>
            <w:shd w:val="clear" w:color="auto" w:fill="auto"/>
            <w:vAlign w:val="center"/>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(133.510,76)</w:t>
            </w:r>
          </w:p>
        </w:tc>
      </w:tr>
    </w:tbl>
    <w:p w:rsidR="00B450EE" w:rsidRDefault="00B450EE">
      <w:pPr>
        <w:tabs>
          <w:tab w:val="right" w:pos="8364"/>
        </w:tabs>
        <w:ind w:firstLine="540"/>
        <w:jc w:val="both"/>
        <w:rPr>
          <w:rFonts w:ascii="NewBaskerville" w:hAnsi="NewBaskerville"/>
          <w:bCs/>
        </w:rPr>
      </w:pPr>
    </w:p>
    <w:p w:rsidR="006C0EE0" w:rsidRDefault="006C0EE0">
      <w:pPr>
        <w:tabs>
          <w:tab w:val="right" w:pos="8364"/>
        </w:tabs>
        <w:ind w:firstLine="540"/>
        <w:jc w:val="both"/>
        <w:rPr>
          <w:bCs/>
        </w:rPr>
      </w:pPr>
    </w:p>
    <w:p w:rsidR="00C82D5D" w:rsidRDefault="00C82D5D">
      <w:pPr>
        <w:tabs>
          <w:tab w:val="right" w:pos="8364"/>
        </w:tabs>
        <w:ind w:firstLine="540"/>
        <w:jc w:val="both"/>
        <w:rPr>
          <w:bCs/>
          <w:u w:val="single"/>
        </w:rPr>
      </w:pPr>
    </w:p>
    <w:p w:rsidR="0087318F" w:rsidRPr="007C68BE" w:rsidRDefault="00964DBB">
      <w:pPr>
        <w:tabs>
          <w:tab w:val="right" w:pos="8364"/>
        </w:tabs>
        <w:ind w:firstLine="540"/>
        <w:jc w:val="both"/>
        <w:rPr>
          <w:rFonts w:ascii="NewBaskerville" w:hAnsi="NewBaskerville"/>
          <w:bCs/>
        </w:rPr>
      </w:pPr>
      <w:r w:rsidRPr="007C68BE">
        <w:rPr>
          <w:rFonts w:ascii="NewBaskerville" w:hAnsi="NewBaskerville"/>
          <w:bCs/>
          <w:u w:val="single"/>
        </w:rPr>
        <w:t>Desglose del gasto por Impuesto sobre Sociedades.</w:t>
      </w:r>
    </w:p>
    <w:p w:rsidR="0010198F" w:rsidRPr="007C68BE" w:rsidRDefault="0010198F">
      <w:pPr>
        <w:tabs>
          <w:tab w:val="right" w:pos="8364"/>
        </w:tabs>
        <w:ind w:firstLine="540"/>
        <w:jc w:val="both"/>
        <w:rPr>
          <w:rFonts w:ascii="NewBaskerville" w:hAnsi="NewBaskerville"/>
          <w:bCs/>
        </w:rPr>
      </w:pPr>
    </w:p>
    <w:p w:rsidR="0010198F" w:rsidRPr="007C68BE" w:rsidRDefault="0010198F">
      <w:pPr>
        <w:tabs>
          <w:tab w:val="right" w:pos="8364"/>
        </w:tabs>
        <w:ind w:firstLine="540"/>
        <w:jc w:val="both"/>
        <w:rPr>
          <w:rFonts w:ascii="NewBaskerville" w:hAnsi="NewBaskerville"/>
          <w:bCs/>
        </w:rPr>
      </w:pPr>
      <w:r w:rsidRPr="007C68BE">
        <w:rPr>
          <w:rFonts w:ascii="NewBaskerville" w:hAnsi="NewBaskerville"/>
          <w:bCs/>
        </w:rPr>
        <w:t>El desglose del gasto por Impuesto sobre Sociedades es el siguiente:</w:t>
      </w:r>
    </w:p>
    <w:p w:rsidR="006C0EE0" w:rsidRPr="0010198F" w:rsidRDefault="006C0EE0">
      <w:pPr>
        <w:tabs>
          <w:tab w:val="right" w:pos="8364"/>
        </w:tabs>
        <w:ind w:firstLine="540"/>
        <w:jc w:val="both"/>
        <w:rPr>
          <w:bCs/>
        </w:rPr>
      </w:pPr>
    </w:p>
    <w:tbl>
      <w:tblPr>
        <w:tblW w:w="0" w:type="auto"/>
        <w:tblLayout w:type="fixed"/>
        <w:tblCellMar>
          <w:left w:w="70" w:type="dxa"/>
          <w:right w:w="70" w:type="dxa"/>
        </w:tblCellMar>
        <w:tblLook w:val="04A0" w:firstRow="1" w:lastRow="0" w:firstColumn="1" w:lastColumn="0" w:noHBand="0" w:noVBand="1"/>
      </w:tblPr>
      <w:tblGrid>
        <w:gridCol w:w="1141"/>
        <w:gridCol w:w="1141"/>
        <w:gridCol w:w="566"/>
        <w:gridCol w:w="1191"/>
        <w:gridCol w:w="1276"/>
        <w:gridCol w:w="41"/>
        <w:gridCol w:w="160"/>
      </w:tblGrid>
      <w:tr w:rsidR="009E72CE" w:rsidRPr="009E72CE" w:rsidTr="00576038">
        <w:trPr>
          <w:trHeight w:val="240"/>
        </w:trPr>
        <w:tc>
          <w:tcPr>
            <w:tcW w:w="5356" w:type="dxa"/>
            <w:gridSpan w:val="6"/>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b/>
                <w:bCs/>
                <w:color w:val="000000"/>
                <w:sz w:val="16"/>
                <w:szCs w:val="16"/>
                <w:lang w:val="es-ES"/>
              </w:rPr>
            </w:pPr>
            <w:r w:rsidRPr="009E72CE">
              <w:rPr>
                <w:rFonts w:ascii="Lucida Bright" w:hAnsi="Lucida Bright" w:cs="Calibri"/>
                <w:b/>
                <w:bCs/>
                <w:color w:val="000000"/>
                <w:sz w:val="16"/>
                <w:szCs w:val="16"/>
                <w:lang w:val="es-ES"/>
              </w:rPr>
              <w:t>Desglose del gasto por Impuesto sobre Sociedades</w:t>
            </w:r>
          </w:p>
        </w:tc>
        <w:tc>
          <w:tcPr>
            <w:tcW w:w="160" w:type="dxa"/>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6"/>
                <w:szCs w:val="16"/>
                <w:lang w:val="es-ES"/>
              </w:rPr>
            </w:pPr>
          </w:p>
        </w:tc>
      </w:tr>
      <w:tr w:rsidR="009E72CE" w:rsidRPr="009E72CE" w:rsidTr="00576038">
        <w:trPr>
          <w:gridAfter w:val="2"/>
          <w:wAfter w:w="201" w:type="dxa"/>
          <w:trHeight w:val="240"/>
        </w:trPr>
        <w:tc>
          <w:tcPr>
            <w:tcW w:w="1141" w:type="dxa"/>
            <w:tcBorders>
              <w:top w:val="single" w:sz="8" w:space="0" w:color="auto"/>
              <w:left w:val="single" w:sz="8" w:space="0" w:color="auto"/>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41" w:type="dxa"/>
            <w:tcBorders>
              <w:top w:val="single" w:sz="8" w:space="0" w:color="auto"/>
              <w:left w:val="nil"/>
              <w:bottom w:val="nil"/>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566" w:type="dxa"/>
            <w:tcBorders>
              <w:top w:val="single" w:sz="8" w:space="0" w:color="auto"/>
              <w:left w:val="nil"/>
              <w:bottom w:val="nil"/>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2467"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Euros</w:t>
            </w:r>
          </w:p>
        </w:tc>
      </w:tr>
      <w:tr w:rsidR="009E72CE" w:rsidRPr="009E72CE" w:rsidTr="00576038">
        <w:trPr>
          <w:gridAfter w:val="2"/>
          <w:wAfter w:w="201" w:type="dxa"/>
          <w:trHeight w:val="240"/>
        </w:trPr>
        <w:tc>
          <w:tcPr>
            <w:tcW w:w="1141" w:type="dxa"/>
            <w:tcBorders>
              <w:top w:val="nil"/>
              <w:left w:val="single" w:sz="8" w:space="0" w:color="auto"/>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41" w:type="dxa"/>
            <w:tcBorders>
              <w:top w:val="nil"/>
              <w:left w:val="nil"/>
              <w:bottom w:val="single" w:sz="8" w:space="0" w:color="auto"/>
              <w:right w:val="nil"/>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566" w:type="dxa"/>
            <w:tcBorders>
              <w:top w:val="nil"/>
              <w:left w:val="nil"/>
              <w:bottom w:val="single" w:sz="8" w:space="0" w:color="auto"/>
              <w:right w:val="single" w:sz="8" w:space="0" w:color="auto"/>
            </w:tcBorders>
            <w:shd w:val="clear" w:color="000000" w:fill="CCFFCC"/>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91" w:type="dxa"/>
            <w:tcBorders>
              <w:top w:val="nil"/>
              <w:left w:val="nil"/>
              <w:bottom w:val="single" w:sz="8" w:space="0" w:color="auto"/>
              <w:right w:val="single" w:sz="8" w:space="0" w:color="auto"/>
            </w:tcBorders>
            <w:shd w:val="clear" w:color="000000" w:fill="CCFFCC"/>
            <w:noWrap/>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2023</w:t>
            </w:r>
          </w:p>
        </w:tc>
        <w:tc>
          <w:tcPr>
            <w:tcW w:w="1276" w:type="dxa"/>
            <w:tcBorders>
              <w:top w:val="nil"/>
              <w:left w:val="nil"/>
              <w:bottom w:val="single" w:sz="8" w:space="0" w:color="auto"/>
              <w:right w:val="single" w:sz="8" w:space="0" w:color="auto"/>
            </w:tcBorders>
            <w:shd w:val="clear" w:color="000000" w:fill="CCFFCC"/>
            <w:noWrap/>
            <w:vAlign w:val="bottom"/>
            <w:hideMark/>
          </w:tcPr>
          <w:p w:rsidR="009E72CE" w:rsidRPr="009E72CE" w:rsidRDefault="009E72CE" w:rsidP="009E72CE">
            <w:pPr>
              <w:jc w:val="cente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2022</w:t>
            </w:r>
          </w:p>
        </w:tc>
      </w:tr>
      <w:tr w:rsidR="009E72CE" w:rsidRPr="009E72CE" w:rsidTr="00576038">
        <w:trPr>
          <w:gridAfter w:val="2"/>
          <w:wAfter w:w="201" w:type="dxa"/>
          <w:trHeight w:val="225"/>
        </w:trPr>
        <w:tc>
          <w:tcPr>
            <w:tcW w:w="2282" w:type="dxa"/>
            <w:gridSpan w:val="2"/>
            <w:tcBorders>
              <w:top w:val="single" w:sz="8" w:space="0" w:color="auto"/>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Impuesto corriente:</w:t>
            </w:r>
          </w:p>
        </w:tc>
        <w:tc>
          <w:tcPr>
            <w:tcW w:w="56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91"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27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76038">
        <w:trPr>
          <w:gridAfter w:val="2"/>
          <w:wAfter w:w="201" w:type="dxa"/>
          <w:trHeight w:val="225"/>
        </w:trPr>
        <w:tc>
          <w:tcPr>
            <w:tcW w:w="2282" w:type="dxa"/>
            <w:gridSpan w:val="2"/>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Por operaciones continuadas:</w:t>
            </w:r>
          </w:p>
        </w:tc>
        <w:tc>
          <w:tcPr>
            <w:tcW w:w="56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91"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27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76038">
        <w:trPr>
          <w:gridAfter w:val="2"/>
          <w:wAfter w:w="201" w:type="dxa"/>
          <w:trHeight w:val="225"/>
        </w:trPr>
        <w:tc>
          <w:tcPr>
            <w:tcW w:w="2282" w:type="dxa"/>
            <w:gridSpan w:val="2"/>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Por operaciones interrumpidas</w:t>
            </w:r>
          </w:p>
        </w:tc>
        <w:tc>
          <w:tcPr>
            <w:tcW w:w="56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91"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27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76038">
        <w:trPr>
          <w:gridAfter w:val="2"/>
          <w:wAfter w:w="201" w:type="dxa"/>
          <w:trHeight w:val="225"/>
        </w:trPr>
        <w:tc>
          <w:tcPr>
            <w:tcW w:w="1141" w:type="dxa"/>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41" w:type="dxa"/>
            <w:tcBorders>
              <w:top w:val="nil"/>
              <w:left w:val="nil"/>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p>
        </w:tc>
        <w:tc>
          <w:tcPr>
            <w:tcW w:w="56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91"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27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76038">
        <w:trPr>
          <w:gridAfter w:val="2"/>
          <w:wAfter w:w="201" w:type="dxa"/>
          <w:trHeight w:val="225"/>
        </w:trPr>
        <w:tc>
          <w:tcPr>
            <w:tcW w:w="2282" w:type="dxa"/>
            <w:gridSpan w:val="2"/>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Impuesto diferido:</w:t>
            </w:r>
          </w:p>
        </w:tc>
        <w:tc>
          <w:tcPr>
            <w:tcW w:w="56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91"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27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76038">
        <w:trPr>
          <w:gridAfter w:val="2"/>
          <w:wAfter w:w="201" w:type="dxa"/>
          <w:trHeight w:val="225"/>
        </w:trPr>
        <w:tc>
          <w:tcPr>
            <w:tcW w:w="2282" w:type="dxa"/>
            <w:gridSpan w:val="2"/>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Por operaciones continuadas:</w:t>
            </w:r>
          </w:p>
        </w:tc>
        <w:tc>
          <w:tcPr>
            <w:tcW w:w="56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91"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38.268,16</w:t>
            </w:r>
          </w:p>
        </w:tc>
        <w:tc>
          <w:tcPr>
            <w:tcW w:w="1276" w:type="dxa"/>
            <w:tcBorders>
              <w:top w:val="nil"/>
              <w:left w:val="nil"/>
              <w:bottom w:val="nil"/>
              <w:right w:val="single" w:sz="8" w:space="0" w:color="auto"/>
            </w:tcBorders>
            <w:shd w:val="clear" w:color="auto" w:fill="auto"/>
            <w:noWrap/>
            <w:vAlign w:val="bottom"/>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(133.510,76)</w:t>
            </w:r>
          </w:p>
        </w:tc>
      </w:tr>
      <w:tr w:rsidR="009E72CE" w:rsidRPr="009E72CE" w:rsidTr="00576038">
        <w:trPr>
          <w:gridAfter w:val="2"/>
          <w:wAfter w:w="201" w:type="dxa"/>
          <w:trHeight w:val="225"/>
        </w:trPr>
        <w:tc>
          <w:tcPr>
            <w:tcW w:w="2282" w:type="dxa"/>
            <w:gridSpan w:val="2"/>
            <w:tcBorders>
              <w:top w:val="nil"/>
              <w:left w:val="single" w:sz="8" w:space="0" w:color="auto"/>
              <w:bottom w:val="nil"/>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Por operaciones interrumpidas:</w:t>
            </w:r>
          </w:p>
        </w:tc>
        <w:tc>
          <w:tcPr>
            <w:tcW w:w="56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91"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276" w:type="dxa"/>
            <w:tcBorders>
              <w:top w:val="nil"/>
              <w:left w:val="nil"/>
              <w:bottom w:val="nil"/>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76038">
        <w:trPr>
          <w:gridAfter w:val="2"/>
          <w:wAfter w:w="201" w:type="dxa"/>
          <w:trHeight w:val="240"/>
        </w:trPr>
        <w:tc>
          <w:tcPr>
            <w:tcW w:w="1141" w:type="dxa"/>
            <w:tcBorders>
              <w:top w:val="nil"/>
              <w:left w:val="single" w:sz="8" w:space="0" w:color="auto"/>
              <w:bottom w:val="single" w:sz="8" w:space="0" w:color="auto"/>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41" w:type="dxa"/>
            <w:tcBorders>
              <w:top w:val="nil"/>
              <w:left w:val="nil"/>
              <w:bottom w:val="single" w:sz="8" w:space="0" w:color="auto"/>
              <w:right w:val="nil"/>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566" w:type="dxa"/>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191" w:type="dxa"/>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c>
          <w:tcPr>
            <w:tcW w:w="1276" w:type="dxa"/>
            <w:tcBorders>
              <w:top w:val="nil"/>
              <w:left w:val="nil"/>
              <w:bottom w:val="single" w:sz="8" w:space="0" w:color="auto"/>
              <w:right w:val="single" w:sz="8" w:space="0" w:color="auto"/>
            </w:tcBorders>
            <w:shd w:val="clear" w:color="auto" w:fill="auto"/>
            <w:noWrap/>
            <w:vAlign w:val="bottom"/>
            <w:hideMark/>
          </w:tcPr>
          <w:p w:rsidR="009E72CE" w:rsidRPr="009E72CE" w:rsidRDefault="009E72CE" w:rsidP="009E72CE">
            <w:pPr>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 </w:t>
            </w:r>
          </w:p>
        </w:tc>
      </w:tr>
      <w:tr w:rsidR="009E72CE" w:rsidRPr="009E72CE" w:rsidTr="00576038">
        <w:trPr>
          <w:gridAfter w:val="2"/>
          <w:wAfter w:w="201" w:type="dxa"/>
          <w:trHeight w:val="240"/>
        </w:trPr>
        <w:tc>
          <w:tcPr>
            <w:tcW w:w="28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72CE" w:rsidRPr="009E72CE" w:rsidRDefault="009E72CE" w:rsidP="009E72CE">
            <w:pPr>
              <w:jc w:val="center"/>
              <w:rPr>
                <w:rFonts w:ascii="Lucida Bright" w:hAnsi="Lucida Bright" w:cs="Calibri"/>
                <w:b/>
                <w:bCs/>
                <w:color w:val="000000"/>
                <w:sz w:val="14"/>
                <w:szCs w:val="14"/>
                <w:lang w:val="es-ES"/>
              </w:rPr>
            </w:pPr>
            <w:r w:rsidRPr="009E72CE">
              <w:rPr>
                <w:rFonts w:ascii="Lucida Bright" w:hAnsi="Lucida Bright" w:cs="Calibri"/>
                <w:b/>
                <w:bCs/>
                <w:color w:val="000000"/>
                <w:sz w:val="14"/>
                <w:szCs w:val="14"/>
                <w:lang w:val="es-ES"/>
              </w:rPr>
              <w:t xml:space="preserve">Total gasto por impuesto </w:t>
            </w:r>
          </w:p>
        </w:tc>
        <w:tc>
          <w:tcPr>
            <w:tcW w:w="1191" w:type="dxa"/>
            <w:tcBorders>
              <w:top w:val="nil"/>
              <w:left w:val="nil"/>
              <w:bottom w:val="single" w:sz="8" w:space="0" w:color="auto"/>
              <w:right w:val="single" w:sz="8" w:space="0" w:color="auto"/>
            </w:tcBorders>
            <w:shd w:val="clear" w:color="auto" w:fill="auto"/>
            <w:vAlign w:val="center"/>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38.268,16</w:t>
            </w:r>
          </w:p>
        </w:tc>
        <w:tc>
          <w:tcPr>
            <w:tcW w:w="1276" w:type="dxa"/>
            <w:tcBorders>
              <w:top w:val="nil"/>
              <w:left w:val="nil"/>
              <w:bottom w:val="single" w:sz="8" w:space="0" w:color="auto"/>
              <w:right w:val="single" w:sz="8" w:space="0" w:color="auto"/>
            </w:tcBorders>
            <w:shd w:val="clear" w:color="auto" w:fill="auto"/>
            <w:vAlign w:val="center"/>
            <w:hideMark/>
          </w:tcPr>
          <w:p w:rsidR="009E72CE" w:rsidRPr="009E72CE" w:rsidRDefault="009E72CE" w:rsidP="009E72CE">
            <w:pPr>
              <w:jc w:val="right"/>
              <w:rPr>
                <w:rFonts w:ascii="Lucida Bright" w:hAnsi="Lucida Bright" w:cs="Calibri"/>
                <w:color w:val="000000"/>
                <w:sz w:val="14"/>
                <w:szCs w:val="14"/>
                <w:lang w:val="es-ES"/>
              </w:rPr>
            </w:pPr>
            <w:r w:rsidRPr="009E72CE">
              <w:rPr>
                <w:rFonts w:ascii="Lucida Bright" w:hAnsi="Lucida Bright" w:cs="Calibri"/>
                <w:color w:val="000000"/>
                <w:sz w:val="14"/>
                <w:szCs w:val="14"/>
                <w:lang w:val="es-ES"/>
              </w:rPr>
              <w:t>(133.510,76)</w:t>
            </w:r>
          </w:p>
        </w:tc>
      </w:tr>
    </w:tbl>
    <w:p w:rsidR="00964DBB" w:rsidRDefault="00964DBB">
      <w:pPr>
        <w:tabs>
          <w:tab w:val="right" w:pos="8364"/>
        </w:tabs>
        <w:ind w:firstLine="540"/>
        <w:jc w:val="both"/>
        <w:rPr>
          <w:bCs/>
          <w:u w:val="single"/>
        </w:rPr>
      </w:pPr>
    </w:p>
    <w:p w:rsidR="00964DBB" w:rsidRDefault="00964DBB" w:rsidP="006C0EE0">
      <w:pPr>
        <w:tabs>
          <w:tab w:val="right" w:pos="8364"/>
        </w:tabs>
        <w:jc w:val="both"/>
        <w:rPr>
          <w:bCs/>
          <w:u w:val="single"/>
        </w:rPr>
      </w:pPr>
    </w:p>
    <w:p w:rsidR="006C0EE0" w:rsidRDefault="006C0EE0">
      <w:pPr>
        <w:tabs>
          <w:tab w:val="right" w:pos="8364"/>
        </w:tabs>
        <w:ind w:firstLine="540"/>
        <w:jc w:val="both"/>
        <w:rPr>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576038" w:rsidRDefault="00576038">
      <w:pPr>
        <w:tabs>
          <w:tab w:val="right" w:pos="8364"/>
        </w:tabs>
        <w:ind w:firstLine="540"/>
        <w:jc w:val="both"/>
        <w:rPr>
          <w:rFonts w:ascii="NewBaskerville" w:hAnsi="NewBaskerville"/>
          <w:bCs/>
          <w:u w:val="single"/>
        </w:rPr>
      </w:pPr>
    </w:p>
    <w:p w:rsidR="00964DBB" w:rsidRPr="007C68BE" w:rsidRDefault="00964DBB">
      <w:pPr>
        <w:tabs>
          <w:tab w:val="right" w:pos="8364"/>
        </w:tabs>
        <w:ind w:firstLine="540"/>
        <w:jc w:val="both"/>
        <w:rPr>
          <w:rFonts w:ascii="NewBaskerville" w:hAnsi="NewBaskerville"/>
          <w:bCs/>
        </w:rPr>
      </w:pPr>
      <w:r w:rsidRPr="007C68BE">
        <w:rPr>
          <w:rFonts w:ascii="NewBaskerville" w:hAnsi="NewBaskerville"/>
          <w:bCs/>
          <w:u w:val="single"/>
        </w:rPr>
        <w:lastRenderedPageBreak/>
        <w:t>Detalle del saldo de Activos por impuesto diferido registrados.</w:t>
      </w:r>
    </w:p>
    <w:p w:rsidR="0010198F" w:rsidRPr="007C68BE" w:rsidRDefault="0010198F">
      <w:pPr>
        <w:tabs>
          <w:tab w:val="right" w:pos="8364"/>
        </w:tabs>
        <w:ind w:firstLine="540"/>
        <w:jc w:val="both"/>
        <w:rPr>
          <w:rFonts w:ascii="NewBaskerville" w:hAnsi="NewBaskerville"/>
          <w:bCs/>
        </w:rPr>
      </w:pPr>
    </w:p>
    <w:p w:rsidR="0010198F" w:rsidRDefault="0010198F">
      <w:pPr>
        <w:tabs>
          <w:tab w:val="right" w:pos="8364"/>
        </w:tabs>
        <w:ind w:firstLine="540"/>
        <w:jc w:val="both"/>
        <w:rPr>
          <w:rFonts w:ascii="NewBaskerville" w:hAnsi="NewBaskerville"/>
          <w:bCs/>
        </w:rPr>
      </w:pPr>
      <w:r w:rsidRPr="007C68BE">
        <w:rPr>
          <w:rFonts w:ascii="NewBaskerville" w:hAnsi="NewBaskerville"/>
          <w:bCs/>
        </w:rPr>
        <w:t>El detalle del saldo de esta cuenta al cierre del ejercicio 202</w:t>
      </w:r>
      <w:r w:rsidR="00576038">
        <w:rPr>
          <w:rFonts w:ascii="NewBaskerville" w:hAnsi="NewBaskerville"/>
          <w:bCs/>
        </w:rPr>
        <w:t>3</w:t>
      </w:r>
      <w:r w:rsidRPr="007C68BE">
        <w:rPr>
          <w:rFonts w:ascii="NewBaskerville" w:hAnsi="NewBaskerville"/>
          <w:bCs/>
        </w:rPr>
        <w:t xml:space="preserve"> y 20</w:t>
      </w:r>
      <w:r w:rsidR="00333BDC" w:rsidRPr="007C68BE">
        <w:rPr>
          <w:rFonts w:ascii="NewBaskerville" w:hAnsi="NewBaskerville"/>
          <w:bCs/>
        </w:rPr>
        <w:t>2</w:t>
      </w:r>
      <w:r w:rsidR="00576038">
        <w:rPr>
          <w:rFonts w:ascii="NewBaskerville" w:hAnsi="NewBaskerville"/>
          <w:bCs/>
        </w:rPr>
        <w:t>2</w:t>
      </w:r>
      <w:r w:rsidRPr="007C68BE">
        <w:rPr>
          <w:rFonts w:ascii="NewBaskerville" w:hAnsi="NewBaskerville"/>
          <w:bCs/>
        </w:rPr>
        <w:t xml:space="preserve"> es el siguiente:</w:t>
      </w:r>
    </w:p>
    <w:p w:rsidR="00576038" w:rsidRDefault="00576038">
      <w:pPr>
        <w:tabs>
          <w:tab w:val="right" w:pos="8364"/>
        </w:tabs>
        <w:ind w:firstLine="540"/>
        <w:jc w:val="both"/>
        <w:rPr>
          <w:rFonts w:ascii="NewBaskerville" w:hAnsi="NewBaskerville"/>
          <w:bCs/>
        </w:rPr>
      </w:pPr>
    </w:p>
    <w:tbl>
      <w:tblPr>
        <w:tblW w:w="6394" w:type="dxa"/>
        <w:tblInd w:w="55" w:type="dxa"/>
        <w:tblCellMar>
          <w:left w:w="70" w:type="dxa"/>
          <w:right w:w="70" w:type="dxa"/>
        </w:tblCellMar>
        <w:tblLook w:val="04A0" w:firstRow="1" w:lastRow="0" w:firstColumn="1" w:lastColumn="0" w:noHBand="0" w:noVBand="1"/>
      </w:tblPr>
      <w:tblGrid>
        <w:gridCol w:w="1237"/>
        <w:gridCol w:w="1237"/>
        <w:gridCol w:w="1200"/>
        <w:gridCol w:w="1360"/>
        <w:gridCol w:w="1360"/>
      </w:tblGrid>
      <w:tr w:rsidR="007150CE" w:rsidRPr="007150CE" w:rsidTr="007150CE">
        <w:trPr>
          <w:trHeight w:val="240"/>
        </w:trPr>
        <w:tc>
          <w:tcPr>
            <w:tcW w:w="3674" w:type="dxa"/>
            <w:gridSpan w:val="3"/>
            <w:tcBorders>
              <w:top w:val="nil"/>
              <w:left w:val="nil"/>
              <w:bottom w:val="nil"/>
              <w:right w:val="nil"/>
            </w:tcBorders>
            <w:shd w:val="clear" w:color="auto" w:fill="auto"/>
            <w:noWrap/>
            <w:vAlign w:val="bottom"/>
            <w:hideMark/>
          </w:tcPr>
          <w:p w:rsidR="007150CE" w:rsidRPr="007150CE" w:rsidRDefault="007150CE" w:rsidP="007150CE">
            <w:pPr>
              <w:rPr>
                <w:rFonts w:ascii="Lucida Bright" w:hAnsi="Lucida Bright" w:cs="Calibri"/>
                <w:b/>
                <w:bCs/>
                <w:color w:val="000000"/>
                <w:sz w:val="16"/>
                <w:szCs w:val="16"/>
                <w:lang w:val="es-ES"/>
              </w:rPr>
            </w:pPr>
            <w:r w:rsidRPr="007150CE">
              <w:rPr>
                <w:rFonts w:ascii="Lucida Bright" w:hAnsi="Lucida Bright" w:cs="Calibri"/>
                <w:b/>
                <w:bCs/>
                <w:color w:val="000000"/>
                <w:sz w:val="16"/>
                <w:szCs w:val="16"/>
                <w:lang w:val="es-ES"/>
              </w:rPr>
              <w:t>Activos por impuesto diferido registrados</w:t>
            </w:r>
          </w:p>
        </w:tc>
        <w:tc>
          <w:tcPr>
            <w:tcW w:w="1360" w:type="dxa"/>
            <w:tcBorders>
              <w:top w:val="nil"/>
              <w:left w:val="nil"/>
              <w:bottom w:val="nil"/>
              <w:right w:val="nil"/>
            </w:tcBorders>
            <w:shd w:val="clear" w:color="auto" w:fill="auto"/>
            <w:noWrap/>
            <w:vAlign w:val="bottom"/>
            <w:hideMark/>
          </w:tcPr>
          <w:p w:rsidR="007150CE" w:rsidRPr="007150CE" w:rsidRDefault="007150CE" w:rsidP="007150CE">
            <w:pPr>
              <w:rPr>
                <w:rFonts w:ascii="Lucida Bright" w:hAnsi="Lucida Bright" w:cs="Calibri"/>
                <w:color w:val="000000"/>
                <w:sz w:val="16"/>
                <w:szCs w:val="16"/>
                <w:lang w:val="es-ES"/>
              </w:rPr>
            </w:pPr>
          </w:p>
        </w:tc>
        <w:tc>
          <w:tcPr>
            <w:tcW w:w="1360" w:type="dxa"/>
            <w:tcBorders>
              <w:top w:val="nil"/>
              <w:left w:val="nil"/>
              <w:bottom w:val="nil"/>
              <w:right w:val="nil"/>
            </w:tcBorders>
            <w:shd w:val="clear" w:color="auto" w:fill="auto"/>
            <w:noWrap/>
            <w:vAlign w:val="bottom"/>
            <w:hideMark/>
          </w:tcPr>
          <w:p w:rsidR="007150CE" w:rsidRPr="007150CE" w:rsidRDefault="007150CE" w:rsidP="007150CE">
            <w:pPr>
              <w:rPr>
                <w:rFonts w:ascii="Lucida Bright" w:hAnsi="Lucida Bright" w:cs="Calibri"/>
                <w:color w:val="000000"/>
                <w:sz w:val="16"/>
                <w:szCs w:val="16"/>
                <w:lang w:val="es-ES"/>
              </w:rPr>
            </w:pPr>
          </w:p>
        </w:tc>
      </w:tr>
      <w:tr w:rsidR="007150CE" w:rsidRPr="007150CE" w:rsidTr="007150CE">
        <w:trPr>
          <w:trHeight w:val="240"/>
        </w:trPr>
        <w:tc>
          <w:tcPr>
            <w:tcW w:w="1237" w:type="dxa"/>
            <w:tcBorders>
              <w:top w:val="single" w:sz="8" w:space="0" w:color="auto"/>
              <w:left w:val="single" w:sz="8" w:space="0" w:color="auto"/>
              <w:bottom w:val="nil"/>
              <w:right w:val="nil"/>
            </w:tcBorders>
            <w:shd w:val="clear" w:color="000000" w:fill="CCFFCC"/>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237" w:type="dxa"/>
            <w:tcBorders>
              <w:top w:val="single" w:sz="8" w:space="0" w:color="auto"/>
              <w:left w:val="nil"/>
              <w:bottom w:val="nil"/>
              <w:right w:val="nil"/>
            </w:tcBorders>
            <w:shd w:val="clear" w:color="000000" w:fill="CCFFCC"/>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200" w:type="dxa"/>
            <w:tcBorders>
              <w:top w:val="single" w:sz="8" w:space="0" w:color="auto"/>
              <w:left w:val="nil"/>
              <w:bottom w:val="nil"/>
              <w:right w:val="single" w:sz="8" w:space="0" w:color="auto"/>
            </w:tcBorders>
            <w:shd w:val="clear" w:color="000000" w:fill="CCFFCC"/>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2720" w:type="dxa"/>
            <w:gridSpan w:val="2"/>
            <w:tcBorders>
              <w:top w:val="single" w:sz="8" w:space="0" w:color="auto"/>
              <w:left w:val="nil"/>
              <w:bottom w:val="single" w:sz="8" w:space="0" w:color="auto"/>
              <w:right w:val="single" w:sz="8" w:space="0" w:color="000000"/>
            </w:tcBorders>
            <w:shd w:val="clear" w:color="000000" w:fill="CCFFCC"/>
            <w:noWrap/>
            <w:vAlign w:val="center"/>
            <w:hideMark/>
          </w:tcPr>
          <w:p w:rsidR="007150CE" w:rsidRPr="007150CE" w:rsidRDefault="007150CE" w:rsidP="007150CE">
            <w:pPr>
              <w:jc w:val="cente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Euros</w:t>
            </w:r>
          </w:p>
        </w:tc>
      </w:tr>
      <w:tr w:rsidR="007150CE" w:rsidRPr="007150CE" w:rsidTr="007150CE">
        <w:trPr>
          <w:trHeight w:val="240"/>
        </w:trPr>
        <w:tc>
          <w:tcPr>
            <w:tcW w:w="1237" w:type="dxa"/>
            <w:tcBorders>
              <w:top w:val="nil"/>
              <w:left w:val="single" w:sz="8" w:space="0" w:color="auto"/>
              <w:bottom w:val="single" w:sz="8" w:space="0" w:color="auto"/>
              <w:right w:val="nil"/>
            </w:tcBorders>
            <w:shd w:val="clear" w:color="000000" w:fill="CCFFCC"/>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237" w:type="dxa"/>
            <w:tcBorders>
              <w:top w:val="nil"/>
              <w:left w:val="nil"/>
              <w:bottom w:val="single" w:sz="8" w:space="0" w:color="auto"/>
              <w:right w:val="nil"/>
            </w:tcBorders>
            <w:shd w:val="clear" w:color="000000" w:fill="CCFFCC"/>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200" w:type="dxa"/>
            <w:tcBorders>
              <w:top w:val="nil"/>
              <w:left w:val="nil"/>
              <w:bottom w:val="single" w:sz="8" w:space="0" w:color="auto"/>
              <w:right w:val="single" w:sz="8" w:space="0" w:color="auto"/>
            </w:tcBorders>
            <w:shd w:val="clear" w:color="000000" w:fill="CCFFCC"/>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000000" w:fill="CCFFCC"/>
            <w:noWrap/>
            <w:vAlign w:val="bottom"/>
            <w:hideMark/>
          </w:tcPr>
          <w:p w:rsidR="007150CE" w:rsidRPr="007150CE" w:rsidRDefault="007150CE" w:rsidP="007150CE">
            <w:pPr>
              <w:jc w:val="cente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2023</w:t>
            </w:r>
          </w:p>
        </w:tc>
        <w:tc>
          <w:tcPr>
            <w:tcW w:w="1360" w:type="dxa"/>
            <w:tcBorders>
              <w:top w:val="nil"/>
              <w:left w:val="nil"/>
              <w:bottom w:val="single" w:sz="8" w:space="0" w:color="auto"/>
              <w:right w:val="single" w:sz="8" w:space="0" w:color="auto"/>
            </w:tcBorders>
            <w:shd w:val="clear" w:color="000000" w:fill="CCFFCC"/>
            <w:noWrap/>
            <w:vAlign w:val="bottom"/>
            <w:hideMark/>
          </w:tcPr>
          <w:p w:rsidR="007150CE" w:rsidRPr="007150CE" w:rsidRDefault="007150CE" w:rsidP="007150CE">
            <w:pPr>
              <w:jc w:val="cente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2022</w:t>
            </w:r>
          </w:p>
        </w:tc>
      </w:tr>
      <w:tr w:rsidR="007150CE" w:rsidRPr="007150CE" w:rsidTr="007150CE">
        <w:trPr>
          <w:trHeight w:val="225"/>
        </w:trPr>
        <w:tc>
          <w:tcPr>
            <w:tcW w:w="2474" w:type="dxa"/>
            <w:gridSpan w:val="2"/>
            <w:tcBorders>
              <w:top w:val="single" w:sz="8" w:space="0" w:color="auto"/>
              <w:left w:val="single" w:sz="8" w:space="0" w:color="auto"/>
              <w:bottom w:val="nil"/>
              <w:right w:val="nil"/>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Diferencias temporarias deducibles:</w:t>
            </w:r>
          </w:p>
        </w:tc>
        <w:tc>
          <w:tcPr>
            <w:tcW w:w="120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r>
      <w:tr w:rsidR="007150CE" w:rsidRPr="007150CE" w:rsidTr="007150CE">
        <w:trPr>
          <w:trHeight w:val="225"/>
        </w:trPr>
        <w:tc>
          <w:tcPr>
            <w:tcW w:w="3674" w:type="dxa"/>
            <w:gridSpan w:val="3"/>
            <w:tcBorders>
              <w:top w:val="nil"/>
              <w:left w:val="single" w:sz="8" w:space="0" w:color="auto"/>
              <w:bottom w:val="nil"/>
              <w:right w:val="single" w:sz="8" w:space="0" w:color="000000"/>
            </w:tcBorders>
            <w:shd w:val="clear" w:color="auto" w:fill="auto"/>
            <w:noWrap/>
            <w:vAlign w:val="bottom"/>
            <w:hideMark/>
          </w:tcPr>
          <w:p w:rsidR="007150CE" w:rsidRPr="007150CE" w:rsidRDefault="007150CE" w:rsidP="007150CE">
            <w:pPr>
              <w:rPr>
                <w:rFonts w:ascii="Lucida Bright" w:hAnsi="Lucida Bright" w:cs="Calibri"/>
                <w:i/>
                <w:iCs/>
                <w:color w:val="000000"/>
                <w:sz w:val="14"/>
                <w:szCs w:val="14"/>
                <w:lang w:val="es-ES"/>
              </w:rPr>
            </w:pPr>
            <w:proofErr w:type="spellStart"/>
            <w:r w:rsidRPr="007150CE">
              <w:rPr>
                <w:rFonts w:ascii="Lucida Bright" w:hAnsi="Lucida Bright" w:cs="Calibri"/>
                <w:i/>
                <w:iCs/>
                <w:color w:val="000000"/>
                <w:sz w:val="14"/>
                <w:szCs w:val="14"/>
                <w:lang w:val="es-ES"/>
              </w:rPr>
              <w:t>Deducc</w:t>
            </w:r>
            <w:proofErr w:type="spellEnd"/>
            <w:r w:rsidRPr="007150CE">
              <w:rPr>
                <w:rFonts w:ascii="Lucida Bright" w:hAnsi="Lucida Bright" w:cs="Calibri"/>
                <w:i/>
                <w:iCs/>
                <w:color w:val="000000"/>
                <w:sz w:val="14"/>
                <w:szCs w:val="14"/>
                <w:lang w:val="es-ES"/>
              </w:rPr>
              <w:t xml:space="preserve"> 30% gastos </w:t>
            </w:r>
            <w:proofErr w:type="spellStart"/>
            <w:r w:rsidRPr="007150CE">
              <w:rPr>
                <w:rFonts w:ascii="Lucida Bright" w:hAnsi="Lucida Bright" w:cs="Calibri"/>
                <w:i/>
                <w:iCs/>
                <w:color w:val="000000"/>
                <w:sz w:val="14"/>
                <w:szCs w:val="14"/>
                <w:lang w:val="es-ES"/>
              </w:rPr>
              <w:t>amortiz</w:t>
            </w:r>
            <w:proofErr w:type="spellEnd"/>
            <w:r w:rsidRPr="007150CE">
              <w:rPr>
                <w:rFonts w:ascii="Lucida Bright" w:hAnsi="Lucida Bright" w:cs="Calibri"/>
                <w:i/>
                <w:iCs/>
                <w:color w:val="000000"/>
                <w:sz w:val="14"/>
                <w:szCs w:val="14"/>
                <w:lang w:val="es-ES"/>
              </w:rPr>
              <w:t xml:space="preserve"> Art 7 L16/2012</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11.113,13</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22.226,24</w:t>
            </w:r>
          </w:p>
        </w:tc>
      </w:tr>
      <w:tr w:rsidR="007150CE" w:rsidRPr="007150CE" w:rsidTr="007150CE">
        <w:trPr>
          <w:trHeight w:val="225"/>
        </w:trPr>
        <w:tc>
          <w:tcPr>
            <w:tcW w:w="3674" w:type="dxa"/>
            <w:gridSpan w:val="3"/>
            <w:tcBorders>
              <w:top w:val="nil"/>
              <w:left w:val="single" w:sz="8" w:space="0" w:color="auto"/>
              <w:bottom w:val="nil"/>
              <w:right w:val="single" w:sz="8" w:space="0" w:color="000000"/>
            </w:tcBorders>
            <w:shd w:val="clear" w:color="auto" w:fill="auto"/>
            <w:noWrap/>
            <w:vAlign w:val="bottom"/>
            <w:hideMark/>
          </w:tcPr>
          <w:p w:rsidR="007150CE" w:rsidRPr="007150CE" w:rsidRDefault="007150CE" w:rsidP="007150CE">
            <w:pPr>
              <w:rPr>
                <w:rFonts w:ascii="Lucida Bright" w:hAnsi="Lucida Bright" w:cs="Calibri"/>
                <w:i/>
                <w:iCs/>
                <w:color w:val="000000"/>
                <w:sz w:val="14"/>
                <w:szCs w:val="14"/>
                <w:lang w:val="es-ES"/>
              </w:rPr>
            </w:pPr>
            <w:r w:rsidRPr="007150CE">
              <w:rPr>
                <w:rFonts w:ascii="Lucida Bright" w:hAnsi="Lucida Bright" w:cs="Calibri"/>
                <w:i/>
                <w:iCs/>
                <w:color w:val="000000"/>
                <w:sz w:val="14"/>
                <w:szCs w:val="14"/>
                <w:lang w:val="es-ES"/>
              </w:rPr>
              <w:t xml:space="preserve">Diferencias </w:t>
            </w:r>
            <w:proofErr w:type="spellStart"/>
            <w:r w:rsidRPr="007150CE">
              <w:rPr>
                <w:rFonts w:ascii="Lucida Bright" w:hAnsi="Lucida Bright" w:cs="Calibri"/>
                <w:i/>
                <w:iCs/>
                <w:color w:val="000000"/>
                <w:sz w:val="14"/>
                <w:szCs w:val="14"/>
                <w:lang w:val="es-ES"/>
              </w:rPr>
              <w:t>anortización</w:t>
            </w:r>
            <w:proofErr w:type="spellEnd"/>
            <w:r w:rsidRPr="007150CE">
              <w:rPr>
                <w:rFonts w:ascii="Lucida Bright" w:hAnsi="Lucida Bright" w:cs="Calibri"/>
                <w:i/>
                <w:iCs/>
                <w:color w:val="000000"/>
                <w:sz w:val="14"/>
                <w:szCs w:val="14"/>
                <w:lang w:val="es-ES"/>
              </w:rPr>
              <w:t xml:space="preserve"> contable y fiscal</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18.165,35</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18.324,10</w:t>
            </w:r>
          </w:p>
        </w:tc>
      </w:tr>
      <w:tr w:rsidR="007150CE" w:rsidRPr="007150CE" w:rsidTr="007150CE">
        <w:trPr>
          <w:trHeight w:val="225"/>
        </w:trPr>
        <w:tc>
          <w:tcPr>
            <w:tcW w:w="3674" w:type="dxa"/>
            <w:gridSpan w:val="3"/>
            <w:tcBorders>
              <w:top w:val="nil"/>
              <w:left w:val="single" w:sz="8" w:space="0" w:color="auto"/>
              <w:bottom w:val="nil"/>
              <w:right w:val="single" w:sz="8" w:space="0" w:color="000000"/>
            </w:tcBorders>
            <w:shd w:val="clear" w:color="auto" w:fill="auto"/>
            <w:noWrap/>
            <w:vAlign w:val="bottom"/>
            <w:hideMark/>
          </w:tcPr>
          <w:p w:rsidR="007150CE" w:rsidRPr="007150CE" w:rsidRDefault="007150CE" w:rsidP="007150CE">
            <w:pPr>
              <w:rPr>
                <w:rFonts w:ascii="Lucida Bright" w:hAnsi="Lucida Bright" w:cs="Calibri"/>
                <w:i/>
                <w:iCs/>
                <w:color w:val="000000"/>
                <w:sz w:val="14"/>
                <w:szCs w:val="14"/>
                <w:lang w:val="es-ES"/>
              </w:rPr>
            </w:pPr>
            <w:r w:rsidRPr="007150CE">
              <w:rPr>
                <w:rFonts w:ascii="Lucida Bright" w:hAnsi="Lucida Bright" w:cs="Calibri"/>
                <w:i/>
                <w:iCs/>
                <w:color w:val="000000"/>
                <w:sz w:val="14"/>
                <w:szCs w:val="14"/>
                <w:lang w:val="es-ES"/>
              </w:rPr>
              <w:t xml:space="preserve">Por actualizaciones financieras no </w:t>
            </w:r>
            <w:proofErr w:type="spellStart"/>
            <w:r w:rsidRPr="007150CE">
              <w:rPr>
                <w:rFonts w:ascii="Lucida Bright" w:hAnsi="Lucida Bright" w:cs="Calibri"/>
                <w:i/>
                <w:iCs/>
                <w:color w:val="000000"/>
                <w:sz w:val="14"/>
                <w:szCs w:val="14"/>
                <w:lang w:val="es-ES"/>
              </w:rPr>
              <w:t>deducc</w:t>
            </w:r>
            <w:proofErr w:type="spellEnd"/>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57.642,02</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42.129,00</w:t>
            </w:r>
          </w:p>
        </w:tc>
      </w:tr>
      <w:tr w:rsidR="007150CE" w:rsidRPr="007150CE" w:rsidTr="007150CE">
        <w:trPr>
          <w:trHeight w:val="225"/>
        </w:trPr>
        <w:tc>
          <w:tcPr>
            <w:tcW w:w="3674" w:type="dxa"/>
            <w:gridSpan w:val="3"/>
            <w:tcBorders>
              <w:top w:val="nil"/>
              <w:left w:val="single" w:sz="8" w:space="0" w:color="auto"/>
              <w:bottom w:val="nil"/>
              <w:right w:val="single" w:sz="8" w:space="0" w:color="000000"/>
            </w:tcBorders>
            <w:shd w:val="clear" w:color="auto" w:fill="auto"/>
            <w:noWrap/>
            <w:vAlign w:val="bottom"/>
            <w:hideMark/>
          </w:tcPr>
          <w:p w:rsidR="007150CE" w:rsidRPr="007150CE" w:rsidRDefault="007150CE" w:rsidP="007150CE">
            <w:pPr>
              <w:rPr>
                <w:rFonts w:ascii="Lucida Bright" w:hAnsi="Lucida Bright" w:cs="Calibri"/>
                <w:i/>
                <w:iCs/>
                <w:color w:val="000000"/>
                <w:sz w:val="14"/>
                <w:szCs w:val="14"/>
                <w:lang w:val="es-ES"/>
              </w:rPr>
            </w:pPr>
            <w:r w:rsidRPr="007150CE">
              <w:rPr>
                <w:rFonts w:ascii="Lucida Bright" w:hAnsi="Lucida Bright" w:cs="Calibri"/>
                <w:i/>
                <w:iCs/>
                <w:color w:val="000000"/>
                <w:sz w:val="14"/>
                <w:szCs w:val="14"/>
                <w:lang w:val="es-ES"/>
              </w:rPr>
              <w:t>Por Reserva de Capitalización no aplicada</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r>
      <w:tr w:rsidR="007150CE" w:rsidRPr="007150CE" w:rsidTr="007150CE">
        <w:trPr>
          <w:trHeight w:val="225"/>
        </w:trPr>
        <w:tc>
          <w:tcPr>
            <w:tcW w:w="2474" w:type="dxa"/>
            <w:gridSpan w:val="2"/>
            <w:tcBorders>
              <w:top w:val="nil"/>
              <w:left w:val="single" w:sz="8" w:space="0" w:color="auto"/>
              <w:bottom w:val="nil"/>
              <w:right w:val="nil"/>
            </w:tcBorders>
            <w:shd w:val="clear" w:color="auto" w:fill="auto"/>
            <w:noWrap/>
            <w:vAlign w:val="bottom"/>
            <w:hideMark/>
          </w:tcPr>
          <w:p w:rsidR="007150CE" w:rsidRPr="007150CE" w:rsidRDefault="007150CE" w:rsidP="007150CE">
            <w:pPr>
              <w:rPr>
                <w:rFonts w:ascii="Lucida Bright" w:hAnsi="Lucida Bright" w:cs="Calibri"/>
                <w:i/>
                <w:iCs/>
                <w:color w:val="000000"/>
                <w:sz w:val="14"/>
                <w:szCs w:val="14"/>
                <w:lang w:val="es-ES"/>
              </w:rPr>
            </w:pPr>
            <w:r w:rsidRPr="007150CE">
              <w:rPr>
                <w:rFonts w:ascii="Lucida Bright" w:hAnsi="Lucida Bright" w:cs="Calibri"/>
                <w:i/>
                <w:iCs/>
                <w:color w:val="000000"/>
                <w:sz w:val="14"/>
                <w:szCs w:val="14"/>
                <w:lang w:val="es-ES"/>
              </w:rPr>
              <w:t>Por adquisiciones lucrativas</w:t>
            </w:r>
          </w:p>
        </w:tc>
        <w:tc>
          <w:tcPr>
            <w:tcW w:w="120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120.011,20</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162.637,42</w:t>
            </w:r>
          </w:p>
        </w:tc>
      </w:tr>
      <w:tr w:rsidR="007150CE" w:rsidRPr="007150CE" w:rsidTr="007150CE">
        <w:trPr>
          <w:trHeight w:val="225"/>
        </w:trPr>
        <w:tc>
          <w:tcPr>
            <w:tcW w:w="2474" w:type="dxa"/>
            <w:gridSpan w:val="2"/>
            <w:tcBorders>
              <w:top w:val="nil"/>
              <w:left w:val="single" w:sz="8" w:space="0" w:color="auto"/>
              <w:bottom w:val="nil"/>
              <w:right w:val="nil"/>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Bases Imponibles negativas</w:t>
            </w:r>
          </w:p>
        </w:tc>
        <w:tc>
          <w:tcPr>
            <w:tcW w:w="120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r>
      <w:tr w:rsidR="007150CE" w:rsidRPr="007150CE" w:rsidTr="007150CE">
        <w:trPr>
          <w:trHeight w:val="225"/>
        </w:trPr>
        <w:tc>
          <w:tcPr>
            <w:tcW w:w="2474" w:type="dxa"/>
            <w:gridSpan w:val="2"/>
            <w:tcBorders>
              <w:top w:val="nil"/>
              <w:left w:val="single" w:sz="8" w:space="0" w:color="auto"/>
              <w:bottom w:val="nil"/>
              <w:right w:val="nil"/>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Deducciones pendientes y otros</w:t>
            </w:r>
          </w:p>
        </w:tc>
        <w:tc>
          <w:tcPr>
            <w:tcW w:w="120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nil"/>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r>
      <w:tr w:rsidR="007150CE" w:rsidRPr="007150CE" w:rsidTr="007150CE">
        <w:trPr>
          <w:trHeight w:val="240"/>
        </w:trPr>
        <w:tc>
          <w:tcPr>
            <w:tcW w:w="1237" w:type="dxa"/>
            <w:tcBorders>
              <w:top w:val="nil"/>
              <w:left w:val="single" w:sz="8" w:space="0" w:color="auto"/>
              <w:bottom w:val="single" w:sz="8" w:space="0" w:color="auto"/>
              <w:right w:val="nil"/>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237" w:type="dxa"/>
            <w:tcBorders>
              <w:top w:val="nil"/>
              <w:left w:val="nil"/>
              <w:bottom w:val="single" w:sz="8" w:space="0" w:color="auto"/>
              <w:right w:val="nil"/>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c>
          <w:tcPr>
            <w:tcW w:w="1360" w:type="dxa"/>
            <w:tcBorders>
              <w:top w:val="nil"/>
              <w:left w:val="nil"/>
              <w:bottom w:val="single" w:sz="8" w:space="0" w:color="auto"/>
              <w:right w:val="single" w:sz="8" w:space="0" w:color="auto"/>
            </w:tcBorders>
            <w:shd w:val="clear" w:color="auto" w:fill="auto"/>
            <w:noWrap/>
            <w:vAlign w:val="bottom"/>
            <w:hideMark/>
          </w:tcPr>
          <w:p w:rsidR="007150CE" w:rsidRPr="007150CE" w:rsidRDefault="007150CE" w:rsidP="007150CE">
            <w:pPr>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 </w:t>
            </w:r>
          </w:p>
        </w:tc>
      </w:tr>
      <w:tr w:rsidR="007150CE" w:rsidRPr="007150CE" w:rsidTr="007150CE">
        <w:trPr>
          <w:trHeight w:val="240"/>
        </w:trPr>
        <w:tc>
          <w:tcPr>
            <w:tcW w:w="367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150CE" w:rsidRPr="007150CE" w:rsidRDefault="007150CE" w:rsidP="007150CE">
            <w:pPr>
              <w:jc w:val="center"/>
              <w:rPr>
                <w:rFonts w:ascii="Lucida Bright" w:hAnsi="Lucida Bright" w:cs="Calibri"/>
                <w:b/>
                <w:bCs/>
                <w:color w:val="000000"/>
                <w:sz w:val="14"/>
                <w:szCs w:val="14"/>
                <w:lang w:val="es-ES"/>
              </w:rPr>
            </w:pPr>
            <w:r w:rsidRPr="007150CE">
              <w:rPr>
                <w:rFonts w:ascii="Lucida Bright" w:hAnsi="Lucida Bright" w:cs="Calibri"/>
                <w:b/>
                <w:bCs/>
                <w:color w:val="000000"/>
                <w:sz w:val="14"/>
                <w:szCs w:val="14"/>
                <w:lang w:val="es-ES"/>
              </w:rPr>
              <w:t>Total activos por impuesto diferido</w:t>
            </w:r>
          </w:p>
        </w:tc>
        <w:tc>
          <w:tcPr>
            <w:tcW w:w="1360" w:type="dxa"/>
            <w:tcBorders>
              <w:top w:val="nil"/>
              <w:left w:val="nil"/>
              <w:bottom w:val="single" w:sz="8" w:space="0" w:color="auto"/>
              <w:right w:val="single" w:sz="8" w:space="0" w:color="auto"/>
            </w:tcBorders>
            <w:shd w:val="clear" w:color="auto" w:fill="auto"/>
            <w:noWrap/>
            <w:vAlign w:val="center"/>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206.931,70</w:t>
            </w:r>
          </w:p>
        </w:tc>
        <w:tc>
          <w:tcPr>
            <w:tcW w:w="1360" w:type="dxa"/>
            <w:tcBorders>
              <w:top w:val="nil"/>
              <w:left w:val="nil"/>
              <w:bottom w:val="single" w:sz="8" w:space="0" w:color="auto"/>
              <w:right w:val="single" w:sz="8" w:space="0" w:color="auto"/>
            </w:tcBorders>
            <w:shd w:val="clear" w:color="auto" w:fill="auto"/>
            <w:noWrap/>
            <w:vAlign w:val="center"/>
            <w:hideMark/>
          </w:tcPr>
          <w:p w:rsidR="007150CE" w:rsidRPr="007150CE" w:rsidRDefault="007150CE" w:rsidP="007150CE">
            <w:pPr>
              <w:jc w:val="right"/>
              <w:rPr>
                <w:rFonts w:ascii="Lucida Bright" w:hAnsi="Lucida Bright" w:cs="Calibri"/>
                <w:color w:val="000000"/>
                <w:sz w:val="14"/>
                <w:szCs w:val="14"/>
                <w:lang w:val="es-ES"/>
              </w:rPr>
            </w:pPr>
            <w:r w:rsidRPr="007150CE">
              <w:rPr>
                <w:rFonts w:ascii="Lucida Bright" w:hAnsi="Lucida Bright" w:cs="Calibri"/>
                <w:color w:val="000000"/>
                <w:sz w:val="14"/>
                <w:szCs w:val="14"/>
                <w:lang w:val="es-ES"/>
              </w:rPr>
              <w:t>245.316,76</w:t>
            </w:r>
          </w:p>
        </w:tc>
      </w:tr>
    </w:tbl>
    <w:p w:rsidR="00576038" w:rsidRPr="007C68BE" w:rsidRDefault="00576038">
      <w:pPr>
        <w:tabs>
          <w:tab w:val="right" w:pos="8364"/>
        </w:tabs>
        <w:ind w:firstLine="540"/>
        <w:jc w:val="both"/>
        <w:rPr>
          <w:rFonts w:ascii="NewBaskerville" w:hAnsi="NewBaskerville"/>
          <w:bCs/>
        </w:rPr>
      </w:pPr>
    </w:p>
    <w:p w:rsidR="006C0EE0" w:rsidRDefault="006C0EE0">
      <w:pPr>
        <w:tabs>
          <w:tab w:val="right" w:pos="8364"/>
        </w:tabs>
        <w:ind w:firstLine="540"/>
        <w:jc w:val="both"/>
        <w:rPr>
          <w:bCs/>
        </w:rPr>
      </w:pPr>
    </w:p>
    <w:p w:rsidR="00964DBB" w:rsidRPr="007C68BE" w:rsidRDefault="00964DBB">
      <w:pPr>
        <w:tabs>
          <w:tab w:val="right" w:pos="8364"/>
        </w:tabs>
        <w:ind w:firstLine="540"/>
        <w:jc w:val="both"/>
        <w:rPr>
          <w:rFonts w:ascii="NewBaskerville" w:hAnsi="NewBaskerville"/>
          <w:bCs/>
        </w:rPr>
      </w:pPr>
      <w:r w:rsidRPr="007C68BE">
        <w:rPr>
          <w:rFonts w:ascii="NewBaskerville" w:hAnsi="NewBaskerville"/>
          <w:bCs/>
        </w:rPr>
        <w:t xml:space="preserve">Los activos por impuesto diferido </w:t>
      </w:r>
      <w:proofErr w:type="gramStart"/>
      <w:r w:rsidRPr="007C68BE">
        <w:rPr>
          <w:rFonts w:ascii="NewBaskerville" w:hAnsi="NewBaskerville"/>
          <w:bCs/>
        </w:rPr>
        <w:t>indicados</w:t>
      </w:r>
      <w:proofErr w:type="gramEnd"/>
      <w:r w:rsidRPr="007C68BE">
        <w:rPr>
          <w:rFonts w:ascii="NewBaskerville" w:hAnsi="NewBaskerville"/>
          <w:bCs/>
        </w:rPr>
        <w:t xml:space="preserve"> anteriormente han sido registrados en el balance de situación por</w:t>
      </w:r>
      <w:r w:rsidR="005A503C" w:rsidRPr="007C68BE">
        <w:rPr>
          <w:rFonts w:ascii="NewBaskerville" w:hAnsi="NewBaskerville"/>
          <w:bCs/>
        </w:rPr>
        <w:t xml:space="preserve"> considerar la AP</w:t>
      </w:r>
      <w:r w:rsidR="00A861CC">
        <w:rPr>
          <w:rFonts w:ascii="NewBaskerville" w:hAnsi="NewBaskerville"/>
          <w:bCs/>
        </w:rPr>
        <w:t>B</w:t>
      </w:r>
      <w:r w:rsidR="005A503C" w:rsidRPr="007C68BE">
        <w:rPr>
          <w:rFonts w:ascii="NewBaskerville" w:hAnsi="NewBaskerville"/>
          <w:bCs/>
        </w:rPr>
        <w:t xml:space="preserve"> que, conforme a la mejor estimación sobre los resultados futuros de la </w:t>
      </w:r>
      <w:r w:rsidR="00A861CC">
        <w:rPr>
          <w:rFonts w:ascii="NewBaskerville" w:hAnsi="NewBaskerville"/>
          <w:bCs/>
        </w:rPr>
        <w:t>misma</w:t>
      </w:r>
      <w:r w:rsidR="005A503C" w:rsidRPr="007C68BE">
        <w:rPr>
          <w:rFonts w:ascii="NewBaskerville" w:hAnsi="NewBaskerville"/>
          <w:bCs/>
        </w:rPr>
        <w:t xml:space="preserve">, incluyendo determinadas actuaciones de planificación fiscal, es probable que </w:t>
      </w:r>
      <w:r w:rsidR="003F24D6" w:rsidRPr="007C68BE">
        <w:rPr>
          <w:rFonts w:ascii="NewBaskerville" w:hAnsi="NewBaskerville"/>
          <w:bCs/>
        </w:rPr>
        <w:t>dichos</w:t>
      </w:r>
      <w:r w:rsidR="005A503C" w:rsidRPr="007C68BE">
        <w:rPr>
          <w:rFonts w:ascii="NewBaskerville" w:hAnsi="NewBaskerville"/>
          <w:bCs/>
        </w:rPr>
        <w:t xml:space="preserve"> activos sean recuperados.</w:t>
      </w:r>
    </w:p>
    <w:p w:rsidR="0010198F" w:rsidRDefault="0010198F">
      <w:pPr>
        <w:tabs>
          <w:tab w:val="right" w:pos="8364"/>
        </w:tabs>
        <w:ind w:firstLine="540"/>
        <w:jc w:val="both"/>
        <w:rPr>
          <w:bCs/>
          <w:u w:val="single"/>
        </w:rPr>
      </w:pPr>
    </w:p>
    <w:p w:rsidR="005A503C" w:rsidRPr="007C68BE" w:rsidRDefault="005A503C">
      <w:pPr>
        <w:tabs>
          <w:tab w:val="right" w:pos="8364"/>
        </w:tabs>
        <w:ind w:firstLine="540"/>
        <w:jc w:val="both"/>
        <w:rPr>
          <w:rFonts w:ascii="NewBaskerville" w:hAnsi="NewBaskerville"/>
          <w:bCs/>
        </w:rPr>
      </w:pPr>
      <w:r w:rsidRPr="007C68BE">
        <w:rPr>
          <w:rFonts w:ascii="NewBaskerville" w:hAnsi="NewBaskerville"/>
          <w:bCs/>
          <w:u w:val="single"/>
        </w:rPr>
        <w:t>Activos por impuesto diferido no registrados.</w:t>
      </w:r>
    </w:p>
    <w:p w:rsidR="005A503C" w:rsidRPr="007C68BE" w:rsidRDefault="005A503C">
      <w:pPr>
        <w:tabs>
          <w:tab w:val="right" w:pos="8364"/>
        </w:tabs>
        <w:ind w:firstLine="540"/>
        <w:jc w:val="both"/>
        <w:rPr>
          <w:rFonts w:ascii="NewBaskerville" w:hAnsi="NewBaskerville"/>
          <w:bCs/>
        </w:rPr>
      </w:pPr>
    </w:p>
    <w:p w:rsidR="005A503C" w:rsidRDefault="005A503C">
      <w:pPr>
        <w:tabs>
          <w:tab w:val="right" w:pos="8364"/>
        </w:tabs>
        <w:ind w:firstLine="540"/>
        <w:jc w:val="both"/>
        <w:rPr>
          <w:rFonts w:ascii="NewBaskerville" w:hAnsi="NewBaskerville"/>
          <w:bCs/>
        </w:rPr>
      </w:pPr>
      <w:r w:rsidRPr="007C68BE">
        <w:rPr>
          <w:rFonts w:ascii="NewBaskerville" w:hAnsi="NewBaskerville"/>
          <w:bCs/>
        </w:rPr>
        <w:t>La Autoridad Portuaria no ha registrado en el balance de situación determinados activos por impuesto diferido. Al considerar que su compensación futura no cumple, o cumplía, con los requisitos de probabilidad previstos en la norma contable.</w:t>
      </w:r>
    </w:p>
    <w:p w:rsidR="007C68BE" w:rsidRPr="007C68BE" w:rsidRDefault="007C68BE">
      <w:pPr>
        <w:tabs>
          <w:tab w:val="right" w:pos="8364"/>
        </w:tabs>
        <w:ind w:firstLine="540"/>
        <w:jc w:val="both"/>
        <w:rPr>
          <w:rFonts w:ascii="NewBaskerville" w:hAnsi="NewBaskerville"/>
          <w:bCs/>
        </w:rPr>
      </w:pPr>
    </w:p>
    <w:p w:rsidR="005A503C" w:rsidRPr="007C68BE" w:rsidRDefault="005A503C">
      <w:pPr>
        <w:tabs>
          <w:tab w:val="right" w:pos="8364"/>
        </w:tabs>
        <w:ind w:firstLine="540"/>
        <w:jc w:val="both"/>
        <w:rPr>
          <w:rFonts w:ascii="NewBaskerville" w:hAnsi="NewBaskerville"/>
          <w:bCs/>
        </w:rPr>
      </w:pPr>
      <w:r w:rsidRPr="007C68BE">
        <w:rPr>
          <w:rFonts w:ascii="NewBaskerville" w:hAnsi="NewBaskerville"/>
          <w:bCs/>
        </w:rPr>
        <w:t>El detalle de dichos activos no registrados es el siguiente:</w:t>
      </w:r>
    </w:p>
    <w:p w:rsidR="005A503C" w:rsidRDefault="005A503C">
      <w:pPr>
        <w:tabs>
          <w:tab w:val="right" w:pos="8364"/>
        </w:tabs>
        <w:ind w:firstLine="540"/>
        <w:jc w:val="both"/>
        <w:rPr>
          <w:bCs/>
        </w:rPr>
      </w:pPr>
    </w:p>
    <w:p w:rsidR="007B24DE" w:rsidRDefault="007B24DE">
      <w:pPr>
        <w:tabs>
          <w:tab w:val="right" w:pos="8364"/>
        </w:tabs>
        <w:ind w:firstLine="540"/>
        <w:jc w:val="both"/>
        <w:rPr>
          <w:rFonts w:ascii="NewBaskerville" w:hAnsi="NewBaskerville"/>
          <w:bCs/>
        </w:rPr>
      </w:pPr>
    </w:p>
    <w:p w:rsidR="007B24DE" w:rsidRDefault="007B24DE">
      <w:pPr>
        <w:tabs>
          <w:tab w:val="right" w:pos="8364"/>
        </w:tabs>
        <w:ind w:firstLine="540"/>
        <w:jc w:val="both"/>
        <w:rPr>
          <w:rFonts w:ascii="NewBaskerville" w:hAnsi="NewBaskerville"/>
          <w:bCs/>
        </w:rPr>
      </w:pPr>
    </w:p>
    <w:p w:rsidR="005A503C" w:rsidRDefault="005A503C">
      <w:pPr>
        <w:tabs>
          <w:tab w:val="right" w:pos="8364"/>
        </w:tabs>
        <w:ind w:firstLine="540"/>
        <w:jc w:val="both"/>
        <w:rPr>
          <w:bCs/>
        </w:rPr>
      </w:pPr>
      <w:r w:rsidRPr="00185A81">
        <w:rPr>
          <w:rFonts w:ascii="NewBaskerville" w:hAnsi="NewBaskerville"/>
          <w:bCs/>
        </w:rPr>
        <w:t>Ejercicio 202</w:t>
      </w:r>
      <w:r w:rsidR="007131C1">
        <w:rPr>
          <w:rFonts w:ascii="NewBaskerville" w:hAnsi="NewBaskerville"/>
          <w:bCs/>
        </w:rPr>
        <w:t>3</w:t>
      </w:r>
      <w:r>
        <w:rPr>
          <w:bCs/>
        </w:rPr>
        <w:t>.</w:t>
      </w:r>
    </w:p>
    <w:p w:rsidR="005F35CD" w:rsidRDefault="005F35CD">
      <w:pPr>
        <w:tabs>
          <w:tab w:val="right" w:pos="8364"/>
        </w:tabs>
        <w:ind w:firstLine="540"/>
        <w:jc w:val="both"/>
        <w:rPr>
          <w:bCs/>
        </w:rPr>
      </w:pPr>
    </w:p>
    <w:p w:rsidR="00C82D5D" w:rsidRDefault="00C82D5D">
      <w:pPr>
        <w:tabs>
          <w:tab w:val="right" w:pos="8364"/>
        </w:tabs>
        <w:ind w:firstLine="540"/>
        <w:jc w:val="both"/>
        <w:rPr>
          <w:bCs/>
        </w:rPr>
      </w:pPr>
    </w:p>
    <w:tbl>
      <w:tblPr>
        <w:tblW w:w="0" w:type="auto"/>
        <w:tblInd w:w="55" w:type="dxa"/>
        <w:tblCellMar>
          <w:left w:w="70" w:type="dxa"/>
          <w:right w:w="70" w:type="dxa"/>
        </w:tblCellMar>
        <w:tblLook w:val="04A0" w:firstRow="1" w:lastRow="0" w:firstColumn="1" w:lastColumn="0" w:noHBand="0" w:noVBand="1"/>
      </w:tblPr>
      <w:tblGrid>
        <w:gridCol w:w="1636"/>
        <w:gridCol w:w="1635"/>
        <w:gridCol w:w="434"/>
        <w:gridCol w:w="2066"/>
        <w:gridCol w:w="1926"/>
      </w:tblGrid>
      <w:tr w:rsidR="007131C1" w:rsidRPr="007131C1" w:rsidTr="007131C1">
        <w:trPr>
          <w:trHeight w:val="240"/>
        </w:trPr>
        <w:tc>
          <w:tcPr>
            <w:tcW w:w="0" w:type="auto"/>
            <w:gridSpan w:val="5"/>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b/>
                <w:bCs/>
                <w:color w:val="000000"/>
                <w:sz w:val="16"/>
                <w:szCs w:val="16"/>
                <w:lang w:val="es-ES"/>
              </w:rPr>
            </w:pPr>
            <w:r w:rsidRPr="007131C1">
              <w:rPr>
                <w:rFonts w:ascii="Lucida Bright" w:hAnsi="Lucida Bright" w:cs="Calibri"/>
                <w:b/>
                <w:bCs/>
                <w:color w:val="000000"/>
                <w:sz w:val="16"/>
                <w:szCs w:val="16"/>
                <w:lang w:val="es-ES"/>
              </w:rPr>
              <w:t>Ejercicio 2023. Activos por impuesto diferido no registrados</w:t>
            </w:r>
          </w:p>
        </w:tc>
      </w:tr>
      <w:tr w:rsidR="007131C1" w:rsidRPr="007131C1" w:rsidTr="007131C1">
        <w:trPr>
          <w:trHeight w:val="240"/>
        </w:trPr>
        <w:tc>
          <w:tcPr>
            <w:tcW w:w="0" w:type="auto"/>
            <w:tcBorders>
              <w:top w:val="single" w:sz="8" w:space="0" w:color="auto"/>
              <w:left w:val="single" w:sz="8" w:space="0" w:color="auto"/>
              <w:bottom w:val="nil"/>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single" w:sz="8" w:space="0" w:color="auto"/>
              <w:left w:val="nil"/>
              <w:bottom w:val="nil"/>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single" w:sz="8" w:space="0" w:color="auto"/>
              <w:left w:val="nil"/>
              <w:bottom w:val="nil"/>
              <w:right w:val="single" w:sz="8" w:space="0" w:color="auto"/>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single" w:sz="8" w:space="0" w:color="auto"/>
              <w:left w:val="nil"/>
              <w:bottom w:val="single" w:sz="8" w:space="0" w:color="auto"/>
              <w:right w:val="nil"/>
            </w:tcBorders>
            <w:shd w:val="clear" w:color="000000" w:fill="CCFFCC"/>
            <w:noWrap/>
            <w:vAlign w:val="center"/>
            <w:hideMark/>
          </w:tcPr>
          <w:p w:rsidR="007131C1" w:rsidRPr="007131C1" w:rsidRDefault="007131C1" w:rsidP="007131C1">
            <w:pPr>
              <w:jc w:val="cente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Euros</w:t>
            </w:r>
          </w:p>
        </w:tc>
        <w:tc>
          <w:tcPr>
            <w:tcW w:w="0" w:type="auto"/>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7131C1" w:rsidRPr="007131C1" w:rsidRDefault="007131C1" w:rsidP="007131C1">
            <w:pPr>
              <w:jc w:val="cente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Vencimiento</w:t>
            </w:r>
          </w:p>
        </w:tc>
      </w:tr>
      <w:tr w:rsidR="007131C1" w:rsidRPr="007131C1" w:rsidTr="007131C1">
        <w:trPr>
          <w:trHeight w:val="225"/>
        </w:trPr>
        <w:tc>
          <w:tcPr>
            <w:tcW w:w="0" w:type="auto"/>
            <w:gridSpan w:val="2"/>
            <w:tcBorders>
              <w:top w:val="single" w:sz="8" w:space="0" w:color="auto"/>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Diferencias temporarias deducibles:</w:t>
            </w:r>
          </w:p>
        </w:tc>
        <w:tc>
          <w:tcPr>
            <w:tcW w:w="0" w:type="auto"/>
            <w:tcBorders>
              <w:top w:val="single" w:sz="8" w:space="0" w:color="auto"/>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0" w:type="auto"/>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i/>
                <w:iCs/>
                <w:color w:val="000000"/>
                <w:sz w:val="14"/>
                <w:szCs w:val="14"/>
                <w:lang w:val="es-ES"/>
              </w:rPr>
            </w:pPr>
            <w:r w:rsidRPr="007131C1">
              <w:rPr>
                <w:rFonts w:ascii="Lucida Bright" w:hAnsi="Lucida Bright" w:cs="Calibri"/>
                <w:i/>
                <w:iCs/>
                <w:color w:val="000000"/>
                <w:sz w:val="14"/>
                <w:szCs w:val="14"/>
                <w:lang w:val="es-ES"/>
              </w:rPr>
              <w:t> </w:t>
            </w:r>
          </w:p>
        </w:tc>
        <w:tc>
          <w:tcPr>
            <w:tcW w:w="0" w:type="auto"/>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0" w:type="auto"/>
            <w:gridSpan w:val="2"/>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Bases Imponibles negativas</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0" w:type="auto"/>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0" w:type="auto"/>
            <w:gridSpan w:val="2"/>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Deducciones pendientes y otros</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7.272.114,96</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225"/>
        </w:trPr>
        <w:tc>
          <w:tcPr>
            <w:tcW w:w="0" w:type="auto"/>
            <w:gridSpan w:val="2"/>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Deducciones pendientes y otros</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4.870.243,10</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225"/>
        </w:trPr>
        <w:tc>
          <w:tcPr>
            <w:tcW w:w="0" w:type="auto"/>
            <w:gridSpan w:val="2"/>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Deducciones pendientes y otros</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4.523.896,61</w:t>
            </w:r>
          </w:p>
        </w:tc>
        <w:tc>
          <w:tcPr>
            <w:tcW w:w="0" w:type="auto"/>
            <w:tcBorders>
              <w:top w:val="nil"/>
              <w:left w:val="nil"/>
              <w:bottom w:val="nil"/>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225"/>
        </w:trPr>
        <w:tc>
          <w:tcPr>
            <w:tcW w:w="0" w:type="auto"/>
            <w:gridSpan w:val="2"/>
            <w:tcBorders>
              <w:top w:val="nil"/>
              <w:left w:val="single" w:sz="8" w:space="0" w:color="auto"/>
              <w:bottom w:val="single" w:sz="8" w:space="0" w:color="auto"/>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Deducciones pendientes y otros</w:t>
            </w:r>
          </w:p>
        </w:tc>
        <w:tc>
          <w:tcPr>
            <w:tcW w:w="0" w:type="auto"/>
            <w:tcBorders>
              <w:top w:val="nil"/>
              <w:left w:val="nil"/>
              <w:bottom w:val="single" w:sz="8" w:space="0" w:color="auto"/>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15.697.248,40</w:t>
            </w:r>
          </w:p>
        </w:tc>
        <w:tc>
          <w:tcPr>
            <w:tcW w:w="0" w:type="auto"/>
            <w:tcBorders>
              <w:top w:val="nil"/>
              <w:left w:val="nil"/>
              <w:bottom w:val="single" w:sz="8" w:space="0" w:color="auto"/>
              <w:right w:val="single" w:sz="8" w:space="0" w:color="auto"/>
            </w:tcBorders>
            <w:shd w:val="clear" w:color="auto" w:fill="auto"/>
            <w:noWrap/>
            <w:vAlign w:val="bottom"/>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225"/>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131C1" w:rsidRPr="007131C1" w:rsidRDefault="007131C1" w:rsidP="007131C1">
            <w:pPr>
              <w:jc w:val="cente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Total activos por impuesto diferido no registrados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32.363.503,07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3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7131C1" w:rsidRPr="007131C1" w:rsidRDefault="007131C1" w:rsidP="007131C1">
            <w:pPr>
              <w:rPr>
                <w:rFonts w:ascii="Lucida Bright" w:hAnsi="Lucida Bright" w:cs="Calibri"/>
                <w:b/>
                <w:bCs/>
                <w:color w:val="000000"/>
                <w:sz w:val="14"/>
                <w:szCs w:val="14"/>
                <w:lang w:val="es-ES"/>
              </w:rPr>
            </w:pPr>
          </w:p>
        </w:tc>
        <w:tc>
          <w:tcPr>
            <w:tcW w:w="0" w:type="auto"/>
            <w:vMerge/>
            <w:tcBorders>
              <w:top w:val="nil"/>
              <w:left w:val="single" w:sz="8" w:space="0" w:color="auto"/>
              <w:bottom w:val="single" w:sz="8" w:space="0" w:color="000000"/>
              <w:right w:val="single" w:sz="8" w:space="0" w:color="auto"/>
            </w:tcBorders>
            <w:vAlign w:val="center"/>
            <w:hideMark/>
          </w:tcPr>
          <w:p w:rsidR="007131C1" w:rsidRPr="007131C1" w:rsidRDefault="007131C1" w:rsidP="007131C1">
            <w:pPr>
              <w:rPr>
                <w:rFonts w:ascii="Lucida Bright" w:hAnsi="Lucida Bright" w:cs="Calibri"/>
                <w:color w:val="000000"/>
                <w:sz w:val="14"/>
                <w:szCs w:val="14"/>
                <w:lang w:val="es-ES"/>
              </w:rPr>
            </w:pPr>
          </w:p>
        </w:tc>
        <w:tc>
          <w:tcPr>
            <w:tcW w:w="0" w:type="auto"/>
            <w:vMerge/>
            <w:tcBorders>
              <w:top w:val="nil"/>
              <w:left w:val="single" w:sz="8" w:space="0" w:color="auto"/>
              <w:bottom w:val="single" w:sz="8" w:space="0" w:color="000000"/>
              <w:right w:val="single" w:sz="8" w:space="0" w:color="auto"/>
            </w:tcBorders>
            <w:vAlign w:val="center"/>
            <w:hideMark/>
          </w:tcPr>
          <w:p w:rsidR="007131C1" w:rsidRPr="007131C1" w:rsidRDefault="007131C1" w:rsidP="007131C1">
            <w:pPr>
              <w:rPr>
                <w:rFonts w:ascii="Lucida Bright" w:hAnsi="Lucida Bright" w:cs="Calibri"/>
                <w:color w:val="000000"/>
                <w:sz w:val="14"/>
                <w:szCs w:val="14"/>
                <w:lang w:val="es-ES"/>
              </w:rPr>
            </w:pPr>
          </w:p>
        </w:tc>
      </w:tr>
    </w:tbl>
    <w:p w:rsidR="00C82D5D" w:rsidRDefault="00C82D5D">
      <w:pPr>
        <w:tabs>
          <w:tab w:val="right" w:pos="8364"/>
        </w:tabs>
        <w:ind w:firstLine="540"/>
        <w:jc w:val="both"/>
        <w:rPr>
          <w:bCs/>
        </w:rPr>
      </w:pPr>
    </w:p>
    <w:p w:rsidR="007B24DE" w:rsidRDefault="007B24DE">
      <w:pPr>
        <w:tabs>
          <w:tab w:val="right" w:pos="8364"/>
        </w:tabs>
        <w:ind w:firstLine="540"/>
        <w:jc w:val="both"/>
        <w:rPr>
          <w:rFonts w:ascii="NewBaskerville" w:hAnsi="NewBaskerville"/>
          <w:bCs/>
        </w:rPr>
      </w:pPr>
    </w:p>
    <w:p w:rsidR="007B24DE" w:rsidRDefault="007B24DE">
      <w:pPr>
        <w:tabs>
          <w:tab w:val="right" w:pos="8364"/>
        </w:tabs>
        <w:ind w:firstLine="540"/>
        <w:jc w:val="both"/>
        <w:rPr>
          <w:rFonts w:ascii="NewBaskerville" w:hAnsi="NewBaskerville"/>
          <w:bCs/>
        </w:rPr>
      </w:pPr>
    </w:p>
    <w:p w:rsidR="007B24DE" w:rsidRDefault="007B24DE">
      <w:pPr>
        <w:tabs>
          <w:tab w:val="right" w:pos="8364"/>
        </w:tabs>
        <w:ind w:firstLine="540"/>
        <w:jc w:val="both"/>
        <w:rPr>
          <w:rFonts w:ascii="NewBaskerville" w:hAnsi="NewBaskerville"/>
          <w:bCs/>
        </w:rPr>
      </w:pPr>
    </w:p>
    <w:p w:rsidR="00185A81" w:rsidRDefault="005A503C">
      <w:pPr>
        <w:tabs>
          <w:tab w:val="right" w:pos="8364"/>
        </w:tabs>
        <w:ind w:firstLine="540"/>
        <w:jc w:val="both"/>
        <w:rPr>
          <w:rFonts w:ascii="NewBaskerville" w:hAnsi="NewBaskerville"/>
          <w:bCs/>
        </w:rPr>
      </w:pPr>
      <w:r w:rsidRPr="00185A81">
        <w:rPr>
          <w:rFonts w:ascii="NewBaskerville" w:hAnsi="NewBaskerville"/>
          <w:bCs/>
        </w:rPr>
        <w:lastRenderedPageBreak/>
        <w:t>Ejercicio 20</w:t>
      </w:r>
      <w:r w:rsidR="007131C1">
        <w:rPr>
          <w:rFonts w:ascii="NewBaskerville" w:hAnsi="NewBaskerville"/>
          <w:bCs/>
        </w:rPr>
        <w:t>22</w:t>
      </w:r>
    </w:p>
    <w:p w:rsidR="005F35CD" w:rsidRDefault="005F35CD">
      <w:pPr>
        <w:tabs>
          <w:tab w:val="right" w:pos="8364"/>
        </w:tabs>
        <w:ind w:firstLine="540"/>
        <w:jc w:val="both"/>
        <w:rPr>
          <w:bCs/>
        </w:rPr>
      </w:pPr>
    </w:p>
    <w:tbl>
      <w:tblPr>
        <w:tblW w:w="0" w:type="auto"/>
        <w:tblInd w:w="55" w:type="dxa"/>
        <w:tblCellMar>
          <w:left w:w="70" w:type="dxa"/>
          <w:right w:w="70" w:type="dxa"/>
        </w:tblCellMar>
        <w:tblLook w:val="04A0" w:firstRow="1" w:lastRow="0" w:firstColumn="1" w:lastColumn="0" w:noHBand="0" w:noVBand="1"/>
      </w:tblPr>
      <w:tblGrid>
        <w:gridCol w:w="1636"/>
        <w:gridCol w:w="1635"/>
        <w:gridCol w:w="434"/>
        <w:gridCol w:w="2066"/>
        <w:gridCol w:w="1926"/>
      </w:tblGrid>
      <w:tr w:rsidR="007B24DE" w:rsidRPr="007B24DE" w:rsidTr="007B24DE">
        <w:trPr>
          <w:trHeight w:val="240"/>
        </w:trPr>
        <w:tc>
          <w:tcPr>
            <w:tcW w:w="0" w:type="auto"/>
            <w:gridSpan w:val="5"/>
            <w:tcBorders>
              <w:top w:val="nil"/>
              <w:left w:val="nil"/>
              <w:bottom w:val="nil"/>
              <w:right w:val="nil"/>
            </w:tcBorders>
            <w:shd w:val="clear" w:color="auto" w:fill="auto"/>
            <w:noWrap/>
            <w:vAlign w:val="bottom"/>
            <w:hideMark/>
          </w:tcPr>
          <w:p w:rsidR="007B24DE" w:rsidRPr="007B24DE" w:rsidRDefault="007B24DE" w:rsidP="007B24DE">
            <w:pPr>
              <w:rPr>
                <w:rFonts w:ascii="Lucida Bright" w:hAnsi="Lucida Bright" w:cs="Calibri"/>
                <w:b/>
                <w:bCs/>
                <w:color w:val="000000"/>
                <w:sz w:val="16"/>
                <w:szCs w:val="16"/>
                <w:lang w:val="es-ES"/>
              </w:rPr>
            </w:pPr>
            <w:r w:rsidRPr="007B24DE">
              <w:rPr>
                <w:rFonts w:ascii="Lucida Bright" w:hAnsi="Lucida Bright" w:cs="Calibri"/>
                <w:b/>
                <w:bCs/>
                <w:color w:val="000000"/>
                <w:sz w:val="16"/>
                <w:szCs w:val="16"/>
                <w:lang w:val="es-ES"/>
              </w:rPr>
              <w:t>Ejercicio 2022. Activos por impuesto diferido no registrados</w:t>
            </w:r>
          </w:p>
        </w:tc>
      </w:tr>
      <w:tr w:rsidR="007B24DE" w:rsidRPr="007B24DE" w:rsidTr="007B24DE">
        <w:trPr>
          <w:trHeight w:val="240"/>
        </w:trPr>
        <w:tc>
          <w:tcPr>
            <w:tcW w:w="0" w:type="auto"/>
            <w:tcBorders>
              <w:top w:val="single" w:sz="8" w:space="0" w:color="auto"/>
              <w:left w:val="single" w:sz="8" w:space="0" w:color="auto"/>
              <w:bottom w:val="nil"/>
              <w:right w:val="nil"/>
            </w:tcBorders>
            <w:shd w:val="clear" w:color="000000" w:fill="CCFFCC"/>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single" w:sz="8" w:space="0" w:color="auto"/>
              <w:left w:val="nil"/>
              <w:bottom w:val="nil"/>
              <w:right w:val="nil"/>
            </w:tcBorders>
            <w:shd w:val="clear" w:color="000000" w:fill="CCFFCC"/>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single" w:sz="8" w:space="0" w:color="auto"/>
              <w:left w:val="nil"/>
              <w:bottom w:val="nil"/>
              <w:right w:val="single" w:sz="8" w:space="0" w:color="auto"/>
            </w:tcBorders>
            <w:shd w:val="clear" w:color="000000" w:fill="CCFFCC"/>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single" w:sz="8" w:space="0" w:color="auto"/>
              <w:left w:val="nil"/>
              <w:bottom w:val="single" w:sz="8" w:space="0" w:color="auto"/>
              <w:right w:val="nil"/>
            </w:tcBorders>
            <w:shd w:val="clear" w:color="000000" w:fill="CCFFCC"/>
            <w:noWrap/>
            <w:vAlign w:val="center"/>
            <w:hideMark/>
          </w:tcPr>
          <w:p w:rsidR="007B24DE" w:rsidRPr="007B24DE" w:rsidRDefault="007B24DE" w:rsidP="007B24DE">
            <w:pPr>
              <w:jc w:val="center"/>
              <w:rPr>
                <w:rFonts w:ascii="Lucida Bright" w:hAnsi="Lucida Bright" w:cs="Calibri"/>
                <w:b/>
                <w:bCs/>
                <w:color w:val="000000"/>
                <w:sz w:val="14"/>
                <w:szCs w:val="14"/>
                <w:lang w:val="es-ES"/>
              </w:rPr>
            </w:pPr>
            <w:r w:rsidRPr="007B24DE">
              <w:rPr>
                <w:rFonts w:ascii="Lucida Bright" w:hAnsi="Lucida Bright" w:cs="Calibri"/>
                <w:b/>
                <w:bCs/>
                <w:color w:val="000000"/>
                <w:sz w:val="14"/>
                <w:szCs w:val="14"/>
                <w:lang w:val="es-ES"/>
              </w:rPr>
              <w:t>Euros</w:t>
            </w:r>
          </w:p>
        </w:tc>
        <w:tc>
          <w:tcPr>
            <w:tcW w:w="0" w:type="auto"/>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7B24DE" w:rsidRPr="007B24DE" w:rsidRDefault="007B24DE" w:rsidP="007B24DE">
            <w:pPr>
              <w:jc w:val="center"/>
              <w:rPr>
                <w:rFonts w:ascii="Lucida Bright" w:hAnsi="Lucida Bright" w:cs="Calibri"/>
                <w:b/>
                <w:bCs/>
                <w:color w:val="000000"/>
                <w:sz w:val="14"/>
                <w:szCs w:val="14"/>
                <w:lang w:val="es-ES"/>
              </w:rPr>
            </w:pPr>
            <w:r w:rsidRPr="007B24DE">
              <w:rPr>
                <w:rFonts w:ascii="Lucida Bright" w:hAnsi="Lucida Bright" w:cs="Calibri"/>
                <w:b/>
                <w:bCs/>
                <w:color w:val="000000"/>
                <w:sz w:val="14"/>
                <w:szCs w:val="14"/>
                <w:lang w:val="es-ES"/>
              </w:rPr>
              <w:t>Vencimiento</w:t>
            </w:r>
          </w:p>
        </w:tc>
      </w:tr>
      <w:tr w:rsidR="007B24DE" w:rsidRPr="007B24DE" w:rsidTr="007B24DE">
        <w:trPr>
          <w:trHeight w:val="225"/>
        </w:trPr>
        <w:tc>
          <w:tcPr>
            <w:tcW w:w="0" w:type="auto"/>
            <w:gridSpan w:val="2"/>
            <w:tcBorders>
              <w:top w:val="single" w:sz="8" w:space="0" w:color="auto"/>
              <w:left w:val="single" w:sz="8" w:space="0" w:color="auto"/>
              <w:bottom w:val="nil"/>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Diferencias temporarias deducibles:</w:t>
            </w:r>
          </w:p>
        </w:tc>
        <w:tc>
          <w:tcPr>
            <w:tcW w:w="0" w:type="auto"/>
            <w:tcBorders>
              <w:top w:val="single" w:sz="8" w:space="0" w:color="auto"/>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r>
      <w:tr w:rsidR="007B24DE" w:rsidRPr="007B24DE" w:rsidTr="007B24DE">
        <w:trPr>
          <w:trHeight w:val="225"/>
        </w:trPr>
        <w:tc>
          <w:tcPr>
            <w:tcW w:w="0" w:type="auto"/>
            <w:tcBorders>
              <w:top w:val="nil"/>
              <w:left w:val="single" w:sz="8" w:space="0" w:color="auto"/>
              <w:bottom w:val="nil"/>
              <w:right w:val="nil"/>
            </w:tcBorders>
            <w:shd w:val="clear" w:color="auto" w:fill="auto"/>
            <w:noWrap/>
            <w:vAlign w:val="bottom"/>
            <w:hideMark/>
          </w:tcPr>
          <w:p w:rsidR="007B24DE" w:rsidRPr="007B24DE" w:rsidRDefault="007B24DE" w:rsidP="007B24DE">
            <w:pPr>
              <w:rPr>
                <w:rFonts w:ascii="Lucida Bright" w:hAnsi="Lucida Bright" w:cs="Calibri"/>
                <w:i/>
                <w:iCs/>
                <w:color w:val="000000"/>
                <w:sz w:val="14"/>
                <w:szCs w:val="14"/>
                <w:lang w:val="es-ES"/>
              </w:rPr>
            </w:pPr>
            <w:r w:rsidRPr="007B24DE">
              <w:rPr>
                <w:rFonts w:ascii="Lucida Bright" w:hAnsi="Lucida Bright" w:cs="Calibri"/>
                <w:i/>
                <w:iCs/>
                <w:color w:val="000000"/>
                <w:sz w:val="14"/>
                <w:szCs w:val="14"/>
                <w:lang w:val="es-ES"/>
              </w:rPr>
              <w:t> </w:t>
            </w:r>
          </w:p>
        </w:tc>
        <w:tc>
          <w:tcPr>
            <w:tcW w:w="0" w:type="auto"/>
            <w:tcBorders>
              <w:top w:val="nil"/>
              <w:left w:val="nil"/>
              <w:bottom w:val="nil"/>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r>
      <w:tr w:rsidR="007B24DE" w:rsidRPr="007B24DE" w:rsidTr="007B24DE">
        <w:trPr>
          <w:trHeight w:val="225"/>
        </w:trPr>
        <w:tc>
          <w:tcPr>
            <w:tcW w:w="0" w:type="auto"/>
            <w:gridSpan w:val="2"/>
            <w:tcBorders>
              <w:top w:val="nil"/>
              <w:left w:val="single" w:sz="8" w:space="0" w:color="auto"/>
              <w:bottom w:val="nil"/>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Bases Imponibles negativas</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r>
      <w:tr w:rsidR="007B24DE" w:rsidRPr="007B24DE" w:rsidTr="007B24DE">
        <w:trPr>
          <w:trHeight w:val="225"/>
        </w:trPr>
        <w:tc>
          <w:tcPr>
            <w:tcW w:w="0" w:type="auto"/>
            <w:tcBorders>
              <w:top w:val="nil"/>
              <w:left w:val="single" w:sz="8" w:space="0" w:color="auto"/>
              <w:bottom w:val="nil"/>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r>
      <w:tr w:rsidR="007B24DE" w:rsidRPr="007B24DE" w:rsidTr="007B24DE">
        <w:trPr>
          <w:trHeight w:val="225"/>
        </w:trPr>
        <w:tc>
          <w:tcPr>
            <w:tcW w:w="0" w:type="auto"/>
            <w:gridSpan w:val="2"/>
            <w:tcBorders>
              <w:top w:val="nil"/>
              <w:left w:val="single" w:sz="8" w:space="0" w:color="auto"/>
              <w:bottom w:val="nil"/>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Deducciones pendientes y otros</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jc w:val="cente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7.367.913,28</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jc w:val="cente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31/12/2035</w:t>
            </w:r>
          </w:p>
        </w:tc>
      </w:tr>
      <w:tr w:rsidR="007B24DE" w:rsidRPr="007B24DE" w:rsidTr="007B24DE">
        <w:trPr>
          <w:trHeight w:val="225"/>
        </w:trPr>
        <w:tc>
          <w:tcPr>
            <w:tcW w:w="0" w:type="auto"/>
            <w:gridSpan w:val="2"/>
            <w:tcBorders>
              <w:top w:val="nil"/>
              <w:left w:val="single" w:sz="8" w:space="0" w:color="auto"/>
              <w:bottom w:val="nil"/>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Deducciones pendientes y otros</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jc w:val="cente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4.870.243,10</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jc w:val="cente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31/12/2036</w:t>
            </w:r>
          </w:p>
        </w:tc>
      </w:tr>
      <w:tr w:rsidR="007B24DE" w:rsidRPr="007B24DE" w:rsidTr="007B24DE">
        <w:trPr>
          <w:trHeight w:val="225"/>
        </w:trPr>
        <w:tc>
          <w:tcPr>
            <w:tcW w:w="0" w:type="auto"/>
            <w:gridSpan w:val="2"/>
            <w:tcBorders>
              <w:top w:val="nil"/>
              <w:left w:val="single" w:sz="8" w:space="0" w:color="auto"/>
              <w:bottom w:val="nil"/>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Deducciones pendientes y otros</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jc w:val="cente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4.523.896,61</w:t>
            </w:r>
          </w:p>
        </w:tc>
        <w:tc>
          <w:tcPr>
            <w:tcW w:w="0" w:type="auto"/>
            <w:tcBorders>
              <w:top w:val="nil"/>
              <w:left w:val="nil"/>
              <w:bottom w:val="nil"/>
              <w:right w:val="single" w:sz="8" w:space="0" w:color="auto"/>
            </w:tcBorders>
            <w:shd w:val="clear" w:color="auto" w:fill="auto"/>
            <w:noWrap/>
            <w:vAlign w:val="bottom"/>
            <w:hideMark/>
          </w:tcPr>
          <w:p w:rsidR="007B24DE" w:rsidRPr="007B24DE" w:rsidRDefault="007B24DE" w:rsidP="007B24DE">
            <w:pPr>
              <w:jc w:val="cente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31/12/2037</w:t>
            </w:r>
          </w:p>
        </w:tc>
      </w:tr>
      <w:tr w:rsidR="007B24DE" w:rsidRPr="007B24DE" w:rsidTr="007B24DE">
        <w:trPr>
          <w:trHeight w:val="240"/>
        </w:trPr>
        <w:tc>
          <w:tcPr>
            <w:tcW w:w="0" w:type="auto"/>
            <w:tcBorders>
              <w:top w:val="nil"/>
              <w:left w:val="single" w:sz="8" w:space="0" w:color="auto"/>
              <w:bottom w:val="single" w:sz="8" w:space="0" w:color="auto"/>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single" w:sz="8" w:space="0" w:color="auto"/>
              <w:right w:val="nil"/>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auto" w:fill="auto"/>
            <w:noWrap/>
            <w:vAlign w:val="bottom"/>
            <w:hideMark/>
          </w:tcPr>
          <w:p w:rsidR="007B24DE" w:rsidRPr="007B24DE" w:rsidRDefault="007B24DE" w:rsidP="007B24DE">
            <w:pP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r>
      <w:tr w:rsidR="007B24DE" w:rsidRPr="007B24DE" w:rsidTr="007B24DE">
        <w:trPr>
          <w:trHeight w:val="225"/>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24DE" w:rsidRPr="007B24DE" w:rsidRDefault="007B24DE" w:rsidP="007B24DE">
            <w:pPr>
              <w:jc w:val="center"/>
              <w:rPr>
                <w:rFonts w:ascii="Lucida Bright" w:hAnsi="Lucida Bright" w:cs="Calibri"/>
                <w:b/>
                <w:bCs/>
                <w:color w:val="000000"/>
                <w:sz w:val="14"/>
                <w:szCs w:val="14"/>
                <w:lang w:val="es-ES"/>
              </w:rPr>
            </w:pPr>
            <w:r w:rsidRPr="007B24DE">
              <w:rPr>
                <w:rFonts w:ascii="Lucida Bright" w:hAnsi="Lucida Bright" w:cs="Calibri"/>
                <w:b/>
                <w:bCs/>
                <w:color w:val="000000"/>
                <w:sz w:val="14"/>
                <w:szCs w:val="14"/>
                <w:lang w:val="es-ES"/>
              </w:rPr>
              <w:t>Total activos por impuesto diferido no registrados</w:t>
            </w:r>
          </w:p>
        </w:tc>
        <w:tc>
          <w:tcPr>
            <w:tcW w:w="0" w:type="auto"/>
            <w:vMerge w:val="restart"/>
            <w:tcBorders>
              <w:top w:val="nil"/>
              <w:left w:val="single" w:sz="8" w:space="0" w:color="auto"/>
              <w:bottom w:val="single" w:sz="8" w:space="0" w:color="000000"/>
              <w:right w:val="nil"/>
            </w:tcBorders>
            <w:shd w:val="clear" w:color="auto" w:fill="auto"/>
            <w:vAlign w:val="center"/>
            <w:hideMark/>
          </w:tcPr>
          <w:p w:rsidR="007B24DE" w:rsidRPr="007B24DE" w:rsidRDefault="007B24DE" w:rsidP="007B24DE">
            <w:pPr>
              <w:jc w:val="cente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16.762.052,99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B24DE" w:rsidRPr="007B24DE" w:rsidRDefault="007B24DE" w:rsidP="007B24DE">
            <w:pPr>
              <w:jc w:val="center"/>
              <w:rPr>
                <w:rFonts w:ascii="Lucida Bright" w:hAnsi="Lucida Bright" w:cs="Calibri"/>
                <w:color w:val="000000"/>
                <w:sz w:val="14"/>
                <w:szCs w:val="14"/>
                <w:lang w:val="es-ES"/>
              </w:rPr>
            </w:pPr>
            <w:r w:rsidRPr="007B24DE">
              <w:rPr>
                <w:rFonts w:ascii="Lucida Bright" w:hAnsi="Lucida Bright" w:cs="Calibri"/>
                <w:color w:val="000000"/>
                <w:sz w:val="14"/>
                <w:szCs w:val="14"/>
                <w:lang w:val="es-ES"/>
              </w:rPr>
              <w:t> </w:t>
            </w:r>
          </w:p>
        </w:tc>
      </w:tr>
      <w:tr w:rsidR="007B24DE" w:rsidRPr="007B24DE" w:rsidTr="007B24DE">
        <w:trPr>
          <w:trHeight w:val="24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7B24DE" w:rsidRPr="007B24DE" w:rsidRDefault="007B24DE" w:rsidP="007B24DE">
            <w:pPr>
              <w:rPr>
                <w:rFonts w:ascii="Lucida Bright" w:hAnsi="Lucida Bright" w:cs="Calibri"/>
                <w:b/>
                <w:bCs/>
                <w:color w:val="000000"/>
                <w:sz w:val="14"/>
                <w:szCs w:val="14"/>
                <w:lang w:val="es-ES"/>
              </w:rPr>
            </w:pPr>
          </w:p>
        </w:tc>
        <w:tc>
          <w:tcPr>
            <w:tcW w:w="0" w:type="auto"/>
            <w:vMerge/>
            <w:tcBorders>
              <w:top w:val="nil"/>
              <w:left w:val="single" w:sz="8" w:space="0" w:color="auto"/>
              <w:bottom w:val="single" w:sz="8" w:space="0" w:color="000000"/>
              <w:right w:val="nil"/>
            </w:tcBorders>
            <w:vAlign w:val="center"/>
            <w:hideMark/>
          </w:tcPr>
          <w:p w:rsidR="007B24DE" w:rsidRPr="007B24DE" w:rsidRDefault="007B24DE" w:rsidP="007B24DE">
            <w:pPr>
              <w:rPr>
                <w:rFonts w:ascii="Lucida Bright" w:hAnsi="Lucida Bright" w:cs="Calibri"/>
                <w:color w:val="000000"/>
                <w:sz w:val="14"/>
                <w:szCs w:val="14"/>
                <w:lang w:val="es-ES"/>
              </w:rPr>
            </w:pPr>
          </w:p>
        </w:tc>
        <w:tc>
          <w:tcPr>
            <w:tcW w:w="0" w:type="auto"/>
            <w:vMerge/>
            <w:tcBorders>
              <w:top w:val="nil"/>
              <w:left w:val="single" w:sz="8" w:space="0" w:color="auto"/>
              <w:bottom w:val="single" w:sz="8" w:space="0" w:color="000000"/>
              <w:right w:val="single" w:sz="8" w:space="0" w:color="auto"/>
            </w:tcBorders>
            <w:vAlign w:val="center"/>
            <w:hideMark/>
          </w:tcPr>
          <w:p w:rsidR="007B24DE" w:rsidRPr="007B24DE" w:rsidRDefault="007B24DE" w:rsidP="007B24DE">
            <w:pPr>
              <w:rPr>
                <w:rFonts w:ascii="Lucida Bright" w:hAnsi="Lucida Bright" w:cs="Calibri"/>
                <w:color w:val="000000"/>
                <w:sz w:val="14"/>
                <w:szCs w:val="14"/>
                <w:lang w:val="es-ES"/>
              </w:rPr>
            </w:pPr>
          </w:p>
        </w:tc>
      </w:tr>
    </w:tbl>
    <w:p w:rsidR="005A503C" w:rsidRDefault="005A503C" w:rsidP="003C1CA3">
      <w:pPr>
        <w:tabs>
          <w:tab w:val="right" w:pos="8364"/>
        </w:tabs>
        <w:jc w:val="both"/>
        <w:rPr>
          <w:bCs/>
        </w:rPr>
      </w:pPr>
    </w:p>
    <w:p w:rsidR="003C1CA3" w:rsidRDefault="003C1CA3">
      <w:pPr>
        <w:tabs>
          <w:tab w:val="right" w:pos="8364"/>
        </w:tabs>
        <w:ind w:firstLine="540"/>
        <w:jc w:val="both"/>
        <w:rPr>
          <w:bCs/>
        </w:rPr>
      </w:pPr>
    </w:p>
    <w:p w:rsidR="003C1CA3" w:rsidRDefault="003C1CA3">
      <w:pPr>
        <w:tabs>
          <w:tab w:val="right" w:pos="8364"/>
        </w:tabs>
        <w:ind w:firstLine="540"/>
        <w:jc w:val="both"/>
        <w:rPr>
          <w:bCs/>
        </w:rPr>
      </w:pPr>
    </w:p>
    <w:p w:rsidR="00E0015A" w:rsidRPr="00185A81" w:rsidRDefault="005A503C" w:rsidP="00E0015A">
      <w:pPr>
        <w:tabs>
          <w:tab w:val="right" w:pos="8364"/>
        </w:tabs>
        <w:ind w:firstLine="540"/>
        <w:jc w:val="both"/>
        <w:rPr>
          <w:rFonts w:ascii="NewBaskerville" w:hAnsi="NewBaskerville"/>
          <w:bCs/>
          <w:noProof/>
          <w:lang w:val="es-ES"/>
        </w:rPr>
      </w:pPr>
      <w:r w:rsidRPr="00185A81">
        <w:rPr>
          <w:rFonts w:ascii="NewBaskerville" w:hAnsi="NewBaskerville"/>
          <w:bCs/>
        </w:rPr>
        <w:t>Al cierre del ejercicio 202</w:t>
      </w:r>
      <w:r w:rsidR="007B24DE">
        <w:rPr>
          <w:rFonts w:ascii="NewBaskerville" w:hAnsi="NewBaskerville"/>
          <w:bCs/>
        </w:rPr>
        <w:t>3</w:t>
      </w:r>
      <w:r w:rsidRPr="00185A81">
        <w:rPr>
          <w:rFonts w:ascii="NewBaskerville" w:hAnsi="NewBaskerville"/>
          <w:bCs/>
        </w:rPr>
        <w:t>, el vencimiento de las deducciones pendientes de tomar no registradas en</w:t>
      </w:r>
      <w:r w:rsidR="00E0015A" w:rsidRPr="00185A81">
        <w:rPr>
          <w:rFonts w:ascii="NewBaskerville" w:hAnsi="NewBaskerville"/>
          <w:bCs/>
        </w:rPr>
        <w:t xml:space="preserve"> </w:t>
      </w:r>
      <w:r w:rsidRPr="00185A81">
        <w:rPr>
          <w:rFonts w:ascii="NewBaskerville" w:hAnsi="NewBaskerville"/>
          <w:bCs/>
        </w:rPr>
        <w:t>el balance de situación era el siguiente:</w:t>
      </w:r>
    </w:p>
    <w:p w:rsidR="003C1CA3" w:rsidRDefault="003C1CA3" w:rsidP="00E0015A">
      <w:pPr>
        <w:tabs>
          <w:tab w:val="right" w:pos="8364"/>
        </w:tabs>
        <w:ind w:firstLine="540"/>
        <w:jc w:val="both"/>
        <w:rPr>
          <w:bCs/>
        </w:rPr>
      </w:pPr>
    </w:p>
    <w:p w:rsidR="003C1CA3" w:rsidRDefault="003C1CA3" w:rsidP="00BD6CD8">
      <w:pPr>
        <w:tabs>
          <w:tab w:val="right" w:pos="8364"/>
        </w:tabs>
        <w:jc w:val="both"/>
        <w:rPr>
          <w:bCs/>
        </w:rPr>
      </w:pPr>
    </w:p>
    <w:p w:rsidR="003C1CA3" w:rsidRDefault="003C1CA3">
      <w:pPr>
        <w:tabs>
          <w:tab w:val="right" w:pos="8364"/>
        </w:tabs>
        <w:ind w:firstLine="540"/>
        <w:jc w:val="both"/>
        <w:rPr>
          <w:bCs/>
          <w:noProof/>
          <w:lang w:val="es-ES"/>
        </w:rPr>
      </w:pPr>
    </w:p>
    <w:tbl>
      <w:tblPr>
        <w:tblW w:w="5042" w:type="pct"/>
        <w:tblCellMar>
          <w:left w:w="70" w:type="dxa"/>
          <w:right w:w="70" w:type="dxa"/>
        </w:tblCellMar>
        <w:tblLook w:val="04A0" w:firstRow="1" w:lastRow="0" w:firstColumn="1" w:lastColumn="0" w:noHBand="0" w:noVBand="1"/>
      </w:tblPr>
      <w:tblGrid>
        <w:gridCol w:w="1397"/>
        <w:gridCol w:w="1301"/>
        <w:gridCol w:w="1293"/>
        <w:gridCol w:w="1287"/>
        <w:gridCol w:w="943"/>
        <w:gridCol w:w="183"/>
        <w:gridCol w:w="1850"/>
        <w:gridCol w:w="1029"/>
      </w:tblGrid>
      <w:tr w:rsidR="007131C1" w:rsidRPr="007131C1" w:rsidTr="007131C1">
        <w:trPr>
          <w:trHeight w:val="240"/>
        </w:trPr>
        <w:tc>
          <w:tcPr>
            <w:tcW w:w="4460" w:type="pct"/>
            <w:gridSpan w:val="7"/>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b/>
                <w:bCs/>
                <w:color w:val="000000"/>
                <w:sz w:val="16"/>
                <w:szCs w:val="16"/>
                <w:lang w:val="es-ES"/>
              </w:rPr>
            </w:pPr>
            <w:r w:rsidRPr="007131C1">
              <w:rPr>
                <w:rFonts w:ascii="Lucida Bright" w:hAnsi="Lucida Bright" w:cs="Calibri"/>
                <w:b/>
                <w:bCs/>
                <w:color w:val="000000"/>
                <w:sz w:val="16"/>
                <w:szCs w:val="16"/>
                <w:lang w:val="es-ES"/>
              </w:rPr>
              <w:t>Detalle de las deducciones pendientes de tomar no registradas en balance de situación</w:t>
            </w:r>
          </w:p>
        </w:tc>
        <w:tc>
          <w:tcPr>
            <w:tcW w:w="54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r>
      <w:tr w:rsidR="007131C1" w:rsidRPr="007131C1" w:rsidTr="007131C1">
        <w:trPr>
          <w:trHeight w:val="240"/>
        </w:trPr>
        <w:tc>
          <w:tcPr>
            <w:tcW w:w="875" w:type="pct"/>
            <w:tcBorders>
              <w:top w:val="single" w:sz="8" w:space="0" w:color="auto"/>
              <w:left w:val="single" w:sz="8" w:space="0" w:color="auto"/>
              <w:bottom w:val="nil"/>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single" w:sz="8" w:space="0" w:color="auto"/>
              <w:left w:val="nil"/>
              <w:bottom w:val="nil"/>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2" w:type="pct"/>
            <w:tcBorders>
              <w:top w:val="single" w:sz="8" w:space="0" w:color="auto"/>
              <w:left w:val="nil"/>
              <w:bottom w:val="nil"/>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19" w:type="pct"/>
            <w:tcBorders>
              <w:top w:val="single" w:sz="8" w:space="0" w:color="auto"/>
              <w:left w:val="nil"/>
              <w:bottom w:val="nil"/>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460" w:type="pct"/>
            <w:tcBorders>
              <w:top w:val="single" w:sz="8" w:space="0" w:color="auto"/>
              <w:left w:val="nil"/>
              <w:bottom w:val="nil"/>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00" w:type="pct"/>
            <w:tcBorders>
              <w:top w:val="single" w:sz="8" w:space="0" w:color="auto"/>
              <w:left w:val="nil"/>
              <w:bottom w:val="nil"/>
              <w:right w:val="single" w:sz="8" w:space="0" w:color="auto"/>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698" w:type="pct"/>
            <w:gridSpan w:val="2"/>
            <w:tcBorders>
              <w:top w:val="single" w:sz="8" w:space="0" w:color="auto"/>
              <w:left w:val="nil"/>
              <w:bottom w:val="single" w:sz="8" w:space="0" w:color="auto"/>
              <w:right w:val="single" w:sz="8" w:space="0" w:color="000000"/>
            </w:tcBorders>
            <w:shd w:val="clear" w:color="000000" w:fill="CCFFCC"/>
            <w:vAlign w:val="bottom"/>
            <w:hideMark/>
          </w:tcPr>
          <w:p w:rsidR="007131C1" w:rsidRPr="007131C1" w:rsidRDefault="007131C1" w:rsidP="007131C1">
            <w:pPr>
              <w:jc w:val="cente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31/12/2023</w:t>
            </w:r>
          </w:p>
        </w:tc>
      </w:tr>
      <w:tr w:rsidR="007131C1" w:rsidRPr="007131C1" w:rsidTr="007131C1">
        <w:trPr>
          <w:trHeight w:val="240"/>
        </w:trPr>
        <w:tc>
          <w:tcPr>
            <w:tcW w:w="875" w:type="pct"/>
            <w:tcBorders>
              <w:top w:val="nil"/>
              <w:left w:val="single" w:sz="8" w:space="0" w:color="auto"/>
              <w:bottom w:val="single" w:sz="8" w:space="0" w:color="auto"/>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single" w:sz="8" w:space="0" w:color="auto"/>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2" w:type="pct"/>
            <w:tcBorders>
              <w:top w:val="nil"/>
              <w:left w:val="nil"/>
              <w:bottom w:val="single" w:sz="8" w:space="0" w:color="auto"/>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19" w:type="pct"/>
            <w:tcBorders>
              <w:top w:val="nil"/>
              <w:left w:val="nil"/>
              <w:bottom w:val="single" w:sz="8" w:space="0" w:color="auto"/>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460" w:type="pct"/>
            <w:tcBorders>
              <w:top w:val="nil"/>
              <w:left w:val="nil"/>
              <w:bottom w:val="single" w:sz="8" w:space="0" w:color="auto"/>
              <w:right w:val="nil"/>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00" w:type="pct"/>
            <w:tcBorders>
              <w:top w:val="nil"/>
              <w:left w:val="nil"/>
              <w:bottom w:val="single" w:sz="8" w:space="0" w:color="auto"/>
              <w:right w:val="single" w:sz="8" w:space="0" w:color="auto"/>
            </w:tcBorders>
            <w:shd w:val="clear" w:color="000000" w:fill="CCFFCC"/>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single" w:sz="8" w:space="0" w:color="auto"/>
              <w:right w:val="single" w:sz="8" w:space="0" w:color="auto"/>
            </w:tcBorders>
            <w:shd w:val="clear" w:color="000000" w:fill="CCFFCC"/>
            <w:noWrap/>
            <w:vAlign w:val="bottom"/>
            <w:hideMark/>
          </w:tcPr>
          <w:p w:rsidR="007131C1" w:rsidRPr="007131C1" w:rsidRDefault="007131C1" w:rsidP="007131C1">
            <w:pPr>
              <w:jc w:val="cente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Euros</w:t>
            </w:r>
          </w:p>
        </w:tc>
        <w:tc>
          <w:tcPr>
            <w:tcW w:w="540" w:type="pct"/>
            <w:tcBorders>
              <w:top w:val="nil"/>
              <w:left w:val="nil"/>
              <w:bottom w:val="single" w:sz="8" w:space="0" w:color="auto"/>
              <w:right w:val="single" w:sz="8" w:space="0" w:color="auto"/>
            </w:tcBorders>
            <w:shd w:val="clear" w:color="000000" w:fill="CCFFCC"/>
            <w:noWrap/>
            <w:vAlign w:val="bottom"/>
            <w:hideMark/>
          </w:tcPr>
          <w:p w:rsidR="007131C1" w:rsidRPr="007131C1" w:rsidRDefault="007131C1" w:rsidP="007131C1">
            <w:pPr>
              <w:jc w:val="cente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Vencimiento</w:t>
            </w:r>
          </w:p>
        </w:tc>
      </w:tr>
      <w:tr w:rsidR="007131C1" w:rsidRPr="007131C1" w:rsidTr="007131C1">
        <w:trPr>
          <w:trHeight w:val="225"/>
        </w:trPr>
        <w:tc>
          <w:tcPr>
            <w:tcW w:w="2122" w:type="pct"/>
            <w:gridSpan w:val="3"/>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b/>
                <w:bCs/>
                <w:color w:val="000000"/>
                <w:sz w:val="14"/>
                <w:szCs w:val="14"/>
                <w:lang w:val="es-ES"/>
              </w:rPr>
            </w:pPr>
            <w:r w:rsidRPr="007131C1">
              <w:rPr>
                <w:rFonts w:ascii="Lucida Bright" w:hAnsi="Lucida Bright" w:cs="Calibri"/>
                <w:b/>
                <w:bCs/>
                <w:color w:val="000000"/>
                <w:sz w:val="14"/>
                <w:szCs w:val="14"/>
                <w:lang w:val="es-ES"/>
              </w:rPr>
              <w:t>Deducciones pendientes y otros:</w:t>
            </w: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2122" w:type="pct"/>
            <w:gridSpan w:val="3"/>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Deducciones por inversiones no económicas:</w:t>
            </w: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36.21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Contrato de colaboración en I+D entre la Autoridad Portuaria de Baleares y la </w:t>
            </w:r>
            <w:proofErr w:type="spellStart"/>
            <w:r w:rsidRPr="007131C1">
              <w:rPr>
                <w:rFonts w:ascii="Lucida Bright" w:hAnsi="Lucida Bright" w:cs="Calibri"/>
                <w:color w:val="000000"/>
                <w:sz w:val="14"/>
                <w:szCs w:val="14"/>
                <w:lang w:val="es-ES"/>
              </w:rPr>
              <w:t>Universitat</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Politècnica</w:t>
            </w:r>
            <w:proofErr w:type="spellEnd"/>
            <w:r w:rsidRPr="007131C1">
              <w:rPr>
                <w:rFonts w:ascii="Lucida Bright" w:hAnsi="Lucida Bright" w:cs="Calibri"/>
                <w:color w:val="000000"/>
                <w:sz w:val="14"/>
                <w:szCs w:val="14"/>
                <w:lang w:val="es-ES"/>
              </w:rPr>
              <w:t xml:space="preserve"> de Catalunya para el desarrollo de un plan de adaptación al cambio climático para los puertos de la Autoridad Portuaria de Baleares.</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73.800,00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40.17 (LOTE3)</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proofErr w:type="spellStart"/>
            <w:r w:rsidRPr="007131C1">
              <w:rPr>
                <w:rFonts w:ascii="Lucida Bright" w:hAnsi="Lucida Bright" w:cs="Calibri"/>
                <w:color w:val="000000"/>
                <w:sz w:val="14"/>
                <w:szCs w:val="14"/>
                <w:lang w:val="es-ES"/>
              </w:rPr>
              <w:t>A.T.para</w:t>
            </w:r>
            <w:proofErr w:type="spellEnd"/>
            <w:r w:rsidRPr="007131C1">
              <w:rPr>
                <w:rFonts w:ascii="Lucida Bright" w:hAnsi="Lucida Bright" w:cs="Calibri"/>
                <w:color w:val="000000"/>
                <w:sz w:val="14"/>
                <w:szCs w:val="14"/>
                <w:lang w:val="es-ES"/>
              </w:rPr>
              <w:t xml:space="preserve"> la redacción del proyecto y dirección de obra de los proyectos de rehabilitación de las infraestructuras de atraque en los muelles </w:t>
            </w:r>
            <w:proofErr w:type="spellStart"/>
            <w:r w:rsidRPr="007131C1">
              <w:rPr>
                <w:rFonts w:ascii="Lucida Bright" w:hAnsi="Lucida Bright" w:cs="Calibri"/>
                <w:color w:val="000000"/>
                <w:sz w:val="14"/>
                <w:szCs w:val="14"/>
                <w:lang w:val="es-ES"/>
              </w:rPr>
              <w:t>Paraires</w:t>
            </w:r>
            <w:proofErr w:type="spellEnd"/>
            <w:r w:rsidRPr="007131C1">
              <w:rPr>
                <w:rFonts w:ascii="Lucida Bright" w:hAnsi="Lucida Bright" w:cs="Calibri"/>
                <w:color w:val="000000"/>
                <w:sz w:val="14"/>
                <w:szCs w:val="14"/>
                <w:lang w:val="es-ES"/>
              </w:rPr>
              <w:t xml:space="preserve"> y Poniente Sur alin.1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8.380,54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49.21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Adquisición de pantalanes flotantes de hormigón para la zona pesquera del puerto de Mahón.</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147.369,33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23.20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Nuevo laser rotativo del sistema de monitorización de atraques de los muelles transversales del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29.400,00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1095 - 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Rehabilitación de los elementos de protección de la cimentación del dique de </w:t>
            </w:r>
            <w:proofErr w:type="spellStart"/>
            <w:r w:rsidRPr="007131C1">
              <w:rPr>
                <w:rFonts w:ascii="Lucida Bright" w:hAnsi="Lucida Bright" w:cs="Calibri"/>
                <w:color w:val="000000"/>
                <w:sz w:val="14"/>
                <w:szCs w:val="14"/>
                <w:lang w:val="es-ES"/>
              </w:rPr>
              <w:t>Botafoc</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11.301.014,18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01.20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Actuaciones para la mejora de la accesibilidad de las estaciones marítimas, pasarelas de embarque y oficinas de la APB en 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15.666,20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1344</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redacción de los proyectos constructivos y la correspondiente tramitación ambiental de los nuevos atraques y explanadas para el </w:t>
            </w:r>
            <w:r w:rsidR="00DD448C" w:rsidRPr="007131C1">
              <w:rPr>
                <w:rFonts w:ascii="Lucida Bright" w:hAnsi="Lucida Bright" w:cs="Calibri"/>
                <w:color w:val="000000"/>
                <w:sz w:val="14"/>
                <w:szCs w:val="14"/>
                <w:lang w:val="es-ES"/>
              </w:rPr>
              <w:t>tráfico</w:t>
            </w:r>
            <w:r w:rsidRPr="007131C1">
              <w:rPr>
                <w:rFonts w:ascii="Lucida Bright" w:hAnsi="Lucida Bright" w:cs="Calibri"/>
                <w:color w:val="000000"/>
                <w:sz w:val="14"/>
                <w:szCs w:val="14"/>
                <w:lang w:val="es-ES"/>
              </w:rPr>
              <w:t xml:space="preserve"> de </w:t>
            </w:r>
            <w:proofErr w:type="spellStart"/>
            <w:r w:rsidRPr="007131C1">
              <w:rPr>
                <w:rFonts w:ascii="Lucida Bright" w:hAnsi="Lucida Bright" w:cs="Calibri"/>
                <w:color w:val="000000"/>
                <w:sz w:val="14"/>
                <w:szCs w:val="14"/>
                <w:lang w:val="es-ES"/>
              </w:rPr>
              <w:t>ferrys</w:t>
            </w:r>
            <w:proofErr w:type="spellEnd"/>
            <w:r w:rsidRPr="007131C1">
              <w:rPr>
                <w:rFonts w:ascii="Lucida Bright" w:hAnsi="Lucida Bright" w:cs="Calibri"/>
                <w:color w:val="000000"/>
                <w:sz w:val="14"/>
                <w:szCs w:val="14"/>
                <w:lang w:val="es-ES"/>
              </w:rPr>
              <w:t xml:space="preserve"> en el dique del Oeste</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422.865,98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1340.1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Actuaciones para la mejora de la accesibilidad de los viales y espacios públicos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277.226,49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80.19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del pavimento de las rotondas de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183.424,97</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03.21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Proyecto para la mejora de la red eléctrica de baja tensión en 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178.891,93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28.21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Mejora del sistema de monitorización de la calidad del aire y Plataforma Smart Ambiental.</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376.984,81</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11.20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Conexión del faro de </w:t>
            </w:r>
            <w:proofErr w:type="spellStart"/>
            <w:r w:rsidRPr="007131C1">
              <w:rPr>
                <w:rFonts w:ascii="Lucida Bright" w:hAnsi="Lucida Bright" w:cs="Calibri"/>
                <w:color w:val="000000"/>
                <w:sz w:val="14"/>
                <w:szCs w:val="14"/>
                <w:lang w:val="es-ES"/>
              </w:rPr>
              <w:t>Portopi</w:t>
            </w:r>
            <w:proofErr w:type="spellEnd"/>
            <w:r w:rsidRPr="007131C1">
              <w:rPr>
                <w:rFonts w:ascii="Lucida Bright" w:hAnsi="Lucida Bright" w:cs="Calibri"/>
                <w:color w:val="000000"/>
                <w:sz w:val="14"/>
                <w:szCs w:val="14"/>
                <w:lang w:val="es-ES"/>
              </w:rPr>
              <w:t xml:space="preserve"> a la red OTN de la Autoridad Portuaria de Baleares mediante fibra óptica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87.795,89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Remodelación del Paseo Marítimo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27.561,64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54.21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 las defensas del puerto de Alcudia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281.239,52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45.21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Instalación de una red de puntos de recarga de vehículos eléctricos en los puertos de Palma, Alcudia, Mao,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y La </w:t>
            </w:r>
            <w:proofErr w:type="spellStart"/>
            <w:r w:rsidRPr="007131C1">
              <w:rPr>
                <w:rFonts w:ascii="Lucida Bright" w:hAnsi="Lucida Bright" w:cs="Calibri"/>
                <w:color w:val="000000"/>
                <w:sz w:val="14"/>
                <w:szCs w:val="14"/>
                <w:lang w:val="es-ES"/>
              </w:rPr>
              <w:t>Savina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184.901,12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41.21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Instalación de marquesinas fotovoltaicas para la recarga de vehículos eléctricos en los puertos de Palma, Alcudia, Mao y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25.595,55</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05.21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Eliminación de barreras arquitectónicas en las aceras y dotación de un parque infantil en el muelle de Cruceros del puerto de Mao</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391.618,49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08.22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Sustitución de la cubierta inclinada del faro de Cala Figuera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71.846,59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18.22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Desarrollo de una propuesta para la </w:t>
            </w:r>
            <w:proofErr w:type="spellStart"/>
            <w:r w:rsidRPr="007131C1">
              <w:rPr>
                <w:rFonts w:ascii="Lucida Bright" w:hAnsi="Lucida Bright" w:cs="Calibri"/>
                <w:color w:val="000000"/>
                <w:sz w:val="14"/>
                <w:szCs w:val="14"/>
                <w:lang w:val="es-ES"/>
              </w:rPr>
              <w:t>biorremediacion</w:t>
            </w:r>
            <w:proofErr w:type="spellEnd"/>
            <w:r w:rsidRPr="007131C1">
              <w:rPr>
                <w:rFonts w:ascii="Lucida Bright" w:hAnsi="Lucida Bright" w:cs="Calibri"/>
                <w:color w:val="000000"/>
                <w:sz w:val="14"/>
                <w:szCs w:val="14"/>
                <w:lang w:val="es-ES"/>
              </w:rPr>
              <w:t xml:space="preserve"> con bivalvos en una dársena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12.396,28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21.22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Identificación de suelos contaminados y elaboración de una propuesta para la descontaminación de la zona de Ribera de San Carlos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12.641,00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14.22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Instalación fotovoltaica para autoconsumo de 100KW para la Estación Marítima de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80.987,46</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05.22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instalación y mantenimiento de 7 nuevos escáneres y arcos de seguridad para las estaciones marítimas de los puertos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y Palma. LOTE 1 Estación Marítima </w:t>
            </w:r>
            <w:r w:rsidR="00DD448C" w:rsidRPr="007131C1">
              <w:rPr>
                <w:rFonts w:ascii="Lucida Bright" w:hAnsi="Lucida Bright" w:cs="Calibri"/>
                <w:color w:val="000000"/>
                <w:sz w:val="14"/>
                <w:szCs w:val="14"/>
                <w:lang w:val="es-ES"/>
              </w:rPr>
              <w:t>número</w:t>
            </w:r>
            <w:r w:rsidRPr="007131C1">
              <w:rPr>
                <w:rFonts w:ascii="Lucida Bright" w:hAnsi="Lucida Bright" w:cs="Calibri"/>
                <w:color w:val="000000"/>
                <w:sz w:val="14"/>
                <w:szCs w:val="14"/>
                <w:lang w:val="es-ES"/>
              </w:rPr>
              <w:t xml:space="preserve"> 2 en el muelle de </w:t>
            </w:r>
            <w:proofErr w:type="spellStart"/>
            <w:r w:rsidRPr="007131C1">
              <w:rPr>
                <w:rFonts w:ascii="Lucida Bright" w:hAnsi="Lucida Bright" w:cs="Calibri"/>
                <w:color w:val="000000"/>
                <w:sz w:val="14"/>
                <w:szCs w:val="14"/>
                <w:lang w:val="es-ES"/>
              </w:rPr>
              <w:t>Peraires</w:t>
            </w:r>
            <w:proofErr w:type="spellEnd"/>
            <w:r w:rsidRPr="007131C1">
              <w:rPr>
                <w:rFonts w:ascii="Lucida Bright" w:hAnsi="Lucida Bright" w:cs="Calibri"/>
                <w:color w:val="000000"/>
                <w:sz w:val="14"/>
                <w:szCs w:val="14"/>
                <w:lang w:val="es-ES"/>
              </w:rPr>
              <w:t>,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68.304,88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05.22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instalación y mantenimiento de 7 nuevos escáneres y arcos de seguridad para las estaciones marítimas de los puertos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y Palma. LOTE 2 Estación Marítima en el muelle de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162.229,65</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84.22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Suministro de baterías para las señales marítimas de la Autoridad Portuaria de Balears. Lote 1: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5.181,83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84.22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Suministro de baterías para las señales marítimas de la Autoridad Portuaria de Balears. Lote 2: Mao</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3.454,55</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84.22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de baterías para las señales marítimas de la Autoridad Portuaria de Balears. Lote 3: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6.909,10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89.22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Prospección geotécnica complementaria del muelle de la Rama Corta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6.651,37</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56.22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Nuevos bolardos de 150 t. en el muelle del </w:t>
            </w:r>
            <w:proofErr w:type="spellStart"/>
            <w:r w:rsidRPr="007131C1">
              <w:rPr>
                <w:rFonts w:ascii="Lucida Bright" w:hAnsi="Lucida Bright" w:cs="Calibri"/>
                <w:color w:val="000000"/>
                <w:sz w:val="14"/>
                <w:szCs w:val="14"/>
                <w:lang w:val="es-ES"/>
              </w:rPr>
              <w:t>Cos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Nou</w:t>
            </w:r>
            <w:proofErr w:type="spellEnd"/>
            <w:r w:rsidRPr="007131C1">
              <w:rPr>
                <w:rFonts w:ascii="Lucida Bright" w:hAnsi="Lucida Bright" w:cs="Calibri"/>
                <w:color w:val="000000"/>
                <w:sz w:val="14"/>
                <w:szCs w:val="14"/>
                <w:lang w:val="es-ES"/>
              </w:rPr>
              <w:t xml:space="preserve"> del Puerto de Mao.</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46.649,76</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21.21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Recuperación de calados en la 1A alineación de los muelles de Poniente del puerto de Alcudia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123.452,66</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82.22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a la dirección de obra, control de calidad y vigilancia ambiental en obras del epígrafe de obras varias y menores de la APB (2023-2024)</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15.306,12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02.21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Acondicionamiento estructural del carril de rodadura de la pasarela móvil n.5 del Muelle Ribera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139.728,00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92.22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Translocación de colonias de Cladócera </w:t>
            </w:r>
            <w:proofErr w:type="spellStart"/>
            <w:r w:rsidRPr="007131C1">
              <w:rPr>
                <w:rFonts w:ascii="Lucida Bright" w:hAnsi="Lucida Bright" w:cs="Calibri"/>
                <w:color w:val="000000"/>
                <w:sz w:val="14"/>
                <w:szCs w:val="14"/>
                <w:lang w:val="es-ES"/>
              </w:rPr>
              <w:t>Caespitosa</w:t>
            </w:r>
            <w:proofErr w:type="spellEnd"/>
            <w:r w:rsidRPr="007131C1">
              <w:rPr>
                <w:rFonts w:ascii="Lucida Bright" w:hAnsi="Lucida Bright" w:cs="Calibri"/>
                <w:color w:val="000000"/>
                <w:sz w:val="14"/>
                <w:szCs w:val="14"/>
                <w:lang w:val="es-ES"/>
              </w:rPr>
              <w:t xml:space="preserve"> afectadas por las obras de los "pantalanes para embarcaciones deportivas en Cala </w:t>
            </w:r>
            <w:proofErr w:type="spellStart"/>
            <w:r w:rsidRPr="007131C1">
              <w:rPr>
                <w:rFonts w:ascii="Lucida Bright" w:hAnsi="Lucida Bright" w:cs="Calibri"/>
                <w:color w:val="000000"/>
                <w:sz w:val="14"/>
                <w:szCs w:val="14"/>
                <w:lang w:val="es-ES"/>
              </w:rPr>
              <w:t>Corb</w:t>
            </w:r>
            <w:proofErr w:type="spellEnd"/>
            <w:r w:rsidRPr="007131C1">
              <w:rPr>
                <w:rFonts w:ascii="Lucida Bright" w:hAnsi="Lucida Bright" w:cs="Calibri"/>
                <w:color w:val="000000"/>
                <w:sz w:val="14"/>
                <w:szCs w:val="14"/>
                <w:lang w:val="es-ES"/>
              </w:rPr>
              <w:t xml:space="preserve"> (PO 1093-G) del puerto de Mao.</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63.852,13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55.21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Demolición de pasarela y pérgola en el paseo marítimo del Puerto de Alcudia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78.509,13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111.22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Nueva sirena de niebla en el dique del Oeste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25.560,00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78.20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Rehabilitación de las infraestructuras de atraque del muelle de Ribera del puerto de Alcudia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16.270,90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124.15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el estudio de alternativas, tramitación ambiental y redacción del proyecto constructivo de "Ampliación de la explanada de Poniente del puerto de Alcudia"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19.469,35</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52.18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la redacción del proyecto constructivo y dirección de obra para la remodelación urbanística del paseo marítimo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185.442,19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56.18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a la Dirección de obra de “Estación Marítima en Explanada y Muelles Comerciales al abrigo del Dique de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(P.O. 1087-G)"</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75.182,49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1355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Acondicionamiento y mejora estructural del puente de </w:t>
            </w:r>
            <w:proofErr w:type="spellStart"/>
            <w:r w:rsidRPr="007131C1">
              <w:rPr>
                <w:rFonts w:ascii="Lucida Bright" w:hAnsi="Lucida Bright" w:cs="Calibri"/>
                <w:color w:val="000000"/>
                <w:sz w:val="14"/>
                <w:szCs w:val="14"/>
                <w:lang w:val="es-ES"/>
              </w:rPr>
              <w:t>Ca'n</w:t>
            </w:r>
            <w:proofErr w:type="spellEnd"/>
            <w:r w:rsidRPr="007131C1">
              <w:rPr>
                <w:rFonts w:ascii="Lucida Bright" w:hAnsi="Lucida Bright" w:cs="Calibri"/>
                <w:color w:val="000000"/>
                <w:sz w:val="14"/>
                <w:szCs w:val="14"/>
                <w:lang w:val="es-ES"/>
              </w:rPr>
              <w:t xml:space="preserve"> Barbará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42.016,81</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1353</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 accesos superficies y viales en los Muelles de Poniente y </w:t>
            </w:r>
            <w:proofErr w:type="spellStart"/>
            <w:r w:rsidRPr="007131C1">
              <w:rPr>
                <w:rFonts w:ascii="Lucida Bright" w:hAnsi="Lucida Bright" w:cs="Calibri"/>
                <w:color w:val="000000"/>
                <w:sz w:val="14"/>
                <w:szCs w:val="14"/>
                <w:lang w:val="es-ES"/>
              </w:rPr>
              <w:t>Paraires</w:t>
            </w:r>
            <w:proofErr w:type="spellEnd"/>
            <w:r w:rsidRPr="007131C1">
              <w:rPr>
                <w:rFonts w:ascii="Lucida Bright" w:hAnsi="Lucida Bright" w:cs="Calibri"/>
                <w:color w:val="000000"/>
                <w:sz w:val="14"/>
                <w:szCs w:val="14"/>
                <w:lang w:val="es-ES"/>
              </w:rPr>
              <w:t xml:space="preserve">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49.893,34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1347</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Acondicionamiento de los diques del </w:t>
            </w:r>
            <w:proofErr w:type="spellStart"/>
            <w:r w:rsidRPr="007131C1">
              <w:rPr>
                <w:rFonts w:ascii="Lucida Bright" w:hAnsi="Lucida Bright" w:cs="Calibri"/>
                <w:color w:val="000000"/>
                <w:sz w:val="14"/>
                <w:szCs w:val="14"/>
                <w:lang w:val="es-ES"/>
              </w:rPr>
              <w:t>Portixol</w:t>
            </w:r>
            <w:proofErr w:type="spellEnd"/>
            <w:r w:rsidRPr="007131C1">
              <w:rPr>
                <w:rFonts w:ascii="Lucida Bright" w:hAnsi="Lucida Bright" w:cs="Calibri"/>
                <w:color w:val="000000"/>
                <w:sz w:val="14"/>
                <w:szCs w:val="14"/>
                <w:lang w:val="es-ES"/>
              </w:rPr>
              <w:t xml:space="preserve"> y del Molinar</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22.380,98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Modificación de las pasarelas fijas en los Muelles de Poniente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90.252,10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Refuerzo de banqueta y acondicionamiento estructural de los Muelles de </w:t>
            </w:r>
            <w:proofErr w:type="spellStart"/>
            <w:r w:rsidRPr="007131C1">
              <w:rPr>
                <w:rFonts w:ascii="Lucida Bright" w:hAnsi="Lucida Bright" w:cs="Calibri"/>
                <w:color w:val="000000"/>
                <w:sz w:val="14"/>
                <w:szCs w:val="14"/>
                <w:lang w:val="es-ES"/>
              </w:rPr>
              <w:t>Paraires</w:t>
            </w:r>
            <w:proofErr w:type="spellEnd"/>
            <w:r w:rsidRPr="007131C1">
              <w:rPr>
                <w:rFonts w:ascii="Lucida Bright" w:hAnsi="Lucida Bright" w:cs="Calibri"/>
                <w:color w:val="000000"/>
                <w:sz w:val="14"/>
                <w:szCs w:val="14"/>
                <w:lang w:val="es-ES"/>
              </w:rPr>
              <w:t xml:space="preserve"> y Poniente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83.455,06</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1337</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Acondicionamiento y mejora estructural del Muelle de San Magín en 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13.414,61</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1117-G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Rehabilitación del faro de Conejera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16.806,72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1116-G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Rehabilitación de la cubierta y de elementos estructurales del faro de </w:t>
            </w:r>
            <w:proofErr w:type="spellStart"/>
            <w:r w:rsidRPr="007131C1">
              <w:rPr>
                <w:rFonts w:ascii="Lucida Bright" w:hAnsi="Lucida Bright" w:cs="Calibri"/>
                <w:color w:val="000000"/>
                <w:sz w:val="14"/>
                <w:szCs w:val="14"/>
                <w:lang w:val="es-ES"/>
              </w:rPr>
              <w:t>Tagomago</w:t>
            </w:r>
            <w:proofErr w:type="spellEnd"/>
            <w:r w:rsidRPr="007131C1">
              <w:rPr>
                <w:rFonts w:ascii="Lucida Bright" w:hAnsi="Lucida Bright" w:cs="Calibri"/>
                <w:color w:val="000000"/>
                <w:sz w:val="14"/>
                <w:szCs w:val="14"/>
                <w:lang w:val="es-ES"/>
              </w:rPr>
              <w:t xml:space="preserve">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18.487,39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1109-G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Plan de accesibilidad en los puertos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La </w:t>
            </w:r>
            <w:proofErr w:type="spellStart"/>
            <w:r w:rsidRPr="007131C1">
              <w:rPr>
                <w:rFonts w:ascii="Lucida Bright" w:hAnsi="Lucida Bright" w:cs="Calibri"/>
                <w:color w:val="000000"/>
                <w:sz w:val="14"/>
                <w:szCs w:val="14"/>
                <w:lang w:val="es-ES"/>
              </w:rPr>
              <w:t>Savina</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Maó</w:t>
            </w:r>
            <w:proofErr w:type="spellEnd"/>
            <w:r w:rsidRPr="007131C1">
              <w:rPr>
                <w:rFonts w:ascii="Lucida Bright" w:hAnsi="Lucida Bright" w:cs="Calibri"/>
                <w:color w:val="000000"/>
                <w:sz w:val="14"/>
                <w:szCs w:val="14"/>
                <w:lang w:val="es-ES"/>
              </w:rPr>
              <w:t xml:space="preserve"> y Alcudia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28.413,59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1102-G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del vial de la Ribera de Poniente del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19.934,47</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1101-G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Renovación de los sistemas de defensa de los muelles del puerto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(Lote 1: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28.519,80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1098-G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Mejora de la carretera Me-3 entre el PK+0,00 y el PK+800, para el acceso al </w:t>
            </w:r>
            <w:proofErr w:type="spellStart"/>
            <w:r w:rsidRPr="007131C1">
              <w:rPr>
                <w:rFonts w:ascii="Lucida Bright" w:hAnsi="Lucida Bright" w:cs="Calibri"/>
                <w:color w:val="000000"/>
                <w:sz w:val="14"/>
                <w:szCs w:val="14"/>
                <w:lang w:val="es-ES"/>
              </w:rPr>
              <w:t>Cós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Nou</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22.554,62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90.18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Acondicionamiento y reparación del muelle des </w:t>
            </w:r>
            <w:proofErr w:type="spellStart"/>
            <w:r w:rsidRPr="007131C1">
              <w:rPr>
                <w:rFonts w:ascii="Lucida Bright" w:hAnsi="Lucida Bright" w:cs="Calibri"/>
                <w:color w:val="000000"/>
                <w:sz w:val="14"/>
                <w:szCs w:val="14"/>
                <w:lang w:val="es-ES"/>
              </w:rPr>
              <w:t>Jonque</w:t>
            </w:r>
            <w:proofErr w:type="spellEnd"/>
            <w:r w:rsidRPr="007131C1">
              <w:rPr>
                <w:rFonts w:ascii="Lucida Bright" w:hAnsi="Lucida Bright" w:cs="Calibri"/>
                <w:color w:val="000000"/>
                <w:sz w:val="14"/>
                <w:szCs w:val="14"/>
                <w:lang w:val="es-ES"/>
              </w:rPr>
              <w:t xml:space="preserve"> del </w:t>
            </w:r>
            <w:proofErr w:type="spellStart"/>
            <w:r w:rsidRPr="007131C1">
              <w:rPr>
                <w:rFonts w:ascii="Lucida Bright" w:hAnsi="Lucida Bright" w:cs="Calibri"/>
                <w:color w:val="000000"/>
                <w:sz w:val="14"/>
                <w:szCs w:val="14"/>
                <w:lang w:val="es-ES"/>
              </w:rPr>
              <w:t>Cos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Nou</w:t>
            </w:r>
            <w:proofErr w:type="spellEnd"/>
            <w:r w:rsidRPr="007131C1">
              <w:rPr>
                <w:rFonts w:ascii="Lucida Bright" w:hAnsi="Lucida Bright" w:cs="Calibri"/>
                <w:color w:val="000000"/>
                <w:sz w:val="14"/>
                <w:szCs w:val="14"/>
                <w:lang w:val="es-ES"/>
              </w:rPr>
              <w:t xml:space="preserve"> del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27.356,83 </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31/12/2038</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61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40.17 (LOTE3)</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proofErr w:type="spellStart"/>
            <w:r w:rsidRPr="007131C1">
              <w:rPr>
                <w:rFonts w:ascii="Lucida Bright" w:hAnsi="Lucida Bright" w:cs="Calibri"/>
                <w:color w:val="000000"/>
                <w:sz w:val="14"/>
                <w:szCs w:val="14"/>
                <w:lang w:val="es-ES"/>
              </w:rPr>
              <w:t>A.T.para</w:t>
            </w:r>
            <w:proofErr w:type="spellEnd"/>
            <w:r w:rsidRPr="007131C1">
              <w:rPr>
                <w:rFonts w:ascii="Lucida Bright" w:hAnsi="Lucida Bright" w:cs="Calibri"/>
                <w:color w:val="000000"/>
                <w:sz w:val="14"/>
                <w:szCs w:val="14"/>
                <w:lang w:val="es-ES"/>
              </w:rPr>
              <w:t xml:space="preserve"> la redacción del proyecto y dirección de obra de los proyectos de rehabilitación de las infraestructuras de atraque en los muelles </w:t>
            </w:r>
            <w:proofErr w:type="spellStart"/>
            <w:r w:rsidRPr="007131C1">
              <w:rPr>
                <w:rFonts w:ascii="Lucida Bright" w:hAnsi="Lucida Bright" w:cs="Calibri"/>
                <w:color w:val="000000"/>
                <w:sz w:val="14"/>
                <w:szCs w:val="14"/>
                <w:lang w:val="es-ES"/>
              </w:rPr>
              <w:t>Paraires</w:t>
            </w:r>
            <w:proofErr w:type="spellEnd"/>
            <w:r w:rsidRPr="007131C1">
              <w:rPr>
                <w:rFonts w:ascii="Lucida Bright" w:hAnsi="Lucida Bright" w:cs="Calibri"/>
                <w:color w:val="000000"/>
                <w:sz w:val="14"/>
                <w:szCs w:val="14"/>
                <w:lang w:val="es-ES"/>
              </w:rPr>
              <w:t xml:space="preserve"> y Poniente Sur alin.1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24.915,13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75.22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Suministro y montaje de tren de fondeo sobre los testeros de los pantalanes B</w:t>
            </w:r>
            <w:proofErr w:type="gramStart"/>
            <w:r w:rsidRPr="007131C1">
              <w:rPr>
                <w:rFonts w:ascii="Lucida Bright" w:hAnsi="Lucida Bright" w:cs="Calibri"/>
                <w:color w:val="000000"/>
                <w:sz w:val="14"/>
                <w:szCs w:val="14"/>
                <w:lang w:val="es-ES"/>
              </w:rPr>
              <w:t>,C</w:t>
            </w:r>
            <w:proofErr w:type="gramEnd"/>
            <w:r w:rsidRPr="007131C1">
              <w:rPr>
                <w:rFonts w:ascii="Lucida Bright" w:hAnsi="Lucida Bright" w:cs="Calibri"/>
                <w:color w:val="000000"/>
                <w:sz w:val="14"/>
                <w:szCs w:val="14"/>
                <w:lang w:val="es-ES"/>
              </w:rPr>
              <w:t xml:space="preserve"> y D del </w:t>
            </w:r>
            <w:proofErr w:type="spellStart"/>
            <w:r w:rsidRPr="007131C1">
              <w:rPr>
                <w:rFonts w:ascii="Lucida Bright" w:hAnsi="Lucida Bright" w:cs="Calibri"/>
                <w:color w:val="000000"/>
                <w:sz w:val="14"/>
                <w:szCs w:val="14"/>
                <w:lang w:val="es-ES"/>
              </w:rPr>
              <w:t>Moll</w:t>
            </w:r>
            <w:proofErr w:type="spellEnd"/>
            <w:r w:rsidRPr="007131C1">
              <w:rPr>
                <w:rFonts w:ascii="Lucida Bright" w:hAnsi="Lucida Bright" w:cs="Calibri"/>
                <w:color w:val="000000"/>
                <w:sz w:val="14"/>
                <w:szCs w:val="14"/>
                <w:lang w:val="es-ES"/>
              </w:rPr>
              <w:t xml:space="preserve"> de </w:t>
            </w:r>
            <w:proofErr w:type="spellStart"/>
            <w:r w:rsidRPr="007131C1">
              <w:rPr>
                <w:rFonts w:ascii="Lucida Bright" w:hAnsi="Lucida Bright" w:cs="Calibri"/>
                <w:color w:val="000000"/>
                <w:sz w:val="14"/>
                <w:szCs w:val="14"/>
                <w:lang w:val="es-ES"/>
              </w:rPr>
              <w:t>Llevant</w:t>
            </w:r>
            <w:proofErr w:type="spellEnd"/>
            <w:r w:rsidRPr="007131C1">
              <w:rPr>
                <w:rFonts w:ascii="Lucida Bright" w:hAnsi="Lucida Bright" w:cs="Calibri"/>
                <w:color w:val="000000"/>
                <w:sz w:val="14"/>
                <w:szCs w:val="14"/>
                <w:lang w:val="es-ES"/>
              </w:rPr>
              <w:t xml:space="preserve"> en el puerto de Mao.</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28.240,00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61.19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 la urbanización del entorno del edificio de oficinas de la APB en el puerto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-Ibiza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517.117,68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93.19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Adquisición de barreras de contención en los puertos de Palma,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-Ibiza y </w:t>
            </w:r>
            <w:proofErr w:type="spellStart"/>
            <w:r w:rsidRPr="007131C1">
              <w:rPr>
                <w:rFonts w:ascii="Lucida Bright" w:hAnsi="Lucida Bright" w:cs="Calibri"/>
                <w:color w:val="000000"/>
                <w:sz w:val="14"/>
                <w:szCs w:val="14"/>
                <w:lang w:val="es-ES"/>
              </w:rPr>
              <w:t>Maó</w:t>
            </w:r>
            <w:proofErr w:type="spellEnd"/>
            <w:r w:rsidRPr="007131C1">
              <w:rPr>
                <w:rFonts w:ascii="Lucida Bright" w:hAnsi="Lucida Bright" w:cs="Calibri"/>
                <w:color w:val="000000"/>
                <w:sz w:val="14"/>
                <w:szCs w:val="14"/>
                <w:lang w:val="es-ES"/>
              </w:rPr>
              <w:t>-Mahón. Lote 2. Mao-Mahón</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101.840,00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09.20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Sustitución de cerramiento del recinto controlado del Puerto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-Ibiza.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254.816,43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28.20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el levantamiento topográfico y redacción del proyecto de actualización y mejora de las redes de pluviales y residuales de los puertos de la APB</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42.635,99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01.20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Actuaciones para la mejora de la accesibilidad de las estaciones marítimas, pasarelas de embarque y oficinas de la APB en 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271.496,29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1344</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redacción de los proyectos constructivos y la correspondiente tramitación ambiental de los nuevos atraques y explanadas para el </w:t>
            </w:r>
            <w:r w:rsidR="00DD448C" w:rsidRPr="007131C1">
              <w:rPr>
                <w:rFonts w:ascii="Lucida Bright" w:hAnsi="Lucida Bright" w:cs="Calibri"/>
                <w:color w:val="000000"/>
                <w:sz w:val="14"/>
                <w:szCs w:val="14"/>
                <w:lang w:val="es-ES"/>
              </w:rPr>
              <w:t>tráfico</w:t>
            </w:r>
            <w:r w:rsidRPr="007131C1">
              <w:rPr>
                <w:rFonts w:ascii="Lucida Bright" w:hAnsi="Lucida Bright" w:cs="Calibri"/>
                <w:color w:val="000000"/>
                <w:sz w:val="14"/>
                <w:szCs w:val="14"/>
                <w:lang w:val="es-ES"/>
              </w:rPr>
              <w:t xml:space="preserve"> de </w:t>
            </w:r>
            <w:proofErr w:type="spellStart"/>
            <w:r w:rsidRPr="007131C1">
              <w:rPr>
                <w:rFonts w:ascii="Lucida Bright" w:hAnsi="Lucida Bright" w:cs="Calibri"/>
                <w:color w:val="000000"/>
                <w:sz w:val="14"/>
                <w:szCs w:val="14"/>
                <w:lang w:val="es-ES"/>
              </w:rPr>
              <w:t>ferrys</w:t>
            </w:r>
            <w:proofErr w:type="spellEnd"/>
            <w:r w:rsidRPr="007131C1">
              <w:rPr>
                <w:rFonts w:ascii="Lucida Bright" w:hAnsi="Lucida Bright" w:cs="Calibri"/>
                <w:color w:val="000000"/>
                <w:sz w:val="14"/>
                <w:szCs w:val="14"/>
                <w:lang w:val="es-ES"/>
              </w:rPr>
              <w:t xml:space="preserve"> en el dique del Oeste</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323.833,62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1340.1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Actuaciones para la mejora de la accesibilidad de los viales y espacios públicos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238.751,93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40.19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 las pilas de la pasarela de conexión entre las estaciones marítimas 1 y 2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115.194,43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93.20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del parque infantil en la dársena del Molinar de Levante</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13.456,90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99.20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Rehabilitación estructural del cajón situado bajo la rampa RO-RO de los muelles comerciales-dique del puerto de La </w:t>
            </w:r>
            <w:proofErr w:type="spellStart"/>
            <w:r w:rsidRPr="007131C1">
              <w:rPr>
                <w:rFonts w:ascii="Lucida Bright" w:hAnsi="Lucida Bright" w:cs="Calibri"/>
                <w:color w:val="000000"/>
                <w:sz w:val="14"/>
                <w:szCs w:val="14"/>
                <w:lang w:val="es-ES"/>
              </w:rPr>
              <w:t>Savina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73.195,74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19.21  LOTE 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 las dependencias del Cuerpo Nacional de Policía y de la Guardia Civil en la Estación Marítima n.2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16.974,12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19.21 LOTE2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 las dependencias del Cuerpo Nacional de Policía y de la Guardia Civil en la Estación Marítima n.2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3.742,68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07.21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Instalación de un punto de recarga para vehículos eléctricos en el </w:t>
            </w:r>
            <w:proofErr w:type="spellStart"/>
            <w:r w:rsidRPr="007131C1">
              <w:rPr>
                <w:rFonts w:ascii="Lucida Bright" w:hAnsi="Lucida Bright" w:cs="Calibri"/>
                <w:color w:val="000000"/>
                <w:sz w:val="14"/>
                <w:szCs w:val="14"/>
                <w:lang w:val="es-ES"/>
              </w:rPr>
              <w:t>Moll</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Vell</w:t>
            </w:r>
            <w:proofErr w:type="spellEnd"/>
            <w:r w:rsidRPr="007131C1">
              <w:rPr>
                <w:rFonts w:ascii="Lucida Bright" w:hAnsi="Lucida Bright" w:cs="Calibri"/>
                <w:color w:val="000000"/>
                <w:sz w:val="14"/>
                <w:szCs w:val="14"/>
                <w:lang w:val="es-ES"/>
              </w:rPr>
              <w:t xml:space="preserve"> n. 9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8.137,72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Remodelación del Paseo Marítimo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829.101,92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43.21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 la línea aérea de media tensión del faro de Cala Figuera para la protección de la avifauna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11.783,86</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04.22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de material anticontaminación para los puertos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-Ibiza y La </w:t>
            </w:r>
            <w:proofErr w:type="spellStart"/>
            <w:r w:rsidRPr="007131C1">
              <w:rPr>
                <w:rFonts w:ascii="Lucida Bright" w:hAnsi="Lucida Bright" w:cs="Calibri"/>
                <w:color w:val="000000"/>
                <w:sz w:val="14"/>
                <w:szCs w:val="14"/>
                <w:lang w:val="es-ES"/>
              </w:rPr>
              <w:t>Savina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14.495,45</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30.22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Elaboración de un video representativo y divulgativo del proyecto constructivo para la remodelación del Paseo Marítimo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14.900,00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16.22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del muelle colindante a la Estación Marítima para las operaciones de los transportes turísticos en el Puerto de la </w:t>
            </w:r>
            <w:proofErr w:type="spellStart"/>
            <w:r w:rsidRPr="007131C1">
              <w:rPr>
                <w:rFonts w:ascii="Lucida Bright" w:hAnsi="Lucida Bright" w:cs="Calibri"/>
                <w:color w:val="000000"/>
                <w:sz w:val="14"/>
                <w:szCs w:val="14"/>
                <w:lang w:val="es-ES"/>
              </w:rPr>
              <w:t>Savina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30.732,60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50.22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Suministro de nuevos equipos para balizamiento de naufragios para los puertos de la Autoridad Portuaria de Baleares - Lote 3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15.300,00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1079-G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Acondicionamiento y mejora estructural del atraque de Levante del Muelle de pasajeros</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296.271,02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1095-G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Rehabilitación de los elementos de protección de la cimentación del dique de </w:t>
            </w:r>
            <w:proofErr w:type="spellStart"/>
            <w:r w:rsidRPr="007131C1">
              <w:rPr>
                <w:rFonts w:ascii="Lucida Bright" w:hAnsi="Lucida Bright" w:cs="Calibri"/>
                <w:color w:val="000000"/>
                <w:sz w:val="14"/>
                <w:szCs w:val="14"/>
                <w:lang w:val="es-ES"/>
              </w:rPr>
              <w:t>Botafoc</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147.526,72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1097-G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Mejora de la urbanización de las calles Teodoro </w:t>
            </w:r>
            <w:proofErr w:type="spellStart"/>
            <w:r w:rsidRPr="007131C1">
              <w:rPr>
                <w:rFonts w:ascii="Lucida Bright" w:hAnsi="Lucida Bright" w:cs="Calibri"/>
                <w:color w:val="000000"/>
                <w:sz w:val="14"/>
                <w:szCs w:val="14"/>
                <w:lang w:val="es-ES"/>
              </w:rPr>
              <w:t>Canet</w:t>
            </w:r>
            <w:proofErr w:type="spellEnd"/>
            <w:r w:rsidRPr="007131C1">
              <w:rPr>
                <w:rFonts w:ascii="Lucida Bright" w:hAnsi="Lucida Bright" w:cs="Calibri"/>
                <w:color w:val="000000"/>
                <w:sz w:val="14"/>
                <w:szCs w:val="14"/>
                <w:lang w:val="es-ES"/>
              </w:rPr>
              <w:t xml:space="preserve"> y Gabriel Roca en el puerto de </w:t>
            </w:r>
            <w:proofErr w:type="spellStart"/>
            <w:r w:rsidRPr="007131C1">
              <w:rPr>
                <w:rFonts w:ascii="Lucida Bright" w:hAnsi="Lucida Bright" w:cs="Calibri"/>
                <w:color w:val="000000"/>
                <w:sz w:val="14"/>
                <w:szCs w:val="14"/>
                <w:lang w:val="es-ES"/>
              </w:rPr>
              <w:t>Alcúdia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11.566,01</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Ampliación de la explanada del Muelle de Poniente Norte en 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412.876,34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Actuaciones para la mejora de la operatividad y el entorno Puerto-Ciudad en la dársena del Molinar de Levante</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122.769,32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Refuerzo de banqueta y acondicionamiento estructural de los muelles de </w:t>
            </w:r>
            <w:proofErr w:type="spellStart"/>
            <w:r w:rsidRPr="007131C1">
              <w:rPr>
                <w:rFonts w:ascii="Lucida Bright" w:hAnsi="Lucida Bright" w:cs="Calibri"/>
                <w:color w:val="000000"/>
                <w:sz w:val="14"/>
                <w:szCs w:val="14"/>
                <w:lang w:val="es-ES"/>
              </w:rPr>
              <w:t>Paraires</w:t>
            </w:r>
            <w:proofErr w:type="spellEnd"/>
            <w:r w:rsidRPr="007131C1">
              <w:rPr>
                <w:rFonts w:ascii="Lucida Bright" w:hAnsi="Lucida Bright" w:cs="Calibri"/>
                <w:color w:val="000000"/>
                <w:sz w:val="14"/>
                <w:szCs w:val="14"/>
                <w:lang w:val="es-ES"/>
              </w:rPr>
              <w:t xml:space="preserve"> y Poniente</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32.268,90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1351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Ordenación de superficies y viales para el acceso de vehículos y pasajeros al Dique del Oeste en 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41.680,67</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144.15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la dirección de obra del proyecto "Ampliación de la explanada del Muelle de Poniente Norte del puerto de Palma"(P.O. 1330)</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41.017,51</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52.18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la redacción del proyecto constructivo y dirección de obra para la remodelación urbanística del paseo marítimo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6.822,99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56.18-LOTE2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proofErr w:type="spellStart"/>
            <w:r w:rsidRPr="007131C1">
              <w:rPr>
                <w:rFonts w:ascii="Lucida Bright" w:hAnsi="Lucida Bright" w:cs="Calibri"/>
                <w:color w:val="000000"/>
                <w:sz w:val="14"/>
                <w:szCs w:val="14"/>
                <w:lang w:val="es-ES"/>
              </w:rPr>
              <w:t>A.T.a</w:t>
            </w:r>
            <w:proofErr w:type="spellEnd"/>
            <w:r w:rsidRPr="007131C1">
              <w:rPr>
                <w:rFonts w:ascii="Lucida Bright" w:hAnsi="Lucida Bright" w:cs="Calibri"/>
                <w:color w:val="000000"/>
                <w:sz w:val="14"/>
                <w:szCs w:val="14"/>
                <w:lang w:val="es-ES"/>
              </w:rPr>
              <w:t xml:space="preserve"> la dirección de obra de “Acondicionamiento de viales y zonas peatonales de acceso al puerto de la </w:t>
            </w:r>
            <w:proofErr w:type="spellStart"/>
            <w:r w:rsidRPr="007131C1">
              <w:rPr>
                <w:rFonts w:ascii="Lucida Bright" w:hAnsi="Lucida Bright" w:cs="Calibri"/>
                <w:color w:val="000000"/>
                <w:sz w:val="14"/>
                <w:szCs w:val="14"/>
                <w:lang w:val="es-ES"/>
              </w:rPr>
              <w:t>Savina</w:t>
            </w:r>
            <w:proofErr w:type="spellEnd"/>
            <w:r w:rsidRPr="007131C1">
              <w:rPr>
                <w:rFonts w:ascii="Lucida Bright" w:hAnsi="Lucida Bright" w:cs="Calibri"/>
                <w:color w:val="000000"/>
                <w:sz w:val="14"/>
                <w:szCs w:val="14"/>
                <w:lang w:val="es-ES"/>
              </w:rPr>
              <w:t>(P.O.1085-G)</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43.949,65</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56.18-LOTE3</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a la Dirección de obra de “Estación Marítima en Explanada y Muelles Comerciales al abrigo del Dique de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(P.O.1087-G)</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153.785,03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75.18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Nueva red de drenaje y saneamiento del pavimento del vial de circulación del muelle de ribera del puerto de </w:t>
            </w:r>
            <w:proofErr w:type="spellStart"/>
            <w:r w:rsidRPr="007131C1">
              <w:rPr>
                <w:rFonts w:ascii="Lucida Bright" w:hAnsi="Lucida Bright" w:cs="Calibri"/>
                <w:color w:val="000000"/>
                <w:sz w:val="14"/>
                <w:szCs w:val="14"/>
                <w:lang w:val="es-ES"/>
              </w:rPr>
              <w:t>Alcúdia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32.929,69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84.18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Sistema de monitorización de la calidad del aire de los puertos de la APB</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15.936,74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90.18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Acondicionamiento y reparación del muelle des </w:t>
            </w:r>
            <w:proofErr w:type="spellStart"/>
            <w:r w:rsidRPr="007131C1">
              <w:rPr>
                <w:rFonts w:ascii="Lucida Bright" w:hAnsi="Lucida Bright" w:cs="Calibri"/>
                <w:color w:val="000000"/>
                <w:sz w:val="14"/>
                <w:szCs w:val="14"/>
                <w:lang w:val="es-ES"/>
              </w:rPr>
              <w:t>Jonque</w:t>
            </w:r>
            <w:proofErr w:type="spellEnd"/>
            <w:r w:rsidRPr="007131C1">
              <w:rPr>
                <w:rFonts w:ascii="Lucida Bright" w:hAnsi="Lucida Bright" w:cs="Calibri"/>
                <w:color w:val="000000"/>
                <w:sz w:val="14"/>
                <w:szCs w:val="14"/>
                <w:lang w:val="es-ES"/>
              </w:rPr>
              <w:t xml:space="preserve"> del </w:t>
            </w:r>
            <w:proofErr w:type="spellStart"/>
            <w:r w:rsidRPr="007131C1">
              <w:rPr>
                <w:rFonts w:ascii="Lucida Bright" w:hAnsi="Lucida Bright" w:cs="Calibri"/>
                <w:color w:val="000000"/>
                <w:sz w:val="14"/>
                <w:szCs w:val="14"/>
                <w:lang w:val="es-ES"/>
              </w:rPr>
              <w:t>Cos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Nou</w:t>
            </w:r>
            <w:proofErr w:type="spellEnd"/>
            <w:r w:rsidRPr="007131C1">
              <w:rPr>
                <w:rFonts w:ascii="Lucida Bright" w:hAnsi="Lucida Bright" w:cs="Calibri"/>
                <w:color w:val="000000"/>
                <w:sz w:val="14"/>
                <w:szCs w:val="14"/>
                <w:lang w:val="es-ES"/>
              </w:rPr>
              <w:t xml:space="preserve"> del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213.833,53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31/12/2037</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36.21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Contrato de colaboración en I+D entre la Autoridad Portuaria de Baleares y la </w:t>
            </w:r>
            <w:proofErr w:type="spellStart"/>
            <w:r w:rsidRPr="007131C1">
              <w:rPr>
                <w:rFonts w:ascii="Lucida Bright" w:hAnsi="Lucida Bright" w:cs="Calibri"/>
                <w:color w:val="000000"/>
                <w:sz w:val="14"/>
                <w:szCs w:val="14"/>
                <w:lang w:val="es-ES"/>
              </w:rPr>
              <w:t>Universitat</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Politècnica</w:t>
            </w:r>
            <w:proofErr w:type="spellEnd"/>
            <w:r w:rsidRPr="007131C1">
              <w:rPr>
                <w:rFonts w:ascii="Lucida Bright" w:hAnsi="Lucida Bright" w:cs="Calibri"/>
                <w:color w:val="000000"/>
                <w:sz w:val="14"/>
                <w:szCs w:val="14"/>
                <w:lang w:val="es-ES"/>
              </w:rPr>
              <w:t xml:space="preserve"> de Catalunya para el DESARROLLO DE UN PLAN DE ADAPTACION AL CAMBIO CLIMÁTICO PARA LOS PUERTOS DE LA AUTORIDAD PORTUARIA DE BALEARES</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49.200,00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1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40.17 (LOTE3)</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proofErr w:type="spellStart"/>
            <w:r w:rsidRPr="007131C1">
              <w:rPr>
                <w:rFonts w:ascii="Lucida Bright" w:hAnsi="Lucida Bright" w:cs="Calibri"/>
                <w:color w:val="000000"/>
                <w:sz w:val="14"/>
                <w:szCs w:val="14"/>
                <w:lang w:val="es-ES"/>
              </w:rPr>
              <w:t>A.T.para</w:t>
            </w:r>
            <w:proofErr w:type="spellEnd"/>
            <w:r w:rsidRPr="007131C1">
              <w:rPr>
                <w:rFonts w:ascii="Lucida Bright" w:hAnsi="Lucida Bright" w:cs="Calibri"/>
                <w:color w:val="000000"/>
                <w:sz w:val="14"/>
                <w:szCs w:val="14"/>
                <w:lang w:val="es-ES"/>
              </w:rPr>
              <w:t xml:space="preserve"> la redacción del proyecto y dirección de obra de los proyectos de rehabilitación de las infraestructuras de atraque en los muelles </w:t>
            </w:r>
            <w:proofErr w:type="spellStart"/>
            <w:r w:rsidRPr="007131C1">
              <w:rPr>
                <w:rFonts w:ascii="Lucida Bright" w:hAnsi="Lucida Bright" w:cs="Calibri"/>
                <w:color w:val="000000"/>
                <w:sz w:val="14"/>
                <w:szCs w:val="14"/>
                <w:lang w:val="es-ES"/>
              </w:rPr>
              <w:t>Paraires</w:t>
            </w:r>
            <w:proofErr w:type="spellEnd"/>
            <w:r w:rsidRPr="007131C1">
              <w:rPr>
                <w:rFonts w:ascii="Lucida Bright" w:hAnsi="Lucida Bright" w:cs="Calibri"/>
                <w:color w:val="000000"/>
                <w:sz w:val="14"/>
                <w:szCs w:val="14"/>
                <w:lang w:val="es-ES"/>
              </w:rPr>
              <w:t xml:space="preserve"> y Poniente Sur alin.1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7.469,81</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85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52.21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ENCARGO AL CENTRO DE ESTUDIOS Y EXPERIMENTACIÓN DE OBRAS PÚBLICAS O.A. Y M.P. (CEDEX) PARA LA REALIZACIÓN DE UNA VALORACIÓN GLOBAL DE LOS INFORMES REALIZADOS PARA EL ESTUDIO DEL ESTADO DE CORROSIÓN DEL DIQUE BOTAFOC, EN EL PUERTO DE IBIZA.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11.312,00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70.18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Mejora del puesto de inspección al pasajero en la EM del Puerto de Alcudia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45.470,98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30"/>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93.19 (LOTE1)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Adquisición de barreras de contención en los puertos de Palma,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y Mao. Lote 1.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97.407,00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0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93.19 (LOTE3)</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Adquisición de barreras de contención en los puertos de Palma,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y Mao. Lote 3.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125.440,80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4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06.15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Mejora de la pavimentación de la acera del lado mar del camino de la escollera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325.276,31</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6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28.20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el levantamiento topográfico y redacción del proyecto de actualización y mejora de las redes de pluviales y residuales de los puertos de la APB</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245.685,39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9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1344</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redacción de los proyectos constructivos y la correspondiente tramitación ambiental de los nuevos atraques y explanadas para el </w:t>
            </w:r>
            <w:r w:rsidR="00DD448C" w:rsidRPr="007131C1">
              <w:rPr>
                <w:rFonts w:ascii="Lucida Bright" w:hAnsi="Lucida Bright" w:cs="Calibri"/>
                <w:color w:val="000000"/>
                <w:sz w:val="14"/>
                <w:szCs w:val="14"/>
                <w:lang w:val="es-ES"/>
              </w:rPr>
              <w:t>tráfico</w:t>
            </w:r>
            <w:r w:rsidRPr="007131C1">
              <w:rPr>
                <w:rFonts w:ascii="Lucida Bright" w:hAnsi="Lucida Bright" w:cs="Calibri"/>
                <w:color w:val="000000"/>
                <w:sz w:val="14"/>
                <w:szCs w:val="14"/>
                <w:lang w:val="es-ES"/>
              </w:rPr>
              <w:t xml:space="preserve"> de </w:t>
            </w:r>
            <w:proofErr w:type="spellStart"/>
            <w:r w:rsidRPr="007131C1">
              <w:rPr>
                <w:rFonts w:ascii="Lucida Bright" w:hAnsi="Lucida Bright" w:cs="Calibri"/>
                <w:color w:val="000000"/>
                <w:sz w:val="14"/>
                <w:szCs w:val="14"/>
                <w:lang w:val="es-ES"/>
              </w:rPr>
              <w:t>ferrys</w:t>
            </w:r>
            <w:proofErr w:type="spellEnd"/>
            <w:r w:rsidRPr="007131C1">
              <w:rPr>
                <w:rFonts w:ascii="Lucida Bright" w:hAnsi="Lucida Bright" w:cs="Calibri"/>
                <w:color w:val="000000"/>
                <w:sz w:val="14"/>
                <w:szCs w:val="14"/>
                <w:lang w:val="es-ES"/>
              </w:rPr>
              <w:t xml:space="preserve"> en el dique del Oeste</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233.267,39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0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55.20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Estudio de micro simulación de los efectos en el </w:t>
            </w:r>
            <w:r w:rsidR="00DD448C" w:rsidRPr="007131C1">
              <w:rPr>
                <w:rFonts w:ascii="Lucida Bright" w:hAnsi="Lucida Bright" w:cs="Calibri"/>
                <w:color w:val="000000"/>
                <w:sz w:val="14"/>
                <w:szCs w:val="14"/>
                <w:lang w:val="es-ES"/>
              </w:rPr>
              <w:t>tráfico</w:t>
            </w:r>
            <w:r w:rsidRPr="007131C1">
              <w:rPr>
                <w:rFonts w:ascii="Lucida Bright" w:hAnsi="Lucida Bright" w:cs="Calibri"/>
                <w:color w:val="000000"/>
                <w:sz w:val="14"/>
                <w:szCs w:val="14"/>
                <w:lang w:val="es-ES"/>
              </w:rPr>
              <w:t xml:space="preserve"> de la reducción de un carril en la capacidad del paseo Marítimo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4.633,22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55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33.18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Nuevos recintos para el control de pasaportes en las estaciones marítimas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57.799,00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57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68.20</w:t>
            </w:r>
          </w:p>
        </w:tc>
        <w:tc>
          <w:tcPr>
            <w:tcW w:w="1866" w:type="pct"/>
            <w:gridSpan w:val="3"/>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Nueva instalación fotovoltaica para el faro </w:t>
            </w:r>
            <w:proofErr w:type="spellStart"/>
            <w:r w:rsidRPr="007131C1">
              <w:rPr>
                <w:rFonts w:ascii="Lucida Bright" w:hAnsi="Lucida Bright" w:cs="Calibri"/>
                <w:color w:val="000000"/>
                <w:sz w:val="14"/>
                <w:szCs w:val="14"/>
                <w:lang w:val="es-ES"/>
              </w:rPr>
              <w:t>dels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Penjats</w:t>
            </w:r>
            <w:proofErr w:type="spellEnd"/>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7.454,08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52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49.20</w:t>
            </w:r>
          </w:p>
        </w:tc>
        <w:tc>
          <w:tcPr>
            <w:tcW w:w="1866" w:type="pct"/>
            <w:gridSpan w:val="3"/>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Reposición de la baliza de punta de </w:t>
            </w:r>
            <w:proofErr w:type="spellStart"/>
            <w:r w:rsidRPr="007131C1">
              <w:rPr>
                <w:rFonts w:ascii="Lucida Bright" w:hAnsi="Lucida Bright" w:cs="Calibri"/>
                <w:color w:val="000000"/>
                <w:sz w:val="14"/>
                <w:szCs w:val="14"/>
                <w:lang w:val="es-ES"/>
              </w:rPr>
              <w:t>s'Espero</w:t>
            </w:r>
            <w:proofErr w:type="spellEnd"/>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59.895,00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4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84.20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Adquisición de equipos luminosos para la marca lateral de babor 34540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5.989,50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9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26.19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Suministro y montaje de sistema de compensación de marea para barrera flotante y lonas de protección para carrete y equipo hidráulico en el puerto de Alcudia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19.987,24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7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88.20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Sustitución de la linterna del faro de </w:t>
            </w:r>
            <w:proofErr w:type="spellStart"/>
            <w:r w:rsidRPr="007131C1">
              <w:rPr>
                <w:rFonts w:ascii="Lucida Bright" w:hAnsi="Lucida Bright" w:cs="Calibri"/>
                <w:color w:val="000000"/>
                <w:sz w:val="14"/>
                <w:szCs w:val="14"/>
                <w:lang w:val="es-ES"/>
              </w:rPr>
              <w:t>Tramuntana</w:t>
            </w:r>
            <w:proofErr w:type="spellEnd"/>
            <w:r w:rsidRPr="007131C1">
              <w:rPr>
                <w:rFonts w:ascii="Lucida Bright" w:hAnsi="Lucida Bright" w:cs="Calibri"/>
                <w:color w:val="000000"/>
                <w:sz w:val="14"/>
                <w:szCs w:val="14"/>
                <w:lang w:val="es-ES"/>
              </w:rPr>
              <w:t xml:space="preserve"> en la isla de </w:t>
            </w:r>
            <w:proofErr w:type="spellStart"/>
            <w:r w:rsidRPr="007131C1">
              <w:rPr>
                <w:rFonts w:ascii="Lucida Bright" w:hAnsi="Lucida Bright" w:cs="Calibri"/>
                <w:color w:val="000000"/>
                <w:sz w:val="14"/>
                <w:szCs w:val="14"/>
                <w:lang w:val="es-ES"/>
              </w:rPr>
              <w:t>Dragonera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88.100,10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0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86.20</w:t>
            </w:r>
          </w:p>
        </w:tc>
        <w:tc>
          <w:tcPr>
            <w:tcW w:w="1866" w:type="pct"/>
            <w:gridSpan w:val="3"/>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Nuevo grupo electrógeno para el faro de Cala Figuera</w:t>
            </w:r>
          </w:p>
        </w:tc>
        <w:tc>
          <w:tcPr>
            <w:tcW w:w="460" w:type="pct"/>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15.719,88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0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93.20</w:t>
            </w:r>
          </w:p>
        </w:tc>
        <w:tc>
          <w:tcPr>
            <w:tcW w:w="2326" w:type="pct"/>
            <w:gridSpan w:val="4"/>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del parque infantil en la dársena del Molinar de Levante</w:t>
            </w:r>
          </w:p>
        </w:tc>
        <w:tc>
          <w:tcPr>
            <w:tcW w:w="100" w:type="pct"/>
            <w:tcBorders>
              <w:top w:val="nil"/>
              <w:left w:val="nil"/>
              <w:bottom w:val="nil"/>
              <w:right w:val="single" w:sz="8" w:space="0" w:color="auto"/>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155.652,22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7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100.20</w:t>
            </w:r>
          </w:p>
        </w:tc>
        <w:tc>
          <w:tcPr>
            <w:tcW w:w="1866" w:type="pct"/>
            <w:gridSpan w:val="3"/>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Sustitución de las baterías del faro de la Isla del Aire</w:t>
            </w: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33.174,36</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0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19.21 (LOTE1)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 las dependencias del Cuerpo Nacional de Policía y de la Guardia Civil en la Estación Marítima n.2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43.475,88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20"/>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19.21 (LOTE2)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 las dependencias del Cuerpo Nacional de Policía y de la Guardia Civil en la Estación Marítima n.2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8.008,29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4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27.21</w:t>
            </w:r>
          </w:p>
        </w:tc>
        <w:tc>
          <w:tcPr>
            <w:tcW w:w="2326" w:type="pct"/>
            <w:gridSpan w:val="4"/>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Sustitución de la marca lateral de babor de la bocana del Molinar</w:t>
            </w: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7.150,00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32.21</w:t>
            </w:r>
          </w:p>
        </w:tc>
        <w:tc>
          <w:tcPr>
            <w:tcW w:w="2326" w:type="pct"/>
            <w:gridSpan w:val="4"/>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Colocación de defensas en el Muelle de Levante del puerto de </w:t>
            </w:r>
            <w:proofErr w:type="spellStart"/>
            <w:r w:rsidRPr="007131C1">
              <w:rPr>
                <w:rFonts w:ascii="Lucida Bright" w:hAnsi="Lucida Bright" w:cs="Calibri"/>
                <w:color w:val="000000"/>
                <w:sz w:val="14"/>
                <w:szCs w:val="14"/>
                <w:lang w:val="es-ES"/>
              </w:rPr>
              <w:t>Eivissa</w:t>
            </w:r>
            <w:proofErr w:type="spellEnd"/>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18.400,00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3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53.21</w:t>
            </w:r>
          </w:p>
        </w:tc>
        <w:tc>
          <w:tcPr>
            <w:tcW w:w="1866" w:type="pct"/>
            <w:gridSpan w:val="3"/>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Sustitución de las baterías del faro Den </w:t>
            </w:r>
            <w:proofErr w:type="spellStart"/>
            <w:r w:rsidRPr="007131C1">
              <w:rPr>
                <w:rFonts w:ascii="Lucida Bright" w:hAnsi="Lucida Bright" w:cs="Calibri"/>
                <w:color w:val="000000"/>
                <w:sz w:val="14"/>
                <w:szCs w:val="14"/>
                <w:lang w:val="es-ES"/>
              </w:rPr>
              <w:t>Pou</w:t>
            </w:r>
            <w:proofErr w:type="spellEnd"/>
          </w:p>
        </w:tc>
        <w:tc>
          <w:tcPr>
            <w:tcW w:w="460" w:type="pct"/>
            <w:tcBorders>
              <w:top w:val="nil"/>
              <w:left w:val="nil"/>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8.570,64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1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1079-G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Acondicionamiento y mejora estructural del atraque de Levante del Muelle de pasajeros</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2.079,04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9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instalación y monitorización de tres puertas correderas para acceso a la zona restringida del muelle de cruceros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11.809,44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7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1091-G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Actuaciones para la mejora de la eficiencia energética del alumbrado público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741.157,29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3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1097-G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Mejora de la urbanización de las calles Teodoro </w:t>
            </w:r>
            <w:proofErr w:type="spellStart"/>
            <w:r w:rsidRPr="007131C1">
              <w:rPr>
                <w:rFonts w:ascii="Lucida Bright" w:hAnsi="Lucida Bright" w:cs="Calibri"/>
                <w:color w:val="000000"/>
                <w:sz w:val="14"/>
                <w:szCs w:val="14"/>
                <w:lang w:val="es-ES"/>
              </w:rPr>
              <w:t>Canet</w:t>
            </w:r>
            <w:proofErr w:type="spellEnd"/>
            <w:r w:rsidRPr="007131C1">
              <w:rPr>
                <w:rFonts w:ascii="Lucida Bright" w:hAnsi="Lucida Bright" w:cs="Calibri"/>
                <w:color w:val="000000"/>
                <w:sz w:val="14"/>
                <w:szCs w:val="14"/>
                <w:lang w:val="es-ES"/>
              </w:rPr>
              <w:t xml:space="preserve"> y Gabriel Roca en el puerto de </w:t>
            </w:r>
            <w:proofErr w:type="spellStart"/>
            <w:r w:rsidRPr="007131C1">
              <w:rPr>
                <w:rFonts w:ascii="Lucida Bright" w:hAnsi="Lucida Bright" w:cs="Calibri"/>
                <w:color w:val="000000"/>
                <w:sz w:val="14"/>
                <w:szCs w:val="14"/>
                <w:lang w:val="es-ES"/>
              </w:rPr>
              <w:t>Alcúdia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802.725,13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7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11.19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Canalización de servicios en los muelles de </w:t>
            </w:r>
            <w:proofErr w:type="spellStart"/>
            <w:r w:rsidRPr="007131C1">
              <w:rPr>
                <w:rFonts w:ascii="Lucida Bright" w:hAnsi="Lucida Bright" w:cs="Calibri"/>
                <w:color w:val="000000"/>
                <w:sz w:val="14"/>
                <w:szCs w:val="14"/>
                <w:lang w:val="es-ES"/>
              </w:rPr>
              <w:t>Paraires</w:t>
            </w:r>
            <w:proofErr w:type="spellEnd"/>
            <w:r w:rsidRPr="007131C1">
              <w:rPr>
                <w:rFonts w:ascii="Lucida Bright" w:hAnsi="Lucida Bright" w:cs="Calibri"/>
                <w:color w:val="000000"/>
                <w:sz w:val="14"/>
                <w:szCs w:val="14"/>
                <w:lang w:val="es-ES"/>
              </w:rPr>
              <w:t xml:space="preserve"> y de Poniente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203.265,48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125.18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redacción del proyecto básico para la integración puerto-ciudad en la zona del contramuelle </w:t>
            </w:r>
            <w:proofErr w:type="spellStart"/>
            <w:r w:rsidRPr="007131C1">
              <w:rPr>
                <w:rFonts w:ascii="Lucida Bright" w:hAnsi="Lucida Bright" w:cs="Calibri"/>
                <w:color w:val="000000"/>
                <w:sz w:val="14"/>
                <w:szCs w:val="14"/>
                <w:lang w:val="es-ES"/>
              </w:rPr>
              <w:t>Mollet</w:t>
            </w:r>
            <w:proofErr w:type="spellEnd"/>
            <w:r w:rsidRPr="007131C1">
              <w:rPr>
                <w:rFonts w:ascii="Lucida Bright" w:hAnsi="Lucida Bright" w:cs="Calibri"/>
                <w:color w:val="000000"/>
                <w:sz w:val="14"/>
                <w:szCs w:val="14"/>
                <w:lang w:val="es-ES"/>
              </w:rPr>
              <w:t xml:space="preserve"> y redacción del proyecto constructivo de los espacios libres de edificación de los jardines de </w:t>
            </w:r>
            <w:proofErr w:type="spellStart"/>
            <w:r w:rsidRPr="007131C1">
              <w:rPr>
                <w:rFonts w:ascii="Lucida Bright" w:hAnsi="Lucida Bright" w:cs="Calibri"/>
                <w:color w:val="000000"/>
                <w:sz w:val="14"/>
                <w:szCs w:val="14"/>
                <w:lang w:val="es-ES"/>
              </w:rPr>
              <w:t>Sant</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Elm</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50.567,10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9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Actuaciones para la mejora de la operatividad y el entorno  puerto-ciudad en la dársena del Molinar de Levante</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259.383,17</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0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14.19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Sustitución de la antena y su estructura soporte de la estación transmisora DGPS del faro de </w:t>
            </w:r>
            <w:proofErr w:type="spellStart"/>
            <w:r w:rsidRPr="007131C1">
              <w:rPr>
                <w:rFonts w:ascii="Lucida Bright" w:hAnsi="Lucida Bright" w:cs="Calibri"/>
                <w:color w:val="000000"/>
                <w:sz w:val="14"/>
                <w:szCs w:val="14"/>
                <w:lang w:val="es-ES"/>
              </w:rPr>
              <w:t>Maó</w:t>
            </w:r>
            <w:proofErr w:type="spellEnd"/>
            <w:r w:rsidRPr="007131C1">
              <w:rPr>
                <w:rFonts w:ascii="Lucida Bright" w:hAnsi="Lucida Bright" w:cs="Calibri"/>
                <w:color w:val="000000"/>
                <w:sz w:val="14"/>
                <w:szCs w:val="14"/>
                <w:lang w:val="es-ES"/>
              </w:rPr>
              <w:t xml:space="preserve"> en la punta de </w:t>
            </w:r>
            <w:proofErr w:type="spellStart"/>
            <w:r w:rsidRPr="007131C1">
              <w:rPr>
                <w:rFonts w:ascii="Lucida Bright" w:hAnsi="Lucida Bright" w:cs="Calibri"/>
                <w:color w:val="000000"/>
                <w:sz w:val="14"/>
                <w:szCs w:val="14"/>
                <w:lang w:val="es-ES"/>
              </w:rPr>
              <w:t>Sant</w:t>
            </w:r>
            <w:proofErr w:type="spellEnd"/>
            <w:r w:rsidRPr="007131C1">
              <w:rPr>
                <w:rFonts w:ascii="Lucida Bright" w:hAnsi="Lucida Bright" w:cs="Calibri"/>
                <w:color w:val="000000"/>
                <w:sz w:val="14"/>
                <w:szCs w:val="14"/>
                <w:lang w:val="es-ES"/>
              </w:rPr>
              <w:t xml:space="preserve"> Carles</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16.810,75</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8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27.18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la redacción del proyecto constructivo de mejora del entorno puerto-ciudad y de la operatividad en el puerto del Molinar</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7.292,54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82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31.19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y colocación de puertas para el acceso restringido a pantalanes de gestión directa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5.199,98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69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34.19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Nuevo recinto para el aparcamiento de vehículos en la parcela del antiguo economato de marina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154.631,86</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870"/>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40.17 (LOTE2)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redacción del proyecto y dirección de obra de los proyectos de rehabilitación de las estructuras de atraque en los muelles dique Oeste </w:t>
            </w:r>
            <w:proofErr w:type="spellStart"/>
            <w:r w:rsidRPr="007131C1">
              <w:rPr>
                <w:rFonts w:ascii="Lucida Bright" w:hAnsi="Lucida Bright" w:cs="Calibri"/>
                <w:color w:val="000000"/>
                <w:sz w:val="14"/>
                <w:szCs w:val="14"/>
                <w:lang w:val="es-ES"/>
              </w:rPr>
              <w:t>alin</w:t>
            </w:r>
            <w:proofErr w:type="spellEnd"/>
            <w:r w:rsidRPr="007131C1">
              <w:rPr>
                <w:rFonts w:ascii="Lucida Bright" w:hAnsi="Lucida Bright" w:cs="Calibri"/>
                <w:color w:val="000000"/>
                <w:sz w:val="14"/>
                <w:szCs w:val="14"/>
                <w:lang w:val="es-ES"/>
              </w:rPr>
              <w:t>. 2 y Ribera San Carlos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31.468,58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95"/>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40.17 (LOTE1)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la redacción del proyecto y dirección de obra de los proyectos de rehabilitación de las infraestructuras de atraque en el muelle adosado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8.084,60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87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52.18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la redacción del proyecto constructivo y dirección de obra para la remodelación urbanística del paseo marítimo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44.858,78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930"/>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56.18 (LOTE2)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proofErr w:type="spellStart"/>
            <w:r w:rsidRPr="007131C1">
              <w:rPr>
                <w:rFonts w:ascii="Lucida Bright" w:hAnsi="Lucida Bright" w:cs="Calibri"/>
                <w:color w:val="000000"/>
                <w:sz w:val="14"/>
                <w:szCs w:val="14"/>
                <w:lang w:val="es-ES"/>
              </w:rPr>
              <w:t>A.T.a</w:t>
            </w:r>
            <w:proofErr w:type="spellEnd"/>
            <w:r w:rsidRPr="007131C1">
              <w:rPr>
                <w:rFonts w:ascii="Lucida Bright" w:hAnsi="Lucida Bright" w:cs="Calibri"/>
                <w:color w:val="000000"/>
                <w:sz w:val="14"/>
                <w:szCs w:val="14"/>
                <w:lang w:val="es-ES"/>
              </w:rPr>
              <w:t xml:space="preserve"> la dirección de obra de “Acondicionamiento de viales y zonas peatonales de acceso al puerto de la </w:t>
            </w:r>
            <w:proofErr w:type="spellStart"/>
            <w:r w:rsidRPr="007131C1">
              <w:rPr>
                <w:rFonts w:ascii="Lucida Bright" w:hAnsi="Lucida Bright" w:cs="Calibri"/>
                <w:color w:val="000000"/>
                <w:sz w:val="14"/>
                <w:szCs w:val="14"/>
                <w:lang w:val="es-ES"/>
              </w:rPr>
              <w:t>Savina</w:t>
            </w:r>
            <w:proofErr w:type="spellEnd"/>
            <w:r w:rsidRPr="007131C1">
              <w:rPr>
                <w:rFonts w:ascii="Lucida Bright" w:hAnsi="Lucida Bright" w:cs="Calibri"/>
                <w:color w:val="000000"/>
                <w:sz w:val="14"/>
                <w:szCs w:val="14"/>
                <w:lang w:val="es-ES"/>
              </w:rPr>
              <w:t>(P.O.1085-G)</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70.722,04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900"/>
        </w:trPr>
        <w:tc>
          <w:tcPr>
            <w:tcW w:w="875" w:type="pct"/>
            <w:tcBorders>
              <w:top w:val="nil"/>
              <w:left w:val="single" w:sz="8" w:space="0" w:color="auto"/>
              <w:bottom w:val="nil"/>
              <w:right w:val="nil"/>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56.18 (LOTE3)</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a la Dirección de obra de Estación Marítima en Explanada y Muelles Comerciales al abrigo del Dique de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(P.O. 1087-G)</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130.514,93</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6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64.18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Prolongación del muelle de </w:t>
            </w:r>
            <w:proofErr w:type="spellStart"/>
            <w:r w:rsidRPr="007131C1">
              <w:rPr>
                <w:rFonts w:ascii="Lucida Bright" w:hAnsi="Lucida Bright" w:cs="Calibri"/>
                <w:color w:val="000000"/>
                <w:sz w:val="14"/>
                <w:szCs w:val="14"/>
                <w:lang w:val="es-ES"/>
              </w:rPr>
              <w:t>Ses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Figuerasses</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38.389,57</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8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78.19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Protección de la banqueta del muelle de transición en la ampliación del muelle de Poniente Norte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85.768,49</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81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77.19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Actuaciones para la estabilización del acantilado de </w:t>
            </w:r>
            <w:proofErr w:type="spellStart"/>
            <w:r w:rsidRPr="007131C1">
              <w:rPr>
                <w:rFonts w:ascii="Lucida Bright" w:hAnsi="Lucida Bright" w:cs="Calibri"/>
                <w:color w:val="000000"/>
                <w:sz w:val="14"/>
                <w:szCs w:val="14"/>
                <w:lang w:val="es-ES"/>
              </w:rPr>
              <w:t>Ses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Figuerasses</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311.466,85</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79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82.18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Instalación de un sistema de control de accesos para vehículos al área de operación en la estación marítima nº6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12.135,51</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82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84.18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Sistema de monitorización de la calidad del aire de los puertos de la APB</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39.260,27</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82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90.18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Acondicionamiento y reparación del muelle des </w:t>
            </w:r>
            <w:proofErr w:type="spellStart"/>
            <w:r w:rsidRPr="007131C1">
              <w:rPr>
                <w:rFonts w:ascii="Lucida Bright" w:hAnsi="Lucida Bright" w:cs="Calibri"/>
                <w:color w:val="000000"/>
                <w:sz w:val="14"/>
                <w:szCs w:val="14"/>
                <w:lang w:val="es-ES"/>
              </w:rPr>
              <w:t>Jonquet</w:t>
            </w:r>
            <w:proofErr w:type="spellEnd"/>
            <w:r w:rsidRPr="007131C1">
              <w:rPr>
                <w:rFonts w:ascii="Lucida Bright" w:hAnsi="Lucida Bright" w:cs="Calibri"/>
                <w:color w:val="000000"/>
                <w:sz w:val="14"/>
                <w:szCs w:val="14"/>
                <w:lang w:val="es-ES"/>
              </w:rPr>
              <w:t xml:space="preserve"> del </w:t>
            </w:r>
            <w:proofErr w:type="spellStart"/>
            <w:r w:rsidRPr="007131C1">
              <w:rPr>
                <w:rFonts w:ascii="Lucida Bright" w:hAnsi="Lucida Bright" w:cs="Calibri"/>
                <w:color w:val="000000"/>
                <w:sz w:val="14"/>
                <w:szCs w:val="14"/>
                <w:lang w:val="es-ES"/>
              </w:rPr>
              <w:t>Cos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Nou</w:t>
            </w:r>
            <w:proofErr w:type="spellEnd"/>
            <w:r w:rsidRPr="007131C1">
              <w:rPr>
                <w:rFonts w:ascii="Lucida Bright" w:hAnsi="Lucida Bright" w:cs="Calibri"/>
                <w:color w:val="000000"/>
                <w:sz w:val="14"/>
                <w:szCs w:val="14"/>
                <w:lang w:val="es-ES"/>
              </w:rPr>
              <w:t xml:space="preserve"> del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19.989,34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98.17</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Sustitución de la tubería de agua potable en galería de servicios y tendido de la red de Media Tensión en una nueva canalización en el dique del Oeste y el muelle de Ribera de San Carlos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134.207,17</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930"/>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Actuaciones para la mejora de la eficiencia energética del alumbrado </w:t>
            </w:r>
            <w:r w:rsidR="00DD448C" w:rsidRPr="007131C1">
              <w:rPr>
                <w:rFonts w:ascii="Lucida Bright" w:hAnsi="Lucida Bright" w:cs="Calibri"/>
                <w:color w:val="000000"/>
                <w:sz w:val="14"/>
                <w:szCs w:val="14"/>
                <w:lang w:val="es-ES"/>
              </w:rPr>
              <w:t>público</w:t>
            </w:r>
            <w:r w:rsidRPr="007131C1">
              <w:rPr>
                <w:rFonts w:ascii="Lucida Bright" w:hAnsi="Lucida Bright" w:cs="Calibri"/>
                <w:color w:val="000000"/>
                <w:sz w:val="14"/>
                <w:szCs w:val="14"/>
                <w:lang w:val="es-ES"/>
              </w:rPr>
              <w:t xml:space="preserve"> en 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13.916,10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31/12/2036</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225"/>
        </w:trPr>
        <w:tc>
          <w:tcPr>
            <w:tcW w:w="875" w:type="pct"/>
            <w:tcBorders>
              <w:top w:val="nil"/>
              <w:left w:val="single" w:sz="8" w:space="0" w:color="auto"/>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115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c>
          <w:tcPr>
            <w:tcW w:w="540" w:type="pct"/>
            <w:tcBorders>
              <w:top w:val="nil"/>
              <w:left w:val="single" w:sz="8" w:space="0" w:color="auto"/>
              <w:bottom w:val="nil"/>
              <w:right w:val="single" w:sz="8" w:space="0" w:color="auto"/>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14.20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Mejora de canalizaciones pluviales en diversas dependencias del Muelle Comercial del puerto de Mao</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6.090,00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1091-G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Actuaciones para la mejora de la eficiencia energética del alumbrado público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389.333,28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1092-G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 superficies en el Muelle Ribera del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84.591,22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1093-G</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Pantalanes para embarcaciones deportivas en Cala </w:t>
            </w:r>
            <w:proofErr w:type="spellStart"/>
            <w:r w:rsidRPr="007131C1">
              <w:rPr>
                <w:rFonts w:ascii="Lucida Bright" w:hAnsi="Lucida Bright" w:cs="Calibri"/>
                <w:color w:val="000000"/>
                <w:sz w:val="14"/>
                <w:szCs w:val="14"/>
                <w:lang w:val="es-ES"/>
              </w:rPr>
              <w:t>Corb</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348.853,74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110.18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e instalación de trenes de fondeo para embarcaciones recreativas en el muelle de </w:t>
            </w:r>
            <w:proofErr w:type="spellStart"/>
            <w:r w:rsidRPr="007131C1">
              <w:rPr>
                <w:rFonts w:ascii="Lucida Bright" w:hAnsi="Lucida Bright" w:cs="Calibri"/>
                <w:color w:val="000000"/>
                <w:sz w:val="14"/>
                <w:szCs w:val="14"/>
                <w:lang w:val="es-ES"/>
              </w:rPr>
              <w:t>Ses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Figuerasses</w:t>
            </w:r>
            <w:proofErr w:type="spellEnd"/>
            <w:r w:rsidRPr="007131C1">
              <w:rPr>
                <w:rFonts w:ascii="Lucida Bright" w:hAnsi="Lucida Bright" w:cs="Calibri"/>
                <w:color w:val="000000"/>
                <w:sz w:val="14"/>
                <w:szCs w:val="14"/>
                <w:lang w:val="es-ES"/>
              </w:rPr>
              <w:t xml:space="preserve"> y la pasarela de Cala </w:t>
            </w:r>
            <w:proofErr w:type="spellStart"/>
            <w:r w:rsidRPr="007131C1">
              <w:rPr>
                <w:rFonts w:ascii="Lucida Bright" w:hAnsi="Lucida Bright" w:cs="Calibri"/>
                <w:color w:val="000000"/>
                <w:sz w:val="14"/>
                <w:szCs w:val="14"/>
                <w:lang w:val="es-ES"/>
              </w:rPr>
              <w:t>Corb</w:t>
            </w:r>
            <w:proofErr w:type="spellEnd"/>
            <w:r w:rsidRPr="007131C1">
              <w:rPr>
                <w:rFonts w:ascii="Lucida Bright" w:hAnsi="Lucida Bright" w:cs="Calibri"/>
                <w:color w:val="000000"/>
                <w:sz w:val="14"/>
                <w:szCs w:val="14"/>
                <w:lang w:val="es-ES"/>
              </w:rPr>
              <w:t xml:space="preserve"> del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216.469,54</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122.18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Mejora y adecuación del itinerario peatonal en el interior de los muelles de Poniente y de </w:t>
            </w:r>
            <w:proofErr w:type="spellStart"/>
            <w:r w:rsidRPr="007131C1">
              <w:rPr>
                <w:rFonts w:ascii="Lucida Bright" w:hAnsi="Lucida Bright" w:cs="Calibri"/>
                <w:color w:val="000000"/>
                <w:sz w:val="14"/>
                <w:szCs w:val="14"/>
                <w:lang w:val="es-ES"/>
              </w:rPr>
              <w:t>Paraires</w:t>
            </w:r>
            <w:proofErr w:type="spellEnd"/>
            <w:r w:rsidRPr="007131C1">
              <w:rPr>
                <w:rFonts w:ascii="Lucida Bright" w:hAnsi="Lucida Bright" w:cs="Calibri"/>
                <w:color w:val="000000"/>
                <w:sz w:val="14"/>
                <w:szCs w:val="14"/>
                <w:lang w:val="es-ES"/>
              </w:rPr>
              <w:t xml:space="preserve">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31.545,41</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129.18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del cerramiento de acceso y de la barandilla en el paseo lado mar del Dique del Oeste y en el torrente de </w:t>
            </w:r>
            <w:proofErr w:type="spellStart"/>
            <w:r w:rsidRPr="007131C1">
              <w:rPr>
                <w:rFonts w:ascii="Lucida Bright" w:hAnsi="Lucida Bright" w:cs="Calibri"/>
                <w:color w:val="000000"/>
                <w:sz w:val="14"/>
                <w:szCs w:val="14"/>
                <w:lang w:val="es-ES"/>
              </w:rPr>
              <w:t>Sa</w:t>
            </w:r>
            <w:proofErr w:type="spellEnd"/>
            <w:r w:rsidRPr="007131C1">
              <w:rPr>
                <w:rFonts w:ascii="Lucida Bright" w:hAnsi="Lucida Bright" w:cs="Calibri"/>
                <w:color w:val="000000"/>
                <w:sz w:val="14"/>
                <w:szCs w:val="14"/>
                <w:lang w:val="es-ES"/>
              </w:rPr>
              <w:t xml:space="preserve"> Riera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489.803,08</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Actuaciones para la mejora de la operatividad y el entorno puerto-ciudad del Molinar</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1.646.487,60</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1336</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sz w:val="14"/>
                <w:szCs w:val="14"/>
                <w:lang w:val="es-ES"/>
              </w:rPr>
            </w:pPr>
            <w:r w:rsidRPr="007131C1">
              <w:rPr>
                <w:rFonts w:ascii="Lucida Bright" w:hAnsi="Lucida Bright" w:cs="Calibri"/>
                <w:sz w:val="14"/>
                <w:szCs w:val="14"/>
                <w:lang w:val="es-ES"/>
              </w:rPr>
              <w:t>Infraestructuras eléctricas para la conexión eléctrica de los buques a tierra en 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17.560,62</w:t>
            </w:r>
          </w:p>
        </w:tc>
        <w:tc>
          <w:tcPr>
            <w:tcW w:w="540" w:type="pct"/>
            <w:tcBorders>
              <w:top w:val="nil"/>
              <w:left w:val="single" w:sz="8"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1339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sz w:val="14"/>
                <w:szCs w:val="14"/>
                <w:lang w:val="es-ES"/>
              </w:rPr>
            </w:pPr>
            <w:r w:rsidRPr="007131C1">
              <w:rPr>
                <w:rFonts w:ascii="Lucida Bright" w:hAnsi="Lucida Bright" w:cs="Calibri"/>
                <w:sz w:val="14"/>
                <w:szCs w:val="14"/>
                <w:lang w:val="es-ES"/>
              </w:rPr>
              <w:t xml:space="preserve">Refuerzo de banqueta y acondicionamiento estructural de los Muelles de </w:t>
            </w:r>
            <w:proofErr w:type="spellStart"/>
            <w:r w:rsidRPr="007131C1">
              <w:rPr>
                <w:rFonts w:ascii="Lucida Bright" w:hAnsi="Lucida Bright" w:cs="Calibri"/>
                <w:sz w:val="14"/>
                <w:szCs w:val="14"/>
                <w:lang w:val="es-ES"/>
              </w:rPr>
              <w:t>Paraires</w:t>
            </w:r>
            <w:proofErr w:type="spellEnd"/>
            <w:r w:rsidRPr="007131C1">
              <w:rPr>
                <w:rFonts w:ascii="Lucida Bright" w:hAnsi="Lucida Bright" w:cs="Calibri"/>
                <w:sz w:val="14"/>
                <w:szCs w:val="14"/>
                <w:lang w:val="es-ES"/>
              </w:rPr>
              <w:t xml:space="preserve"> y Poniente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18.151,26</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1342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Modificación de las pasarelas fijas en los Muelles de Poniente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40.840,34</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16.19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sz w:val="14"/>
                <w:szCs w:val="14"/>
                <w:lang w:val="es-ES"/>
              </w:rPr>
            </w:pPr>
            <w:r w:rsidRPr="007131C1">
              <w:rPr>
                <w:rFonts w:ascii="Lucida Bright" w:hAnsi="Lucida Bright" w:cs="Calibri"/>
                <w:sz w:val="14"/>
                <w:szCs w:val="14"/>
                <w:lang w:val="es-ES"/>
              </w:rPr>
              <w:t xml:space="preserve">Puerto-ciudad en la dársena del Molinar de Levante  </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187.562,74</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20.12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del recinto controlado del puerto de la </w:t>
            </w:r>
            <w:proofErr w:type="spellStart"/>
            <w:r w:rsidRPr="007131C1">
              <w:rPr>
                <w:rFonts w:ascii="Lucida Bright" w:hAnsi="Lucida Bright" w:cs="Calibri"/>
                <w:color w:val="000000"/>
                <w:sz w:val="14"/>
                <w:szCs w:val="14"/>
                <w:lang w:val="es-ES"/>
              </w:rPr>
              <w:t>Savina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29.973,37</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29.20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Acondicionamiento estructural del tramo del carril bici del puente de </w:t>
            </w:r>
            <w:proofErr w:type="spellStart"/>
            <w:r w:rsidRPr="007131C1">
              <w:rPr>
                <w:rFonts w:ascii="Lucida Bright" w:hAnsi="Lucida Bright" w:cs="Calibri"/>
                <w:color w:val="000000"/>
                <w:sz w:val="14"/>
                <w:szCs w:val="14"/>
                <w:lang w:val="es-ES"/>
              </w:rPr>
              <w:t>Sa</w:t>
            </w:r>
            <w:proofErr w:type="spellEnd"/>
            <w:r w:rsidRPr="007131C1">
              <w:rPr>
                <w:rFonts w:ascii="Lucida Bright" w:hAnsi="Lucida Bright" w:cs="Calibri"/>
                <w:color w:val="000000"/>
                <w:sz w:val="14"/>
                <w:szCs w:val="14"/>
                <w:lang w:val="es-ES"/>
              </w:rPr>
              <w:t xml:space="preserve"> Riera en 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30.445,00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31.18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Instalación de un sistema de control de accesos para vehículos en los Muelles Sur del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44.359,68</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32.18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Instalación de puntos de recarga de vehículo eléctrico en el puerto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y La </w:t>
            </w:r>
            <w:proofErr w:type="spellStart"/>
            <w:r w:rsidRPr="007131C1">
              <w:rPr>
                <w:rFonts w:ascii="Lucida Bright" w:hAnsi="Lucida Bright" w:cs="Calibri"/>
                <w:color w:val="000000"/>
                <w:sz w:val="14"/>
                <w:szCs w:val="14"/>
                <w:lang w:val="es-ES"/>
              </w:rPr>
              <w:t>Savina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9.055,36</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32.19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Acondicionamiento estructural de la pasarela de Cales </w:t>
            </w:r>
            <w:proofErr w:type="spellStart"/>
            <w:r w:rsidRPr="007131C1">
              <w:rPr>
                <w:rFonts w:ascii="Lucida Bright" w:hAnsi="Lucida Bright" w:cs="Calibri"/>
                <w:color w:val="000000"/>
                <w:sz w:val="14"/>
                <w:szCs w:val="14"/>
                <w:lang w:val="es-ES"/>
              </w:rPr>
              <w:t>Fonts</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93.246,19</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33.19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Plataforma adosada al muelle Testero del Martillo en 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131.778,90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37.18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Limpieza de fondos en la dársena del Molinar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2.900,30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39.18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Limpieza de fondos en la dársena comercial del puerto de Alcudia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36.590,07</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47.20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Peatonalización parcial de los viales del </w:t>
            </w:r>
            <w:proofErr w:type="spellStart"/>
            <w:r w:rsidRPr="007131C1">
              <w:rPr>
                <w:rFonts w:ascii="Lucida Bright" w:hAnsi="Lucida Bright" w:cs="Calibri"/>
                <w:color w:val="000000"/>
                <w:sz w:val="14"/>
                <w:szCs w:val="14"/>
                <w:lang w:val="es-ES"/>
              </w:rPr>
              <w:t>Moll</w:t>
            </w:r>
            <w:proofErr w:type="spellEnd"/>
            <w:r w:rsidRPr="007131C1">
              <w:rPr>
                <w:rFonts w:ascii="Lucida Bright" w:hAnsi="Lucida Bright" w:cs="Calibri"/>
                <w:color w:val="000000"/>
                <w:sz w:val="14"/>
                <w:szCs w:val="14"/>
                <w:lang w:val="es-ES"/>
              </w:rPr>
              <w:t xml:space="preserve"> de </w:t>
            </w:r>
            <w:proofErr w:type="spellStart"/>
            <w:r w:rsidRPr="007131C1">
              <w:rPr>
                <w:rFonts w:ascii="Lucida Bright" w:hAnsi="Lucida Bright" w:cs="Calibri"/>
                <w:color w:val="000000"/>
                <w:sz w:val="14"/>
                <w:szCs w:val="14"/>
                <w:lang w:val="es-ES"/>
              </w:rPr>
              <w:t>Llevant</w:t>
            </w:r>
            <w:proofErr w:type="spellEnd"/>
            <w:r w:rsidRPr="007131C1">
              <w:rPr>
                <w:rFonts w:ascii="Lucida Bright" w:hAnsi="Lucida Bright" w:cs="Calibri"/>
                <w:color w:val="000000"/>
                <w:sz w:val="14"/>
                <w:szCs w:val="14"/>
                <w:lang w:val="es-ES"/>
              </w:rPr>
              <w:t xml:space="preserve"> y </w:t>
            </w:r>
            <w:proofErr w:type="spellStart"/>
            <w:r w:rsidRPr="007131C1">
              <w:rPr>
                <w:rFonts w:ascii="Lucida Bright" w:hAnsi="Lucida Bright" w:cs="Calibri"/>
                <w:color w:val="000000"/>
                <w:sz w:val="14"/>
                <w:szCs w:val="14"/>
                <w:lang w:val="es-ES"/>
              </w:rPr>
              <w:t>Moll</w:t>
            </w:r>
            <w:proofErr w:type="spellEnd"/>
            <w:r w:rsidRPr="007131C1">
              <w:rPr>
                <w:rFonts w:ascii="Lucida Bright" w:hAnsi="Lucida Bright" w:cs="Calibri"/>
                <w:color w:val="000000"/>
                <w:sz w:val="14"/>
                <w:szCs w:val="14"/>
                <w:lang w:val="es-ES"/>
              </w:rPr>
              <w:t xml:space="preserve"> de </w:t>
            </w:r>
            <w:proofErr w:type="spellStart"/>
            <w:r w:rsidRPr="007131C1">
              <w:rPr>
                <w:rFonts w:ascii="Lucida Bright" w:hAnsi="Lucida Bright" w:cs="Calibri"/>
                <w:color w:val="000000"/>
                <w:sz w:val="14"/>
                <w:szCs w:val="14"/>
                <w:lang w:val="es-ES"/>
              </w:rPr>
              <w:t>Creuers</w:t>
            </w:r>
            <w:proofErr w:type="spellEnd"/>
            <w:r w:rsidRPr="007131C1">
              <w:rPr>
                <w:rFonts w:ascii="Lucida Bright" w:hAnsi="Lucida Bright" w:cs="Calibri"/>
                <w:color w:val="000000"/>
                <w:sz w:val="14"/>
                <w:szCs w:val="14"/>
                <w:lang w:val="es-ES"/>
              </w:rPr>
              <w:t xml:space="preserve"> en el puerto de Mao, a raíz de la contingencia ocurrida del COVID-19, que ha desencadenado en el Estado de Alarma nacional declarado por el RD 463/202</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150.362,29</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62.20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Trabajos para la ocupación del carril derecho de circulación del Paseo Marítimo de Palma en sentido aeropuerto por desplazamiento del carril bici y aparcamientos</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39.917,26</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64.18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Prolongación del muelle de </w:t>
            </w:r>
            <w:proofErr w:type="spellStart"/>
            <w:r w:rsidRPr="007131C1">
              <w:rPr>
                <w:rFonts w:ascii="Lucida Bright" w:hAnsi="Lucida Bright" w:cs="Calibri"/>
                <w:color w:val="000000"/>
                <w:sz w:val="14"/>
                <w:szCs w:val="14"/>
                <w:lang w:val="es-ES"/>
              </w:rPr>
              <w:t>Ses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Figuerasses</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383.933,63</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68.18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Actualización y mejoras del sistema de control de accesos de la Estación Marítima nº 6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16.779,80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69.18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Adecuación de las salas destinadas a Policía Nacional, Guardia Civil y cuarto de registro de equipajes en la estación marítima nº6 del Puerto de Palma</w:t>
            </w:r>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20.469,42</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71.19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del balizamiento de los puertos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y La </w:t>
            </w:r>
            <w:proofErr w:type="spellStart"/>
            <w:r w:rsidRPr="007131C1">
              <w:rPr>
                <w:rFonts w:ascii="Lucida Bright" w:hAnsi="Lucida Bright" w:cs="Calibri"/>
                <w:color w:val="000000"/>
                <w:sz w:val="14"/>
                <w:szCs w:val="14"/>
                <w:lang w:val="es-ES"/>
              </w:rPr>
              <w:t>Savina</w:t>
            </w:r>
            <w:proofErr w:type="spellEnd"/>
          </w:p>
        </w:tc>
        <w:tc>
          <w:tcPr>
            <w:tcW w:w="1159" w:type="pct"/>
            <w:tcBorders>
              <w:top w:val="nil"/>
              <w:left w:val="nil"/>
              <w:bottom w:val="nil"/>
              <w:right w:val="nil"/>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22.542,30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74.18L1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Renovación de instalaciones de servicios y torretas de suministro en Muelle Viejo, Muelle de tráfico local y Muelle pesquero del puerto de </w:t>
            </w:r>
            <w:proofErr w:type="spellStart"/>
            <w:r w:rsidRPr="007131C1">
              <w:rPr>
                <w:rFonts w:ascii="Lucida Bright" w:hAnsi="Lucida Bright" w:cs="Calibri"/>
                <w:color w:val="000000"/>
                <w:sz w:val="14"/>
                <w:szCs w:val="14"/>
                <w:lang w:val="es-ES"/>
              </w:rPr>
              <w:t>Alcúdia</w:t>
            </w:r>
            <w:proofErr w:type="spellEnd"/>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274.207,64</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74.18L2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Renovación de instalaciones de servicios y torretas de suministro en Muelle Viejo, Muelle de tráfico local y Muelle pesquero del puerto de </w:t>
            </w:r>
            <w:proofErr w:type="spellStart"/>
            <w:r w:rsidRPr="007131C1">
              <w:rPr>
                <w:rFonts w:ascii="Lucida Bright" w:hAnsi="Lucida Bright" w:cs="Calibri"/>
                <w:color w:val="000000"/>
                <w:sz w:val="14"/>
                <w:szCs w:val="14"/>
                <w:lang w:val="es-ES"/>
              </w:rPr>
              <w:t>Alcúdia</w:t>
            </w:r>
            <w:proofErr w:type="spellEnd"/>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104.905,05</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75.18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Nueva red de drenaje y saneo del pavimento del vial de circulación del muelle de Ribera del Puerto de Alcudia</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386.746,41</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77.19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Actuaciones para la estabilización del acantilado de </w:t>
            </w:r>
            <w:proofErr w:type="spellStart"/>
            <w:r w:rsidRPr="007131C1">
              <w:rPr>
                <w:rFonts w:ascii="Lucida Bright" w:hAnsi="Lucida Bright" w:cs="Calibri"/>
                <w:color w:val="000000"/>
                <w:sz w:val="14"/>
                <w:szCs w:val="14"/>
                <w:lang w:val="es-ES"/>
              </w:rPr>
              <w:t>Ses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Figuerasses</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25.289,96</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78.19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Protección de la banqueta del muelle de Transición en la ampliación del muelle de Poniente Norte del puerto de Palma</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17.255,70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82.18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Instalación de un sistema de control de accesos para vehículos al área de operación en la estación marítima nº6 del puerto de Palma</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92.760,80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90.18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Acondicionamiento y reparación del muelle des </w:t>
            </w:r>
            <w:proofErr w:type="spellStart"/>
            <w:r w:rsidRPr="007131C1">
              <w:rPr>
                <w:rFonts w:ascii="Lucida Bright" w:hAnsi="Lucida Bright" w:cs="Calibri"/>
                <w:color w:val="000000"/>
                <w:sz w:val="14"/>
                <w:szCs w:val="14"/>
                <w:lang w:val="es-ES"/>
              </w:rPr>
              <w:t>Jonquet</w:t>
            </w:r>
            <w:proofErr w:type="spellEnd"/>
            <w:r w:rsidRPr="007131C1">
              <w:rPr>
                <w:rFonts w:ascii="Lucida Bright" w:hAnsi="Lucida Bright" w:cs="Calibri"/>
                <w:color w:val="000000"/>
                <w:sz w:val="14"/>
                <w:szCs w:val="14"/>
                <w:lang w:val="es-ES"/>
              </w:rPr>
              <w:t xml:space="preserve"> del </w:t>
            </w:r>
            <w:proofErr w:type="spellStart"/>
            <w:r w:rsidRPr="007131C1">
              <w:rPr>
                <w:rFonts w:ascii="Lucida Bright" w:hAnsi="Lucida Bright" w:cs="Calibri"/>
                <w:color w:val="000000"/>
                <w:sz w:val="14"/>
                <w:szCs w:val="14"/>
                <w:lang w:val="es-ES"/>
              </w:rPr>
              <w:t>Cos</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Nou</w:t>
            </w:r>
            <w:proofErr w:type="spellEnd"/>
            <w:r w:rsidRPr="007131C1">
              <w:rPr>
                <w:rFonts w:ascii="Lucida Bright" w:hAnsi="Lucida Bright" w:cs="Calibri"/>
                <w:color w:val="000000"/>
                <w:sz w:val="14"/>
                <w:szCs w:val="14"/>
                <w:lang w:val="es-ES"/>
              </w:rPr>
              <w:t xml:space="preserve"> del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316.927,25</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98.17</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Sustitución de la tubería de agua potable en galería de servicios y tendido de la red de Media Tensión en una nueva canalización en el Dique del Oeste y el Muelle de Ribera de San Carlos del puerto de Palma</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392.104,26</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126.18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Adecuación de la pasarela nº5 del muelle Ribera de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en 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139.332,17</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40.17L1</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la redacción del proyecto y dirección de obra de los proyectos de rehabilitación de las infraestructuras de atraque en el muelle adosado del Puerto de Palma</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6.063,46</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40.17L2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redacción del proyecto y dirección de obra de los proyectos de rehabilitación de las estructuras de atraque en los muelles Dique del oeste </w:t>
            </w:r>
            <w:proofErr w:type="spellStart"/>
            <w:r w:rsidRPr="007131C1">
              <w:rPr>
                <w:rFonts w:ascii="Lucida Bright" w:hAnsi="Lucida Bright" w:cs="Calibri"/>
                <w:color w:val="000000"/>
                <w:sz w:val="14"/>
                <w:szCs w:val="14"/>
                <w:lang w:val="es-ES"/>
              </w:rPr>
              <w:t>alin</w:t>
            </w:r>
            <w:proofErr w:type="spellEnd"/>
            <w:r w:rsidRPr="007131C1">
              <w:rPr>
                <w:rFonts w:ascii="Lucida Bright" w:hAnsi="Lucida Bright" w:cs="Calibri"/>
                <w:color w:val="000000"/>
                <w:sz w:val="14"/>
                <w:szCs w:val="14"/>
                <w:lang w:val="es-ES"/>
              </w:rPr>
              <w:t>. 2 y Ribera San Carlos Puerto de Palma</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17.269,99</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40.17L3</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proofErr w:type="spellStart"/>
            <w:r w:rsidRPr="007131C1">
              <w:rPr>
                <w:rFonts w:ascii="Lucida Bright" w:hAnsi="Lucida Bright" w:cs="Calibri"/>
                <w:color w:val="000000"/>
                <w:sz w:val="14"/>
                <w:szCs w:val="14"/>
                <w:lang w:val="es-ES"/>
              </w:rPr>
              <w:t>A.T.para</w:t>
            </w:r>
            <w:proofErr w:type="spellEnd"/>
            <w:r w:rsidRPr="007131C1">
              <w:rPr>
                <w:rFonts w:ascii="Lucida Bright" w:hAnsi="Lucida Bright" w:cs="Calibri"/>
                <w:color w:val="000000"/>
                <w:sz w:val="14"/>
                <w:szCs w:val="14"/>
                <w:lang w:val="es-ES"/>
              </w:rPr>
              <w:t xml:space="preserve"> la redacción del proyecto y dirección de obra de los proyectos de rehabilitación de las infraestructuras de atraque en los muelles </w:t>
            </w:r>
            <w:proofErr w:type="spellStart"/>
            <w:r w:rsidRPr="007131C1">
              <w:rPr>
                <w:rFonts w:ascii="Lucida Bright" w:hAnsi="Lucida Bright" w:cs="Calibri"/>
                <w:color w:val="000000"/>
                <w:sz w:val="14"/>
                <w:szCs w:val="14"/>
                <w:lang w:val="es-ES"/>
              </w:rPr>
              <w:t>Paraires</w:t>
            </w:r>
            <w:proofErr w:type="spellEnd"/>
            <w:r w:rsidRPr="007131C1">
              <w:rPr>
                <w:rFonts w:ascii="Lucida Bright" w:hAnsi="Lucida Bright" w:cs="Calibri"/>
                <w:color w:val="000000"/>
                <w:sz w:val="14"/>
                <w:szCs w:val="14"/>
                <w:lang w:val="es-ES"/>
              </w:rPr>
              <w:t xml:space="preserve"> y Poniente Sur alin.1 del Puerto de Palma</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7.469,81</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69.20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redacción del estudio de alternativas para la mejora de la operatividad para el uso pesquero en el Muelle Ro-Ro Sur del puerto de </w:t>
            </w:r>
            <w:proofErr w:type="spellStart"/>
            <w:r w:rsidRPr="007131C1">
              <w:rPr>
                <w:rFonts w:ascii="Lucida Bright" w:hAnsi="Lucida Bright" w:cs="Calibri"/>
                <w:color w:val="000000"/>
                <w:sz w:val="14"/>
                <w:szCs w:val="14"/>
                <w:lang w:val="es-ES"/>
              </w:rPr>
              <w:t>Eivissa</w:t>
            </w:r>
            <w:proofErr w:type="spellEnd"/>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9.768,00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124.15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el estudio de alternativas, tramitación ambiental y redacción del proyecto constructivo de "Ampliación de la explanada de Poniente del puerto de Alcudia"</w:t>
            </w:r>
          </w:p>
        </w:tc>
        <w:tc>
          <w:tcPr>
            <w:tcW w:w="1159" w:type="pct"/>
            <w:tcBorders>
              <w:top w:val="nil"/>
              <w:left w:val="nil"/>
              <w:bottom w:val="nil"/>
              <w:right w:val="single" w:sz="4" w:space="0" w:color="auto"/>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4.288,76</w:t>
            </w:r>
          </w:p>
        </w:tc>
        <w:tc>
          <w:tcPr>
            <w:tcW w:w="540" w:type="pct"/>
            <w:tcBorders>
              <w:top w:val="nil"/>
              <w:left w:val="nil"/>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125.18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redacción del proyecto básico para la integración puerto-ciudad en la zona del contramuelle </w:t>
            </w:r>
            <w:proofErr w:type="spellStart"/>
            <w:r w:rsidRPr="007131C1">
              <w:rPr>
                <w:rFonts w:ascii="Lucida Bright" w:hAnsi="Lucida Bright" w:cs="Calibri"/>
                <w:color w:val="000000"/>
                <w:sz w:val="14"/>
                <w:szCs w:val="14"/>
                <w:lang w:val="es-ES"/>
              </w:rPr>
              <w:t>Mollet</w:t>
            </w:r>
            <w:proofErr w:type="spellEnd"/>
            <w:r w:rsidRPr="007131C1">
              <w:rPr>
                <w:rFonts w:ascii="Lucida Bright" w:hAnsi="Lucida Bright" w:cs="Calibri"/>
                <w:color w:val="000000"/>
                <w:sz w:val="14"/>
                <w:szCs w:val="14"/>
                <w:lang w:val="es-ES"/>
              </w:rPr>
              <w:t xml:space="preserve"> y redacción del proyecto constructivo de los espacios libres de edificación de los jardines de </w:t>
            </w:r>
            <w:proofErr w:type="spellStart"/>
            <w:r w:rsidRPr="007131C1">
              <w:rPr>
                <w:rFonts w:ascii="Lucida Bright" w:hAnsi="Lucida Bright" w:cs="Calibri"/>
                <w:color w:val="000000"/>
                <w:sz w:val="14"/>
                <w:szCs w:val="14"/>
                <w:lang w:val="es-ES"/>
              </w:rPr>
              <w:t>Sant</w:t>
            </w:r>
            <w:proofErr w:type="spellEnd"/>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Elm</w:t>
            </w:r>
            <w:proofErr w:type="spellEnd"/>
          </w:p>
        </w:tc>
        <w:tc>
          <w:tcPr>
            <w:tcW w:w="1159" w:type="pct"/>
            <w:tcBorders>
              <w:top w:val="nil"/>
              <w:left w:val="nil"/>
              <w:bottom w:val="nil"/>
              <w:right w:val="single" w:sz="4" w:space="0" w:color="auto"/>
            </w:tcBorders>
            <w:shd w:val="clear" w:color="auto" w:fill="auto"/>
            <w:noWrap/>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39.326,93</w:t>
            </w:r>
          </w:p>
        </w:tc>
        <w:tc>
          <w:tcPr>
            <w:tcW w:w="540" w:type="pct"/>
            <w:tcBorders>
              <w:top w:val="nil"/>
              <w:left w:val="nil"/>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144.15</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la dirección de obra del proyecto "Ampliación de la explanada del Muelle de Poniente Norte del puerto de Palma"(P.O. 1330)</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86.282,18</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52.18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A.T. para la redacción del proyecto constructivo y dirección de obra para la remodelación urbanística del paseo marítimo de Palma</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210.950,51</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56.18L2</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dirección de obra de varias obras incluidas en el plan de inversiones de la APB)- </w:t>
            </w:r>
            <w:proofErr w:type="spellStart"/>
            <w:r w:rsidRPr="007131C1">
              <w:rPr>
                <w:rFonts w:ascii="Lucida Bright" w:hAnsi="Lucida Bright" w:cs="Calibri"/>
                <w:color w:val="000000"/>
                <w:sz w:val="14"/>
                <w:szCs w:val="14"/>
                <w:lang w:val="es-ES"/>
              </w:rPr>
              <w:t>A.T.a</w:t>
            </w:r>
            <w:proofErr w:type="spellEnd"/>
            <w:r w:rsidRPr="007131C1">
              <w:rPr>
                <w:rFonts w:ascii="Lucida Bright" w:hAnsi="Lucida Bright" w:cs="Calibri"/>
                <w:color w:val="000000"/>
                <w:sz w:val="14"/>
                <w:szCs w:val="14"/>
                <w:lang w:val="es-ES"/>
              </w:rPr>
              <w:t xml:space="preserve"> la dirección de obra de “Acondicionamiento de viales y zonas peatonales de acceso al puerto de la </w:t>
            </w:r>
            <w:proofErr w:type="spellStart"/>
            <w:r w:rsidRPr="007131C1">
              <w:rPr>
                <w:rFonts w:ascii="Lucida Bright" w:hAnsi="Lucida Bright" w:cs="Calibri"/>
                <w:color w:val="000000"/>
                <w:sz w:val="14"/>
                <w:szCs w:val="14"/>
                <w:lang w:val="es-ES"/>
              </w:rPr>
              <w:t>Savina</w:t>
            </w:r>
            <w:proofErr w:type="spellEnd"/>
            <w:r w:rsidRPr="007131C1">
              <w:rPr>
                <w:rFonts w:ascii="Lucida Bright" w:hAnsi="Lucida Bright" w:cs="Calibri"/>
                <w:color w:val="000000"/>
                <w:sz w:val="14"/>
                <w:szCs w:val="14"/>
                <w:lang w:val="es-ES"/>
              </w:rPr>
              <w:t>(p.o.1085-G)</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90.288,68</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56.18L3</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a la Dirección de obra de “Estación Marítima en Explanada y Muelles Comerciales al abrigo del Dique de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(P.O. 1087-G)</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128.177,28</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lastRenderedPageBreak/>
              <w:t>P.O. 63.17</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A.T. para la realización del plan de vigilancia ambiental, en fase de explotación, del proyecto de "Explanada de los Muelles Comerciales al abrigo del Dique de </w:t>
            </w:r>
            <w:proofErr w:type="spellStart"/>
            <w:r w:rsidRPr="007131C1">
              <w:rPr>
                <w:rFonts w:ascii="Lucida Bright" w:hAnsi="Lucida Bright" w:cs="Calibri"/>
                <w:color w:val="000000"/>
                <w:sz w:val="14"/>
                <w:szCs w:val="14"/>
                <w:lang w:val="es-ES"/>
              </w:rPr>
              <w:t>Botafoc</w:t>
            </w:r>
            <w:proofErr w:type="spellEnd"/>
            <w:r w:rsidRPr="007131C1">
              <w:rPr>
                <w:rFonts w:ascii="Lucida Bright" w:hAnsi="Lucida Bright" w:cs="Calibri"/>
                <w:color w:val="000000"/>
                <w:sz w:val="14"/>
                <w:szCs w:val="14"/>
                <w:lang w:val="es-ES"/>
              </w:rPr>
              <w:t xml:space="preserve">" del puerto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en el periodo 2017-2019</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50.800,00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36.20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de cámara termo gráfica de gran capacidad para el control de temperatura (COVID-19) colectivo en el puerto de Ibiza, para el </w:t>
            </w:r>
            <w:r w:rsidR="00DD448C" w:rsidRPr="007131C1">
              <w:rPr>
                <w:rFonts w:ascii="Lucida Bright" w:hAnsi="Lucida Bright" w:cs="Calibri"/>
                <w:color w:val="000000"/>
                <w:sz w:val="14"/>
                <w:szCs w:val="14"/>
                <w:lang w:val="es-ES"/>
              </w:rPr>
              <w:t>tráfico</w:t>
            </w:r>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-la </w:t>
            </w:r>
            <w:proofErr w:type="spellStart"/>
            <w:r w:rsidRPr="007131C1">
              <w:rPr>
                <w:rFonts w:ascii="Lucida Bright" w:hAnsi="Lucida Bright" w:cs="Calibri"/>
                <w:color w:val="000000"/>
                <w:sz w:val="14"/>
                <w:szCs w:val="14"/>
                <w:lang w:val="es-ES"/>
              </w:rPr>
              <w:t>Savina</w:t>
            </w:r>
            <w:proofErr w:type="spellEnd"/>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14.910,00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35.20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de cámaras termo gráficas de mano para el control individual de temperatura (COVID-19) en el puerto de Ibiza, para el </w:t>
            </w:r>
            <w:r w:rsidR="00DD448C" w:rsidRPr="007131C1">
              <w:rPr>
                <w:rFonts w:ascii="Lucida Bright" w:hAnsi="Lucida Bright" w:cs="Calibri"/>
                <w:color w:val="000000"/>
                <w:sz w:val="14"/>
                <w:szCs w:val="14"/>
                <w:lang w:val="es-ES"/>
              </w:rPr>
              <w:t>tráfico</w:t>
            </w:r>
            <w:r w:rsidRPr="007131C1">
              <w:rPr>
                <w:rFonts w:ascii="Lucida Bright" w:hAnsi="Lucida Bright" w:cs="Calibri"/>
                <w:color w:val="000000"/>
                <w:sz w:val="14"/>
                <w:szCs w:val="14"/>
                <w:lang w:val="es-ES"/>
              </w:rPr>
              <w:t xml:space="preserv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-La </w:t>
            </w:r>
            <w:proofErr w:type="spellStart"/>
            <w:r w:rsidRPr="007131C1">
              <w:rPr>
                <w:rFonts w:ascii="Lucida Bright" w:hAnsi="Lucida Bright" w:cs="Calibri"/>
                <w:color w:val="000000"/>
                <w:sz w:val="14"/>
                <w:szCs w:val="14"/>
                <w:lang w:val="es-ES"/>
              </w:rPr>
              <w:t>Savina</w:t>
            </w:r>
            <w:proofErr w:type="spellEnd"/>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6.230,00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39.20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Suministro de equipamiento para la toma de temperatura en cumplimiento del Decreto 2/2020 de la CAIB, en los puertos de Palma, Alcudia y Mao</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10.725,00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46.20</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de módulos de sombra para las colas de espera del pasaje en exterior durante los controles sanitarios en cumplimiento del Decreto 2/2020 de la CAIB, en los puertos de </w:t>
            </w:r>
            <w:proofErr w:type="spellStart"/>
            <w:r w:rsidRPr="007131C1">
              <w:rPr>
                <w:rFonts w:ascii="Lucida Bright" w:hAnsi="Lucida Bright" w:cs="Calibri"/>
                <w:color w:val="000000"/>
                <w:sz w:val="14"/>
                <w:szCs w:val="14"/>
                <w:lang w:val="es-ES"/>
              </w:rPr>
              <w:t>Eivissa</w:t>
            </w:r>
            <w:proofErr w:type="spellEnd"/>
            <w:r w:rsidRPr="007131C1">
              <w:rPr>
                <w:rFonts w:ascii="Lucida Bright" w:hAnsi="Lucida Bright" w:cs="Calibri"/>
                <w:color w:val="000000"/>
                <w:sz w:val="14"/>
                <w:szCs w:val="14"/>
                <w:lang w:val="es-ES"/>
              </w:rPr>
              <w:t xml:space="preserve"> y La </w:t>
            </w:r>
            <w:proofErr w:type="spellStart"/>
            <w:r w:rsidRPr="007131C1">
              <w:rPr>
                <w:rFonts w:ascii="Lucida Bright" w:hAnsi="Lucida Bright" w:cs="Calibri"/>
                <w:color w:val="000000"/>
                <w:sz w:val="14"/>
                <w:szCs w:val="14"/>
                <w:lang w:val="es-ES"/>
              </w:rPr>
              <w:t>Savina</w:t>
            </w:r>
            <w:proofErr w:type="spellEnd"/>
            <w:r w:rsidRPr="007131C1">
              <w:rPr>
                <w:rFonts w:ascii="Lucida Bright" w:hAnsi="Lucida Bright" w:cs="Calibri"/>
                <w:color w:val="000000"/>
                <w:sz w:val="14"/>
                <w:szCs w:val="14"/>
                <w:lang w:val="es-ES"/>
              </w:rPr>
              <w:t>.</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12.900,00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109.18</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instalación y monitorización de tres puertas correderas para acceso a la zona restringida del muelle de cruceros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122.228,06</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14.19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Sustitución de la antena y su estructura soporte de la estación transmisora DGPS del faro de </w:t>
            </w:r>
            <w:proofErr w:type="spellStart"/>
            <w:r w:rsidRPr="007131C1">
              <w:rPr>
                <w:rFonts w:ascii="Lucida Bright" w:hAnsi="Lucida Bright" w:cs="Calibri"/>
                <w:color w:val="000000"/>
                <w:sz w:val="14"/>
                <w:szCs w:val="14"/>
                <w:lang w:val="es-ES"/>
              </w:rPr>
              <w:t>Maó</w:t>
            </w:r>
            <w:proofErr w:type="spellEnd"/>
            <w:r w:rsidRPr="007131C1">
              <w:rPr>
                <w:rFonts w:ascii="Lucida Bright" w:hAnsi="Lucida Bright" w:cs="Calibri"/>
                <w:color w:val="000000"/>
                <w:sz w:val="14"/>
                <w:szCs w:val="14"/>
                <w:lang w:val="es-ES"/>
              </w:rPr>
              <w:t xml:space="preserve"> en la punta de </w:t>
            </w:r>
            <w:proofErr w:type="spellStart"/>
            <w:r w:rsidRPr="007131C1">
              <w:rPr>
                <w:rFonts w:ascii="Lucida Bright" w:hAnsi="Lucida Bright" w:cs="Calibri"/>
                <w:color w:val="000000"/>
                <w:sz w:val="14"/>
                <w:szCs w:val="14"/>
                <w:lang w:val="es-ES"/>
              </w:rPr>
              <w:t>Sant</w:t>
            </w:r>
            <w:proofErr w:type="spellEnd"/>
            <w:r w:rsidRPr="007131C1">
              <w:rPr>
                <w:rFonts w:ascii="Lucida Bright" w:hAnsi="Lucida Bright" w:cs="Calibri"/>
                <w:color w:val="000000"/>
                <w:sz w:val="14"/>
                <w:szCs w:val="14"/>
                <w:lang w:val="es-ES"/>
              </w:rPr>
              <w:t xml:space="preserve"> Carles</w:t>
            </w:r>
          </w:p>
        </w:tc>
        <w:tc>
          <w:tcPr>
            <w:tcW w:w="1159" w:type="pct"/>
            <w:tcBorders>
              <w:top w:val="nil"/>
              <w:left w:val="nil"/>
              <w:bottom w:val="nil"/>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162.564,66</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885"/>
        </w:trPr>
        <w:tc>
          <w:tcPr>
            <w:tcW w:w="875" w:type="pct"/>
            <w:tcBorders>
              <w:top w:val="nil"/>
              <w:left w:val="single" w:sz="8" w:space="0" w:color="auto"/>
              <w:bottom w:val="nil"/>
              <w:right w:val="nil"/>
            </w:tcBorders>
            <w:shd w:val="clear" w:color="auto" w:fill="auto"/>
            <w:noWrap/>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P.O. 31.19</w:t>
            </w:r>
          </w:p>
        </w:tc>
        <w:tc>
          <w:tcPr>
            <w:tcW w:w="2427" w:type="pct"/>
            <w:gridSpan w:val="5"/>
            <w:tcBorders>
              <w:top w:val="nil"/>
              <w:left w:val="nil"/>
              <w:bottom w:val="nil"/>
              <w:right w:val="single" w:sz="8" w:space="0" w:color="000000"/>
            </w:tcBorders>
            <w:shd w:val="clear" w:color="auto" w:fill="auto"/>
            <w:vAlign w:val="center"/>
            <w:hideMark/>
          </w:tcPr>
          <w:p w:rsidR="007131C1" w:rsidRPr="007131C1" w:rsidRDefault="007131C1" w:rsidP="007131C1">
            <w:pP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 xml:space="preserve">Suministro y colocación de puertas para el acceso restringido a pantalanes de gestión directa en el puerto de </w:t>
            </w:r>
            <w:proofErr w:type="spellStart"/>
            <w:r w:rsidRPr="007131C1">
              <w:rPr>
                <w:rFonts w:ascii="Lucida Bright" w:hAnsi="Lucida Bright" w:cs="Calibri"/>
                <w:color w:val="000000"/>
                <w:sz w:val="14"/>
                <w:szCs w:val="14"/>
                <w:lang w:val="es-ES"/>
              </w:rPr>
              <w:t>Maó</w:t>
            </w:r>
            <w:proofErr w:type="spellEnd"/>
          </w:p>
        </w:tc>
        <w:tc>
          <w:tcPr>
            <w:tcW w:w="1159" w:type="pct"/>
            <w:tcBorders>
              <w:top w:val="nil"/>
              <w:left w:val="nil"/>
              <w:bottom w:val="single" w:sz="8" w:space="0" w:color="auto"/>
              <w:right w:val="nil"/>
            </w:tcBorders>
            <w:shd w:val="clear" w:color="auto" w:fill="auto"/>
            <w:vAlign w:val="center"/>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52.700,00</w:t>
            </w:r>
          </w:p>
        </w:tc>
        <w:tc>
          <w:tcPr>
            <w:tcW w:w="540" w:type="pct"/>
            <w:tcBorders>
              <w:top w:val="nil"/>
              <w:left w:val="single" w:sz="4" w:space="0" w:color="auto"/>
              <w:bottom w:val="nil"/>
              <w:right w:val="single" w:sz="8" w:space="0" w:color="auto"/>
            </w:tcBorders>
            <w:shd w:val="clear" w:color="auto" w:fill="auto"/>
            <w:noWrap/>
            <w:vAlign w:val="center"/>
            <w:hideMark/>
          </w:tcPr>
          <w:p w:rsidR="007131C1" w:rsidRPr="007131C1" w:rsidRDefault="007131C1" w:rsidP="007131C1">
            <w:pPr>
              <w:jc w:val="center"/>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31/12/2035</w:t>
            </w:r>
          </w:p>
        </w:tc>
      </w:tr>
      <w:tr w:rsidR="007131C1" w:rsidRPr="007131C1" w:rsidTr="007131C1">
        <w:trPr>
          <w:trHeight w:val="240"/>
        </w:trPr>
        <w:tc>
          <w:tcPr>
            <w:tcW w:w="875"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6"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22"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619"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46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0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c>
          <w:tcPr>
            <w:tcW w:w="1159" w:type="pct"/>
            <w:tcBorders>
              <w:top w:val="nil"/>
              <w:left w:val="single" w:sz="8" w:space="0" w:color="auto"/>
              <w:bottom w:val="single" w:sz="8" w:space="0" w:color="auto"/>
              <w:right w:val="single" w:sz="8" w:space="0" w:color="auto"/>
            </w:tcBorders>
            <w:shd w:val="clear" w:color="auto" w:fill="auto"/>
            <w:noWrap/>
            <w:vAlign w:val="bottom"/>
            <w:hideMark/>
          </w:tcPr>
          <w:p w:rsidR="007131C1" w:rsidRPr="007131C1" w:rsidRDefault="007131C1" w:rsidP="007131C1">
            <w:pPr>
              <w:jc w:val="right"/>
              <w:rPr>
                <w:rFonts w:ascii="Lucida Bright" w:hAnsi="Lucida Bright" w:cs="Calibri"/>
                <w:color w:val="000000"/>
                <w:sz w:val="14"/>
                <w:szCs w:val="14"/>
                <w:lang w:val="es-ES"/>
              </w:rPr>
            </w:pPr>
            <w:r w:rsidRPr="007131C1">
              <w:rPr>
                <w:rFonts w:ascii="Lucida Bright" w:hAnsi="Lucida Bright" w:cs="Calibri"/>
                <w:color w:val="000000"/>
                <w:sz w:val="14"/>
                <w:szCs w:val="14"/>
                <w:lang w:val="es-ES"/>
              </w:rPr>
              <w:t>32.363.503,07</w:t>
            </w:r>
          </w:p>
        </w:tc>
        <w:tc>
          <w:tcPr>
            <w:tcW w:w="540" w:type="pct"/>
            <w:tcBorders>
              <w:top w:val="nil"/>
              <w:left w:val="nil"/>
              <w:bottom w:val="nil"/>
              <w:right w:val="nil"/>
            </w:tcBorders>
            <w:shd w:val="clear" w:color="auto" w:fill="auto"/>
            <w:noWrap/>
            <w:vAlign w:val="bottom"/>
            <w:hideMark/>
          </w:tcPr>
          <w:p w:rsidR="007131C1" w:rsidRPr="007131C1" w:rsidRDefault="007131C1" w:rsidP="007131C1">
            <w:pPr>
              <w:rPr>
                <w:rFonts w:ascii="Lucida Bright" w:hAnsi="Lucida Bright" w:cs="Calibri"/>
                <w:color w:val="000000"/>
                <w:sz w:val="14"/>
                <w:szCs w:val="14"/>
                <w:lang w:val="es-ES"/>
              </w:rPr>
            </w:pPr>
          </w:p>
        </w:tc>
      </w:tr>
    </w:tbl>
    <w:p w:rsidR="00BD6CD8" w:rsidRDefault="00BD6CD8" w:rsidP="00BD6CD8">
      <w:pPr>
        <w:tabs>
          <w:tab w:val="right" w:pos="8364"/>
        </w:tabs>
        <w:jc w:val="both"/>
        <w:rPr>
          <w:bCs/>
          <w:noProof/>
          <w:lang w:val="es-ES"/>
        </w:rPr>
      </w:pPr>
    </w:p>
    <w:p w:rsidR="00BD6CD8" w:rsidRDefault="00BD6CD8">
      <w:pPr>
        <w:tabs>
          <w:tab w:val="right" w:pos="8364"/>
        </w:tabs>
        <w:ind w:firstLine="540"/>
        <w:jc w:val="both"/>
        <w:rPr>
          <w:bCs/>
          <w:noProof/>
          <w:lang w:val="es-ES"/>
        </w:rPr>
      </w:pPr>
    </w:p>
    <w:p w:rsidR="003C1CA3" w:rsidRDefault="003C1CA3">
      <w:pPr>
        <w:tabs>
          <w:tab w:val="right" w:pos="8364"/>
        </w:tabs>
        <w:ind w:firstLine="540"/>
        <w:jc w:val="both"/>
        <w:rPr>
          <w:bCs/>
        </w:rPr>
      </w:pPr>
    </w:p>
    <w:p w:rsidR="007131C1" w:rsidRDefault="007131C1">
      <w:pPr>
        <w:tabs>
          <w:tab w:val="right" w:pos="8364"/>
        </w:tabs>
        <w:ind w:firstLine="540"/>
        <w:jc w:val="both"/>
        <w:rPr>
          <w:bCs/>
        </w:rPr>
      </w:pPr>
      <w:r>
        <w:rPr>
          <w:bCs/>
        </w:rPr>
        <w:t>No se han aplicado en el ejercicio 2023 deducciones pendientes de tomar de ejercicios anteriores.</w:t>
      </w:r>
    </w:p>
    <w:p w:rsidR="003C1CA3" w:rsidRDefault="003C1CA3">
      <w:pPr>
        <w:tabs>
          <w:tab w:val="right" w:pos="8364"/>
        </w:tabs>
        <w:ind w:firstLine="540"/>
        <w:jc w:val="both"/>
        <w:rPr>
          <w:bCs/>
        </w:rPr>
      </w:pPr>
    </w:p>
    <w:p w:rsidR="00BD6CD8" w:rsidRDefault="00BD6CD8" w:rsidP="00D14CEC">
      <w:pPr>
        <w:tabs>
          <w:tab w:val="right" w:pos="8364"/>
        </w:tabs>
        <w:jc w:val="both"/>
        <w:rPr>
          <w:bCs/>
        </w:rPr>
      </w:pPr>
    </w:p>
    <w:p w:rsidR="005A503C" w:rsidRPr="00865CED" w:rsidRDefault="005A503C">
      <w:pPr>
        <w:tabs>
          <w:tab w:val="right" w:pos="8364"/>
        </w:tabs>
        <w:ind w:firstLine="540"/>
        <w:jc w:val="both"/>
        <w:rPr>
          <w:rFonts w:ascii="NewBaskerville" w:hAnsi="NewBaskerville"/>
          <w:bCs/>
        </w:rPr>
      </w:pPr>
      <w:r w:rsidRPr="00865CED">
        <w:rPr>
          <w:rFonts w:ascii="NewBaskerville" w:hAnsi="NewBaskerville"/>
          <w:bCs/>
          <w:u w:val="single"/>
        </w:rPr>
        <w:t>Pasivos por impuesto diferido.</w:t>
      </w:r>
    </w:p>
    <w:p w:rsidR="005A503C" w:rsidRPr="00865CED" w:rsidRDefault="005A503C">
      <w:pPr>
        <w:tabs>
          <w:tab w:val="right" w:pos="8364"/>
        </w:tabs>
        <w:ind w:firstLine="540"/>
        <w:jc w:val="both"/>
        <w:rPr>
          <w:rFonts w:ascii="NewBaskerville" w:hAnsi="NewBaskerville"/>
          <w:bCs/>
        </w:rPr>
      </w:pPr>
    </w:p>
    <w:p w:rsidR="005A503C" w:rsidRDefault="005A503C">
      <w:pPr>
        <w:tabs>
          <w:tab w:val="right" w:pos="8364"/>
        </w:tabs>
        <w:ind w:firstLine="540"/>
        <w:jc w:val="both"/>
        <w:rPr>
          <w:rFonts w:ascii="NewBaskerville" w:hAnsi="NewBaskerville"/>
          <w:bCs/>
        </w:rPr>
      </w:pPr>
      <w:r w:rsidRPr="00865CED">
        <w:rPr>
          <w:rFonts w:ascii="NewBaskerville" w:hAnsi="NewBaskerville"/>
          <w:bCs/>
        </w:rPr>
        <w:t>El detalle del saldo de esta cuenta al cierre del ejercicio 202</w:t>
      </w:r>
      <w:r w:rsidR="00FE0936">
        <w:rPr>
          <w:rFonts w:ascii="NewBaskerville" w:hAnsi="NewBaskerville"/>
          <w:bCs/>
        </w:rPr>
        <w:t>3</w:t>
      </w:r>
      <w:r w:rsidRPr="00865CED">
        <w:rPr>
          <w:rFonts w:ascii="NewBaskerville" w:hAnsi="NewBaskerville"/>
          <w:bCs/>
        </w:rPr>
        <w:t xml:space="preserve"> y 20</w:t>
      </w:r>
      <w:r w:rsidR="00865CED">
        <w:rPr>
          <w:rFonts w:ascii="NewBaskerville" w:hAnsi="NewBaskerville"/>
          <w:bCs/>
        </w:rPr>
        <w:t>2</w:t>
      </w:r>
      <w:r w:rsidR="00FE0936">
        <w:rPr>
          <w:rFonts w:ascii="NewBaskerville" w:hAnsi="NewBaskerville"/>
          <w:bCs/>
        </w:rPr>
        <w:t>2</w:t>
      </w:r>
      <w:r w:rsidRPr="00865CED">
        <w:rPr>
          <w:rFonts w:ascii="NewBaskerville" w:hAnsi="NewBaskerville"/>
          <w:bCs/>
        </w:rPr>
        <w:t xml:space="preserve"> es el siguiente:</w:t>
      </w:r>
    </w:p>
    <w:p w:rsidR="00865CED" w:rsidRPr="00865CED" w:rsidRDefault="00865CED">
      <w:pPr>
        <w:tabs>
          <w:tab w:val="right" w:pos="8364"/>
        </w:tabs>
        <w:ind w:firstLine="540"/>
        <w:jc w:val="both"/>
        <w:rPr>
          <w:rFonts w:ascii="NewBaskerville" w:hAnsi="NewBaskerville"/>
          <w:bCs/>
        </w:rPr>
      </w:pPr>
    </w:p>
    <w:tbl>
      <w:tblPr>
        <w:tblW w:w="0" w:type="auto"/>
        <w:tblInd w:w="55" w:type="dxa"/>
        <w:tblCellMar>
          <w:left w:w="70" w:type="dxa"/>
          <w:right w:w="70" w:type="dxa"/>
        </w:tblCellMar>
        <w:tblLook w:val="04A0" w:firstRow="1" w:lastRow="0" w:firstColumn="1" w:lastColumn="0" w:noHBand="0" w:noVBand="1"/>
      </w:tblPr>
      <w:tblGrid>
        <w:gridCol w:w="1008"/>
        <w:gridCol w:w="1008"/>
        <w:gridCol w:w="978"/>
        <w:gridCol w:w="1018"/>
        <w:gridCol w:w="1018"/>
      </w:tblGrid>
      <w:tr w:rsidR="00FE0936" w:rsidRPr="00FE0936" w:rsidTr="00FE0936">
        <w:trPr>
          <w:trHeight w:val="240"/>
        </w:trPr>
        <w:tc>
          <w:tcPr>
            <w:tcW w:w="0" w:type="auto"/>
            <w:gridSpan w:val="3"/>
            <w:tcBorders>
              <w:top w:val="nil"/>
              <w:left w:val="nil"/>
              <w:bottom w:val="nil"/>
              <w:right w:val="nil"/>
            </w:tcBorders>
            <w:shd w:val="clear" w:color="auto" w:fill="auto"/>
            <w:noWrap/>
            <w:vAlign w:val="bottom"/>
            <w:hideMark/>
          </w:tcPr>
          <w:p w:rsidR="00FE0936" w:rsidRPr="00FE0936" w:rsidRDefault="00FE0936" w:rsidP="00FE0936">
            <w:pPr>
              <w:rPr>
                <w:rFonts w:ascii="Lucida Bright" w:hAnsi="Lucida Bright" w:cs="Calibri"/>
                <w:b/>
                <w:bCs/>
                <w:color w:val="000000"/>
                <w:sz w:val="16"/>
                <w:szCs w:val="16"/>
                <w:lang w:val="es-ES"/>
              </w:rPr>
            </w:pPr>
            <w:r w:rsidRPr="00FE0936">
              <w:rPr>
                <w:rFonts w:ascii="Lucida Bright" w:hAnsi="Lucida Bright" w:cs="Calibri"/>
                <w:b/>
                <w:bCs/>
                <w:color w:val="000000"/>
                <w:sz w:val="16"/>
                <w:szCs w:val="16"/>
                <w:lang w:val="es-ES"/>
              </w:rPr>
              <w:t>Pasivos por impuesto diferido</w:t>
            </w:r>
          </w:p>
        </w:tc>
        <w:tc>
          <w:tcPr>
            <w:tcW w:w="0" w:type="auto"/>
            <w:tcBorders>
              <w:top w:val="nil"/>
              <w:left w:val="nil"/>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6"/>
                <w:szCs w:val="16"/>
                <w:lang w:val="es-ES"/>
              </w:rPr>
            </w:pPr>
          </w:p>
        </w:tc>
        <w:tc>
          <w:tcPr>
            <w:tcW w:w="0" w:type="auto"/>
            <w:tcBorders>
              <w:top w:val="nil"/>
              <w:left w:val="nil"/>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6"/>
                <w:szCs w:val="16"/>
                <w:lang w:val="es-ES"/>
              </w:rPr>
            </w:pPr>
          </w:p>
        </w:tc>
      </w:tr>
      <w:tr w:rsidR="00FE0936" w:rsidRPr="00FE0936" w:rsidTr="00FE0936">
        <w:trPr>
          <w:trHeight w:val="240"/>
        </w:trPr>
        <w:tc>
          <w:tcPr>
            <w:tcW w:w="0" w:type="auto"/>
            <w:tcBorders>
              <w:top w:val="single" w:sz="8" w:space="0" w:color="auto"/>
              <w:left w:val="single" w:sz="8" w:space="0" w:color="auto"/>
              <w:bottom w:val="nil"/>
              <w:right w:val="nil"/>
            </w:tcBorders>
            <w:shd w:val="clear" w:color="000000" w:fill="CCFFCC"/>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single" w:sz="8" w:space="0" w:color="auto"/>
              <w:left w:val="nil"/>
              <w:bottom w:val="nil"/>
              <w:right w:val="nil"/>
            </w:tcBorders>
            <w:shd w:val="clear" w:color="000000" w:fill="CCFFCC"/>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single" w:sz="8" w:space="0" w:color="auto"/>
              <w:left w:val="nil"/>
              <w:bottom w:val="nil"/>
              <w:right w:val="single" w:sz="8" w:space="0" w:color="auto"/>
            </w:tcBorders>
            <w:shd w:val="clear" w:color="000000" w:fill="CCFFCC"/>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gridSpan w:val="2"/>
            <w:tcBorders>
              <w:top w:val="single" w:sz="8" w:space="0" w:color="auto"/>
              <w:left w:val="nil"/>
              <w:bottom w:val="single" w:sz="8" w:space="0" w:color="auto"/>
              <w:right w:val="single" w:sz="8" w:space="0" w:color="000000"/>
            </w:tcBorders>
            <w:shd w:val="clear" w:color="000000" w:fill="CCFFCC"/>
            <w:noWrap/>
            <w:vAlign w:val="center"/>
            <w:hideMark/>
          </w:tcPr>
          <w:p w:rsidR="00FE0936" w:rsidRPr="00FE0936" w:rsidRDefault="00FE0936" w:rsidP="00FE0936">
            <w:pPr>
              <w:jc w:val="cente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Euros</w:t>
            </w:r>
          </w:p>
        </w:tc>
      </w:tr>
      <w:tr w:rsidR="00FE0936" w:rsidRPr="00FE0936" w:rsidTr="00FE0936">
        <w:trPr>
          <w:trHeight w:val="240"/>
        </w:trPr>
        <w:tc>
          <w:tcPr>
            <w:tcW w:w="0" w:type="auto"/>
            <w:tcBorders>
              <w:top w:val="nil"/>
              <w:left w:val="single" w:sz="8" w:space="0" w:color="auto"/>
              <w:bottom w:val="single" w:sz="8" w:space="0" w:color="auto"/>
              <w:right w:val="nil"/>
            </w:tcBorders>
            <w:shd w:val="clear" w:color="000000" w:fill="CCFFCC"/>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single" w:sz="8" w:space="0" w:color="auto"/>
              <w:right w:val="nil"/>
            </w:tcBorders>
            <w:shd w:val="clear" w:color="000000" w:fill="CCFFCC"/>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000000" w:fill="CCFFCC"/>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000000" w:fill="CCFFCC"/>
            <w:noWrap/>
            <w:vAlign w:val="bottom"/>
            <w:hideMark/>
          </w:tcPr>
          <w:p w:rsidR="00FE0936" w:rsidRPr="00FE0936" w:rsidRDefault="00FE0936" w:rsidP="00FE0936">
            <w:pPr>
              <w:jc w:val="cente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2023</w:t>
            </w:r>
          </w:p>
        </w:tc>
        <w:tc>
          <w:tcPr>
            <w:tcW w:w="0" w:type="auto"/>
            <w:tcBorders>
              <w:top w:val="nil"/>
              <w:left w:val="nil"/>
              <w:bottom w:val="single" w:sz="8" w:space="0" w:color="auto"/>
              <w:right w:val="single" w:sz="8" w:space="0" w:color="auto"/>
            </w:tcBorders>
            <w:shd w:val="clear" w:color="000000" w:fill="CCFFCC"/>
            <w:noWrap/>
            <w:vAlign w:val="bottom"/>
            <w:hideMark/>
          </w:tcPr>
          <w:p w:rsidR="00FE0936" w:rsidRPr="00FE0936" w:rsidRDefault="00FE0936" w:rsidP="00FE0936">
            <w:pPr>
              <w:jc w:val="cente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2022</w:t>
            </w:r>
          </w:p>
        </w:tc>
      </w:tr>
      <w:tr w:rsidR="00FE0936" w:rsidRPr="00FE0936" w:rsidTr="00FE0936">
        <w:trPr>
          <w:trHeight w:val="225"/>
        </w:trPr>
        <w:tc>
          <w:tcPr>
            <w:tcW w:w="0" w:type="auto"/>
            <w:gridSpan w:val="2"/>
            <w:tcBorders>
              <w:top w:val="single" w:sz="8" w:space="0" w:color="auto"/>
              <w:left w:val="single" w:sz="8" w:space="0" w:color="auto"/>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Subvenciones de capital</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jc w:val="right"/>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6.378.501,11</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jc w:val="right"/>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6.279.175,42</w:t>
            </w:r>
          </w:p>
        </w:tc>
      </w:tr>
      <w:tr w:rsidR="00FE0936" w:rsidRPr="00FE0936" w:rsidTr="00FE0936">
        <w:trPr>
          <w:trHeight w:val="225"/>
        </w:trPr>
        <w:tc>
          <w:tcPr>
            <w:tcW w:w="0" w:type="auto"/>
            <w:tcBorders>
              <w:top w:val="nil"/>
              <w:left w:val="single" w:sz="8" w:space="0" w:color="auto"/>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r>
      <w:tr w:rsidR="00FE0936" w:rsidRPr="00FE0936" w:rsidTr="00FE0936">
        <w:trPr>
          <w:trHeight w:val="225"/>
        </w:trPr>
        <w:tc>
          <w:tcPr>
            <w:tcW w:w="0" w:type="auto"/>
            <w:gridSpan w:val="3"/>
            <w:tcBorders>
              <w:top w:val="nil"/>
              <w:left w:val="single" w:sz="8" w:space="0" w:color="auto"/>
              <w:bottom w:val="nil"/>
              <w:right w:val="single" w:sz="8" w:space="0" w:color="000000"/>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Diferencias amortización contable y fiscal</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jc w:val="right"/>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767,47</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jc w:val="right"/>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884,37</w:t>
            </w:r>
          </w:p>
        </w:tc>
      </w:tr>
      <w:tr w:rsidR="00FE0936" w:rsidRPr="00FE0936" w:rsidTr="00FE0936">
        <w:trPr>
          <w:trHeight w:val="225"/>
        </w:trPr>
        <w:tc>
          <w:tcPr>
            <w:tcW w:w="0" w:type="auto"/>
            <w:tcBorders>
              <w:top w:val="nil"/>
              <w:left w:val="single" w:sz="8" w:space="0" w:color="auto"/>
              <w:bottom w:val="nil"/>
              <w:right w:val="nil"/>
            </w:tcBorders>
            <w:shd w:val="clear" w:color="auto" w:fill="auto"/>
            <w:noWrap/>
            <w:vAlign w:val="bottom"/>
            <w:hideMark/>
          </w:tcPr>
          <w:p w:rsidR="00FE0936" w:rsidRPr="00FE0936" w:rsidRDefault="00FE0936" w:rsidP="00FE0936">
            <w:pPr>
              <w:rPr>
                <w:rFonts w:ascii="Lucida Bright" w:hAnsi="Lucida Bright" w:cs="Calibri"/>
                <w:i/>
                <w:iCs/>
                <w:color w:val="000000"/>
                <w:sz w:val="14"/>
                <w:szCs w:val="14"/>
                <w:lang w:val="es-ES"/>
              </w:rPr>
            </w:pPr>
            <w:r w:rsidRPr="00FE0936">
              <w:rPr>
                <w:rFonts w:ascii="Lucida Bright" w:hAnsi="Lucida Bright" w:cs="Calibri"/>
                <w:i/>
                <w:iCs/>
                <w:color w:val="000000"/>
                <w:sz w:val="14"/>
                <w:szCs w:val="14"/>
                <w:lang w:val="es-ES"/>
              </w:rPr>
              <w:t> </w:t>
            </w:r>
          </w:p>
        </w:tc>
        <w:tc>
          <w:tcPr>
            <w:tcW w:w="0" w:type="auto"/>
            <w:tcBorders>
              <w:top w:val="nil"/>
              <w:left w:val="nil"/>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r>
      <w:tr w:rsidR="00FE0936" w:rsidRPr="00FE0936" w:rsidTr="00FE0936">
        <w:trPr>
          <w:trHeight w:val="225"/>
        </w:trPr>
        <w:tc>
          <w:tcPr>
            <w:tcW w:w="0" w:type="auto"/>
            <w:tcBorders>
              <w:top w:val="nil"/>
              <w:left w:val="single" w:sz="8" w:space="0" w:color="auto"/>
              <w:bottom w:val="nil"/>
              <w:right w:val="nil"/>
            </w:tcBorders>
            <w:shd w:val="clear" w:color="auto" w:fill="auto"/>
            <w:noWrap/>
            <w:vAlign w:val="bottom"/>
            <w:hideMark/>
          </w:tcPr>
          <w:p w:rsidR="00FE0936" w:rsidRPr="00FE0936" w:rsidRDefault="00FE0936" w:rsidP="00FE0936">
            <w:pPr>
              <w:rPr>
                <w:rFonts w:ascii="Lucida Bright" w:hAnsi="Lucida Bright" w:cs="Calibri"/>
                <w:i/>
                <w:iCs/>
                <w:color w:val="000000"/>
                <w:sz w:val="14"/>
                <w:szCs w:val="14"/>
                <w:lang w:val="es-ES"/>
              </w:rPr>
            </w:pPr>
            <w:r w:rsidRPr="00FE0936">
              <w:rPr>
                <w:rFonts w:ascii="Lucida Bright" w:hAnsi="Lucida Bright" w:cs="Calibri"/>
                <w:i/>
                <w:iCs/>
                <w:color w:val="000000"/>
                <w:sz w:val="14"/>
                <w:szCs w:val="14"/>
                <w:lang w:val="es-ES"/>
              </w:rPr>
              <w:t> </w:t>
            </w:r>
          </w:p>
        </w:tc>
        <w:tc>
          <w:tcPr>
            <w:tcW w:w="0" w:type="auto"/>
            <w:tcBorders>
              <w:top w:val="nil"/>
              <w:left w:val="nil"/>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r>
      <w:tr w:rsidR="00FE0936" w:rsidRPr="00FE0936" w:rsidTr="00FE0936">
        <w:trPr>
          <w:trHeight w:val="225"/>
        </w:trPr>
        <w:tc>
          <w:tcPr>
            <w:tcW w:w="0" w:type="auto"/>
            <w:tcBorders>
              <w:top w:val="nil"/>
              <w:left w:val="single" w:sz="8" w:space="0" w:color="auto"/>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r>
      <w:tr w:rsidR="00FE0936" w:rsidRPr="00FE0936" w:rsidTr="00FE0936">
        <w:trPr>
          <w:trHeight w:val="225"/>
        </w:trPr>
        <w:tc>
          <w:tcPr>
            <w:tcW w:w="0" w:type="auto"/>
            <w:tcBorders>
              <w:top w:val="nil"/>
              <w:left w:val="single" w:sz="8" w:space="0" w:color="auto"/>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nil"/>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r>
      <w:tr w:rsidR="00FE0936" w:rsidRPr="00FE0936" w:rsidTr="00FE0936">
        <w:trPr>
          <w:trHeight w:val="240"/>
        </w:trPr>
        <w:tc>
          <w:tcPr>
            <w:tcW w:w="0" w:type="auto"/>
            <w:tcBorders>
              <w:top w:val="nil"/>
              <w:left w:val="single" w:sz="8" w:space="0" w:color="auto"/>
              <w:bottom w:val="single" w:sz="8" w:space="0" w:color="auto"/>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single" w:sz="8" w:space="0" w:color="auto"/>
              <w:right w:val="nil"/>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c>
          <w:tcPr>
            <w:tcW w:w="0" w:type="auto"/>
            <w:tcBorders>
              <w:top w:val="nil"/>
              <w:left w:val="nil"/>
              <w:bottom w:val="single" w:sz="8" w:space="0" w:color="auto"/>
              <w:right w:val="single" w:sz="8" w:space="0" w:color="auto"/>
            </w:tcBorders>
            <w:shd w:val="clear" w:color="auto" w:fill="auto"/>
            <w:noWrap/>
            <w:vAlign w:val="bottom"/>
            <w:hideMark/>
          </w:tcPr>
          <w:p w:rsidR="00FE0936" w:rsidRPr="00FE0936" w:rsidRDefault="00FE0936" w:rsidP="00FE0936">
            <w:pPr>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 </w:t>
            </w:r>
          </w:p>
        </w:tc>
      </w:tr>
      <w:tr w:rsidR="00FE0936" w:rsidRPr="00FE0936" w:rsidTr="00FE0936">
        <w:trPr>
          <w:trHeight w:val="24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E0936" w:rsidRPr="00FE0936" w:rsidRDefault="00FE0936" w:rsidP="00FE0936">
            <w:pPr>
              <w:jc w:val="center"/>
              <w:rPr>
                <w:rFonts w:ascii="Lucida Bright" w:hAnsi="Lucida Bright" w:cs="Calibri"/>
                <w:b/>
                <w:bCs/>
                <w:color w:val="000000"/>
                <w:sz w:val="14"/>
                <w:szCs w:val="14"/>
                <w:lang w:val="es-ES"/>
              </w:rPr>
            </w:pPr>
            <w:r w:rsidRPr="00FE0936">
              <w:rPr>
                <w:rFonts w:ascii="Lucida Bright" w:hAnsi="Lucida Bright" w:cs="Calibri"/>
                <w:b/>
                <w:bCs/>
                <w:color w:val="000000"/>
                <w:sz w:val="14"/>
                <w:szCs w:val="14"/>
                <w:lang w:val="es-ES"/>
              </w:rPr>
              <w:t>Total pasivos por impuesto diferido</w:t>
            </w:r>
          </w:p>
        </w:tc>
        <w:tc>
          <w:tcPr>
            <w:tcW w:w="0" w:type="auto"/>
            <w:tcBorders>
              <w:top w:val="nil"/>
              <w:left w:val="nil"/>
              <w:bottom w:val="single" w:sz="8" w:space="0" w:color="auto"/>
              <w:right w:val="single" w:sz="8" w:space="0" w:color="auto"/>
            </w:tcBorders>
            <w:shd w:val="clear" w:color="auto" w:fill="auto"/>
            <w:noWrap/>
            <w:vAlign w:val="center"/>
            <w:hideMark/>
          </w:tcPr>
          <w:p w:rsidR="00FE0936" w:rsidRPr="00FE0936" w:rsidRDefault="00FE0936" w:rsidP="00FE0936">
            <w:pPr>
              <w:jc w:val="right"/>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6.379.268,58</w:t>
            </w:r>
          </w:p>
        </w:tc>
        <w:tc>
          <w:tcPr>
            <w:tcW w:w="0" w:type="auto"/>
            <w:tcBorders>
              <w:top w:val="nil"/>
              <w:left w:val="nil"/>
              <w:bottom w:val="single" w:sz="8" w:space="0" w:color="auto"/>
              <w:right w:val="single" w:sz="8" w:space="0" w:color="auto"/>
            </w:tcBorders>
            <w:shd w:val="clear" w:color="auto" w:fill="auto"/>
            <w:noWrap/>
            <w:vAlign w:val="center"/>
            <w:hideMark/>
          </w:tcPr>
          <w:p w:rsidR="00FE0936" w:rsidRPr="00FE0936" w:rsidRDefault="00FE0936" w:rsidP="00FE0936">
            <w:pPr>
              <w:jc w:val="right"/>
              <w:rPr>
                <w:rFonts w:ascii="Lucida Bright" w:hAnsi="Lucida Bright" w:cs="Calibri"/>
                <w:color w:val="000000"/>
                <w:sz w:val="14"/>
                <w:szCs w:val="14"/>
                <w:lang w:val="es-ES"/>
              </w:rPr>
            </w:pPr>
            <w:r w:rsidRPr="00FE0936">
              <w:rPr>
                <w:rFonts w:ascii="Lucida Bright" w:hAnsi="Lucida Bright" w:cs="Calibri"/>
                <w:color w:val="000000"/>
                <w:sz w:val="14"/>
                <w:szCs w:val="14"/>
                <w:lang w:val="es-ES"/>
              </w:rPr>
              <w:t>6.280.059,79</w:t>
            </w:r>
          </w:p>
        </w:tc>
      </w:tr>
    </w:tbl>
    <w:p w:rsidR="005A503C" w:rsidRDefault="005A503C">
      <w:pPr>
        <w:tabs>
          <w:tab w:val="right" w:pos="8364"/>
        </w:tabs>
        <w:ind w:firstLine="540"/>
        <w:jc w:val="both"/>
        <w:rPr>
          <w:bCs/>
        </w:rPr>
      </w:pPr>
    </w:p>
    <w:p w:rsidR="00D14CEC" w:rsidRDefault="00D14CEC">
      <w:pPr>
        <w:tabs>
          <w:tab w:val="right" w:pos="8364"/>
        </w:tabs>
        <w:ind w:firstLine="540"/>
        <w:jc w:val="both"/>
        <w:rPr>
          <w:bCs/>
        </w:rPr>
      </w:pPr>
    </w:p>
    <w:p w:rsidR="00D14CEC" w:rsidRDefault="00D14CEC">
      <w:pPr>
        <w:tabs>
          <w:tab w:val="right" w:pos="8364"/>
        </w:tabs>
        <w:ind w:firstLine="540"/>
        <w:jc w:val="both"/>
        <w:rPr>
          <w:bCs/>
        </w:rPr>
      </w:pPr>
    </w:p>
    <w:p w:rsidR="00A12578" w:rsidRPr="00865CED" w:rsidRDefault="00A12578">
      <w:pPr>
        <w:tabs>
          <w:tab w:val="right" w:pos="8364"/>
        </w:tabs>
        <w:ind w:firstLine="540"/>
        <w:jc w:val="both"/>
        <w:rPr>
          <w:rFonts w:ascii="NewBaskerville" w:hAnsi="NewBaskerville"/>
          <w:bCs/>
        </w:rPr>
      </w:pPr>
      <w:r w:rsidRPr="00865CED">
        <w:rPr>
          <w:rFonts w:ascii="NewBaskerville" w:hAnsi="NewBaskerville"/>
          <w:bCs/>
          <w:u w:val="single"/>
        </w:rPr>
        <w:t>Movimientos de los Activos y Pasivos por impuesto diferido.</w:t>
      </w:r>
    </w:p>
    <w:p w:rsidR="00A12578" w:rsidRPr="00865CED" w:rsidRDefault="00A12578">
      <w:pPr>
        <w:tabs>
          <w:tab w:val="right" w:pos="8364"/>
        </w:tabs>
        <w:ind w:firstLine="540"/>
        <w:jc w:val="both"/>
        <w:rPr>
          <w:rFonts w:ascii="NewBaskerville" w:hAnsi="NewBaskerville"/>
          <w:bCs/>
        </w:rPr>
      </w:pPr>
    </w:p>
    <w:p w:rsidR="00A12578" w:rsidRDefault="00A12578">
      <w:pPr>
        <w:tabs>
          <w:tab w:val="right" w:pos="8364"/>
        </w:tabs>
        <w:ind w:firstLine="540"/>
        <w:jc w:val="both"/>
        <w:rPr>
          <w:rFonts w:ascii="NewBaskerville" w:hAnsi="NewBaskerville"/>
          <w:bCs/>
        </w:rPr>
      </w:pPr>
      <w:r w:rsidRPr="00865CED">
        <w:rPr>
          <w:rFonts w:ascii="NewBaskerville" w:hAnsi="NewBaskerville"/>
          <w:bCs/>
        </w:rPr>
        <w:t xml:space="preserve">A continuación, se presenta un </w:t>
      </w:r>
      <w:r w:rsidR="003F24D6" w:rsidRPr="00865CED">
        <w:rPr>
          <w:rFonts w:ascii="NewBaskerville" w:hAnsi="NewBaskerville"/>
          <w:bCs/>
        </w:rPr>
        <w:t>detalle</w:t>
      </w:r>
      <w:r w:rsidRPr="00865CED">
        <w:rPr>
          <w:rFonts w:ascii="NewBaskerville" w:hAnsi="NewBaskerville"/>
          <w:bCs/>
        </w:rPr>
        <w:t xml:space="preserve"> de los movimientos que han afectado a los epígrafes “Activos por impuestos diferidos” y “Pasivos por impuestos diferidos” del balance durante los años 202</w:t>
      </w:r>
      <w:r w:rsidR="00FE0936">
        <w:rPr>
          <w:rFonts w:ascii="NewBaskerville" w:hAnsi="NewBaskerville"/>
          <w:bCs/>
        </w:rPr>
        <w:t>3</w:t>
      </w:r>
      <w:r w:rsidRPr="00865CED">
        <w:rPr>
          <w:rFonts w:ascii="NewBaskerville" w:hAnsi="NewBaskerville"/>
          <w:bCs/>
        </w:rPr>
        <w:t xml:space="preserve"> y 20</w:t>
      </w:r>
      <w:r w:rsidR="00865CED">
        <w:rPr>
          <w:rFonts w:ascii="NewBaskerville" w:hAnsi="NewBaskerville"/>
          <w:bCs/>
        </w:rPr>
        <w:t>2</w:t>
      </w:r>
      <w:r w:rsidR="00FE0936">
        <w:rPr>
          <w:rFonts w:ascii="NewBaskerville" w:hAnsi="NewBaskerville"/>
          <w:bCs/>
        </w:rPr>
        <w:t>2</w:t>
      </w:r>
      <w:r w:rsidRPr="00865CED">
        <w:rPr>
          <w:rFonts w:ascii="NewBaskerville" w:hAnsi="NewBaskerville"/>
          <w:bCs/>
        </w:rPr>
        <w:t>:</w:t>
      </w:r>
    </w:p>
    <w:p w:rsidR="00C85C83" w:rsidRDefault="00C85C83">
      <w:pPr>
        <w:tabs>
          <w:tab w:val="right" w:pos="8364"/>
        </w:tabs>
        <w:ind w:firstLine="540"/>
        <w:jc w:val="both"/>
        <w:rPr>
          <w:rFonts w:ascii="NewBaskerville" w:hAnsi="NewBaskerville"/>
          <w:bCs/>
        </w:rPr>
      </w:pPr>
    </w:p>
    <w:tbl>
      <w:tblPr>
        <w:tblW w:w="4796" w:type="pct"/>
        <w:tblLayout w:type="fixed"/>
        <w:tblCellMar>
          <w:left w:w="70" w:type="dxa"/>
          <w:right w:w="70" w:type="dxa"/>
        </w:tblCellMar>
        <w:tblLook w:val="04A0" w:firstRow="1" w:lastRow="0" w:firstColumn="1" w:lastColumn="0" w:noHBand="0" w:noVBand="1"/>
      </w:tblPr>
      <w:tblGrid>
        <w:gridCol w:w="2604"/>
        <w:gridCol w:w="435"/>
        <w:gridCol w:w="433"/>
        <w:gridCol w:w="182"/>
        <w:gridCol w:w="1237"/>
        <w:gridCol w:w="1134"/>
        <w:gridCol w:w="1134"/>
        <w:gridCol w:w="469"/>
        <w:gridCol w:w="663"/>
      </w:tblGrid>
      <w:tr w:rsidR="00C85C83" w:rsidRPr="00C85C83" w:rsidTr="00C85C83">
        <w:trPr>
          <w:trHeight w:val="240"/>
        </w:trPr>
        <w:tc>
          <w:tcPr>
            <w:tcW w:w="3632" w:type="pct"/>
            <w:gridSpan w:val="6"/>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b/>
                <w:bCs/>
                <w:color w:val="000000"/>
                <w:sz w:val="16"/>
                <w:szCs w:val="16"/>
                <w:lang w:val="es-ES"/>
              </w:rPr>
            </w:pPr>
            <w:r w:rsidRPr="00C85C83">
              <w:rPr>
                <w:rFonts w:ascii="Lucida Bright" w:hAnsi="Lucida Bright" w:cs="Calibri"/>
                <w:b/>
                <w:bCs/>
                <w:color w:val="000000"/>
                <w:sz w:val="16"/>
                <w:szCs w:val="16"/>
                <w:lang w:val="es-ES"/>
              </w:rPr>
              <w:t>Movimientos de Activos y Pasivos por impuesto diferido.</w:t>
            </w:r>
          </w:p>
        </w:tc>
        <w:tc>
          <w:tcPr>
            <w:tcW w:w="967" w:type="pct"/>
            <w:gridSpan w:val="2"/>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6"/>
                <w:szCs w:val="16"/>
                <w:lang w:val="es-ES"/>
              </w:rPr>
            </w:pPr>
          </w:p>
        </w:tc>
        <w:tc>
          <w:tcPr>
            <w:tcW w:w="401"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6"/>
                <w:szCs w:val="16"/>
                <w:lang w:val="es-ES"/>
              </w:rPr>
            </w:pPr>
          </w:p>
        </w:tc>
      </w:tr>
      <w:tr w:rsidR="00C85C83" w:rsidRPr="00C85C83" w:rsidTr="00C85C83">
        <w:trPr>
          <w:trHeight w:val="240"/>
        </w:trPr>
        <w:tc>
          <w:tcPr>
            <w:tcW w:w="1570" w:type="pct"/>
            <w:tcBorders>
              <w:top w:val="single" w:sz="8" w:space="0" w:color="auto"/>
              <w:left w:val="single" w:sz="8" w:space="0" w:color="auto"/>
              <w:bottom w:val="nil"/>
              <w:right w:val="nil"/>
            </w:tcBorders>
            <w:shd w:val="clear" w:color="000000" w:fill="CCFFCC"/>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262" w:type="pct"/>
            <w:tcBorders>
              <w:top w:val="single" w:sz="8" w:space="0" w:color="auto"/>
              <w:left w:val="nil"/>
              <w:bottom w:val="nil"/>
              <w:right w:val="nil"/>
            </w:tcBorders>
            <w:shd w:val="clear" w:color="000000" w:fill="CCFFCC"/>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260" w:type="pct"/>
            <w:tcBorders>
              <w:top w:val="single" w:sz="8" w:space="0" w:color="auto"/>
              <w:left w:val="nil"/>
              <w:bottom w:val="nil"/>
              <w:right w:val="nil"/>
            </w:tcBorders>
            <w:shd w:val="clear" w:color="000000" w:fill="CCFFCC"/>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110" w:type="pct"/>
            <w:tcBorders>
              <w:top w:val="single" w:sz="8" w:space="0" w:color="auto"/>
              <w:left w:val="nil"/>
              <w:bottom w:val="nil"/>
              <w:right w:val="single" w:sz="8" w:space="0" w:color="auto"/>
            </w:tcBorders>
            <w:shd w:val="clear" w:color="000000" w:fill="CCFFCC"/>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1430" w:type="pct"/>
            <w:gridSpan w:val="2"/>
            <w:tcBorders>
              <w:top w:val="single" w:sz="8" w:space="0" w:color="auto"/>
              <w:left w:val="nil"/>
              <w:bottom w:val="single" w:sz="8" w:space="0" w:color="auto"/>
              <w:right w:val="single" w:sz="8" w:space="0" w:color="000000"/>
            </w:tcBorders>
            <w:shd w:val="clear" w:color="000000" w:fill="CCFFCC"/>
            <w:noWrap/>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2023</w:t>
            </w:r>
          </w:p>
        </w:tc>
        <w:tc>
          <w:tcPr>
            <w:tcW w:w="1368" w:type="pct"/>
            <w:gridSpan w:val="3"/>
            <w:tcBorders>
              <w:top w:val="single" w:sz="8" w:space="0" w:color="auto"/>
              <w:left w:val="nil"/>
              <w:bottom w:val="single" w:sz="8" w:space="0" w:color="auto"/>
              <w:right w:val="single" w:sz="8" w:space="0" w:color="000000"/>
            </w:tcBorders>
            <w:shd w:val="clear" w:color="000000" w:fill="CCFFCC"/>
            <w:noWrap/>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2022</w:t>
            </w:r>
          </w:p>
        </w:tc>
      </w:tr>
      <w:tr w:rsidR="00C85C83" w:rsidRPr="00C85C83" w:rsidTr="00C85C83">
        <w:trPr>
          <w:trHeight w:val="390"/>
        </w:trPr>
        <w:tc>
          <w:tcPr>
            <w:tcW w:w="2203" w:type="pct"/>
            <w:gridSpan w:val="4"/>
            <w:tcBorders>
              <w:top w:val="nil"/>
              <w:left w:val="single" w:sz="8" w:space="0" w:color="auto"/>
              <w:bottom w:val="single" w:sz="8" w:space="0" w:color="auto"/>
              <w:right w:val="single" w:sz="8" w:space="0" w:color="000000"/>
            </w:tcBorders>
            <w:shd w:val="clear" w:color="000000" w:fill="CCFFCC"/>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Concepto</w:t>
            </w:r>
          </w:p>
        </w:tc>
        <w:tc>
          <w:tcPr>
            <w:tcW w:w="746" w:type="pct"/>
            <w:tcBorders>
              <w:top w:val="nil"/>
              <w:left w:val="nil"/>
              <w:bottom w:val="single" w:sz="8" w:space="0" w:color="auto"/>
              <w:right w:val="nil"/>
            </w:tcBorders>
            <w:shd w:val="clear" w:color="000000" w:fill="CCFFCC"/>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Activo por impuesto diferido</w:t>
            </w:r>
          </w:p>
        </w:tc>
        <w:tc>
          <w:tcPr>
            <w:tcW w:w="684" w:type="pct"/>
            <w:tcBorders>
              <w:top w:val="nil"/>
              <w:left w:val="single" w:sz="8" w:space="0" w:color="auto"/>
              <w:bottom w:val="single" w:sz="8" w:space="0" w:color="auto"/>
              <w:right w:val="single" w:sz="8" w:space="0" w:color="auto"/>
            </w:tcBorders>
            <w:shd w:val="clear" w:color="000000" w:fill="CCFFCC"/>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Pasivo por impuesto diferido</w:t>
            </w:r>
          </w:p>
        </w:tc>
        <w:tc>
          <w:tcPr>
            <w:tcW w:w="684" w:type="pct"/>
            <w:tcBorders>
              <w:top w:val="nil"/>
              <w:left w:val="nil"/>
              <w:bottom w:val="single" w:sz="8" w:space="0" w:color="auto"/>
              <w:right w:val="nil"/>
            </w:tcBorders>
            <w:shd w:val="clear" w:color="000000" w:fill="CCFFCC"/>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Activo por impuesto diferido</w:t>
            </w:r>
          </w:p>
        </w:tc>
        <w:tc>
          <w:tcPr>
            <w:tcW w:w="684" w:type="pct"/>
            <w:gridSpan w:val="2"/>
            <w:tcBorders>
              <w:top w:val="nil"/>
              <w:left w:val="single" w:sz="8" w:space="0" w:color="auto"/>
              <w:bottom w:val="single" w:sz="8" w:space="0" w:color="auto"/>
              <w:right w:val="single" w:sz="8" w:space="0" w:color="auto"/>
            </w:tcBorders>
            <w:shd w:val="clear" w:color="000000" w:fill="CCFFCC"/>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Pasivo por impuesto diferido</w:t>
            </w:r>
          </w:p>
        </w:tc>
      </w:tr>
      <w:tr w:rsidR="00C85C83" w:rsidRPr="00C85C83" w:rsidTr="00C85C83">
        <w:trPr>
          <w:trHeight w:val="225"/>
        </w:trPr>
        <w:tc>
          <w:tcPr>
            <w:tcW w:w="1832" w:type="pct"/>
            <w:gridSpan w:val="2"/>
            <w:tcBorders>
              <w:top w:val="single" w:sz="8" w:space="0" w:color="auto"/>
              <w:left w:val="single" w:sz="8" w:space="0" w:color="auto"/>
              <w:bottom w:val="nil"/>
              <w:right w:val="nil"/>
            </w:tcBorders>
            <w:shd w:val="clear" w:color="auto" w:fill="auto"/>
            <w:noWrap/>
            <w:vAlign w:val="bottom"/>
            <w:hideMark/>
          </w:tcPr>
          <w:p w:rsidR="00C85C83" w:rsidRPr="00C85C83" w:rsidRDefault="00C85C83" w:rsidP="00C85C83">
            <w:pPr>
              <w:rPr>
                <w:rFonts w:ascii="Lucida Bright" w:hAnsi="Lucida Bright" w:cs="Calibri"/>
                <w:b/>
                <w:bCs/>
                <w:color w:val="000000"/>
                <w:sz w:val="14"/>
                <w:szCs w:val="14"/>
                <w:lang w:val="es-ES"/>
              </w:rPr>
            </w:pPr>
            <w:r w:rsidRPr="00C85C83">
              <w:rPr>
                <w:rFonts w:ascii="Lucida Bright" w:hAnsi="Lucida Bright" w:cs="Calibri"/>
                <w:b/>
                <w:bCs/>
                <w:color w:val="000000"/>
                <w:sz w:val="14"/>
                <w:szCs w:val="14"/>
                <w:lang w:val="es-ES"/>
              </w:rPr>
              <w:t>Saldos iniciales</w:t>
            </w: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245.316,76</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6.280.059,79</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111.734,57</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6.512.124,94</w:t>
            </w:r>
          </w:p>
        </w:tc>
      </w:tr>
      <w:tr w:rsidR="00C85C83" w:rsidRPr="00C85C83" w:rsidTr="00C85C83">
        <w:trPr>
          <w:trHeight w:val="225"/>
        </w:trPr>
        <w:tc>
          <w:tcPr>
            <w:tcW w:w="2093" w:type="pct"/>
            <w:gridSpan w:val="3"/>
            <w:tcBorders>
              <w:top w:val="nil"/>
              <w:left w:val="single" w:sz="8" w:space="0" w:color="auto"/>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Efecto impositivo por diferencias temporarias-</w:t>
            </w: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1832" w:type="pct"/>
            <w:gridSpan w:val="2"/>
            <w:tcBorders>
              <w:top w:val="nil"/>
              <w:left w:val="single" w:sz="8" w:space="0" w:color="auto"/>
              <w:bottom w:val="nil"/>
              <w:right w:val="nil"/>
            </w:tcBorders>
            <w:shd w:val="clear" w:color="auto" w:fill="auto"/>
            <w:noWrap/>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Aumentos</w:t>
            </w: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15.577,99</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35,66</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148.163,62</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119,18</w:t>
            </w:r>
          </w:p>
        </w:tc>
      </w:tr>
      <w:tr w:rsidR="00C85C83" w:rsidRPr="00C85C83" w:rsidTr="00C85C83">
        <w:trPr>
          <w:trHeight w:val="225"/>
        </w:trPr>
        <w:tc>
          <w:tcPr>
            <w:tcW w:w="1832" w:type="pct"/>
            <w:gridSpan w:val="2"/>
            <w:tcBorders>
              <w:top w:val="nil"/>
              <w:left w:val="single" w:sz="8" w:space="0" w:color="auto"/>
              <w:bottom w:val="nil"/>
              <w:right w:val="nil"/>
            </w:tcBorders>
            <w:shd w:val="clear" w:color="auto" w:fill="auto"/>
            <w:noWrap/>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Disminuciones</w:t>
            </w: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(53.963,05)</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(152,56)</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(14.581,43)</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(47,75)</w:t>
            </w:r>
          </w:p>
        </w:tc>
      </w:tr>
      <w:tr w:rsidR="00C85C83" w:rsidRPr="00C85C83" w:rsidTr="00C85C83">
        <w:trPr>
          <w:trHeight w:val="225"/>
        </w:trPr>
        <w:tc>
          <w:tcPr>
            <w:tcW w:w="1570" w:type="pct"/>
            <w:tcBorders>
              <w:top w:val="nil"/>
              <w:left w:val="single" w:sz="8" w:space="0" w:color="auto"/>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262"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1832" w:type="pct"/>
            <w:gridSpan w:val="2"/>
            <w:tcBorders>
              <w:top w:val="nil"/>
              <w:left w:val="single" w:sz="8" w:space="0" w:color="auto"/>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Base Imponibles negativas</w:t>
            </w: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1832" w:type="pct"/>
            <w:gridSpan w:val="2"/>
            <w:tcBorders>
              <w:top w:val="nil"/>
              <w:left w:val="single" w:sz="8" w:space="0" w:color="auto"/>
              <w:bottom w:val="nil"/>
              <w:right w:val="nil"/>
            </w:tcBorders>
            <w:shd w:val="clear" w:color="auto" w:fill="auto"/>
            <w:noWrap/>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xml:space="preserve">Aumentos </w:t>
            </w: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1832" w:type="pct"/>
            <w:gridSpan w:val="2"/>
            <w:tcBorders>
              <w:top w:val="nil"/>
              <w:left w:val="single" w:sz="8" w:space="0" w:color="auto"/>
              <w:bottom w:val="nil"/>
              <w:right w:val="nil"/>
            </w:tcBorders>
            <w:shd w:val="clear" w:color="auto" w:fill="auto"/>
            <w:noWrap/>
            <w:vAlign w:val="bottom"/>
            <w:hideMark/>
          </w:tcPr>
          <w:p w:rsidR="00C85C83" w:rsidRPr="00C85C83" w:rsidRDefault="00DD448C"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Disminuciones</w:t>
            </w: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1570" w:type="pct"/>
            <w:tcBorders>
              <w:top w:val="nil"/>
              <w:left w:val="single" w:sz="8" w:space="0" w:color="auto"/>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262"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1570" w:type="pct"/>
            <w:tcBorders>
              <w:top w:val="nil"/>
              <w:left w:val="single" w:sz="8" w:space="0" w:color="auto"/>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Deducciones</w:t>
            </w:r>
          </w:p>
        </w:tc>
        <w:tc>
          <w:tcPr>
            <w:tcW w:w="262"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1832" w:type="pct"/>
            <w:gridSpan w:val="2"/>
            <w:tcBorders>
              <w:top w:val="nil"/>
              <w:left w:val="single" w:sz="8" w:space="0" w:color="auto"/>
              <w:bottom w:val="nil"/>
              <w:right w:val="nil"/>
            </w:tcBorders>
            <w:shd w:val="clear" w:color="auto" w:fill="auto"/>
            <w:noWrap/>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Aumentos</w:t>
            </w: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1832" w:type="pct"/>
            <w:gridSpan w:val="2"/>
            <w:tcBorders>
              <w:top w:val="nil"/>
              <w:left w:val="single" w:sz="8" w:space="0" w:color="auto"/>
              <w:bottom w:val="nil"/>
              <w:right w:val="nil"/>
            </w:tcBorders>
            <w:shd w:val="clear" w:color="auto" w:fill="auto"/>
            <w:noWrap/>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Disminuciones</w:t>
            </w: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1570" w:type="pct"/>
            <w:tcBorders>
              <w:top w:val="nil"/>
              <w:left w:val="single" w:sz="8" w:space="0" w:color="auto"/>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262"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260"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2093" w:type="pct"/>
            <w:gridSpan w:val="3"/>
            <w:tcBorders>
              <w:top w:val="nil"/>
              <w:left w:val="single" w:sz="8" w:space="0" w:color="auto"/>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Ajuste Impuesto Sociedades ejercicios anteriores</w:t>
            </w: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25"/>
        </w:trPr>
        <w:tc>
          <w:tcPr>
            <w:tcW w:w="2093" w:type="pct"/>
            <w:gridSpan w:val="3"/>
            <w:tcBorders>
              <w:top w:val="nil"/>
              <w:left w:val="single" w:sz="8" w:space="0" w:color="auto"/>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Impuestos reconocidos en el Patrimonio Neto-</w:t>
            </w:r>
          </w:p>
        </w:tc>
        <w:tc>
          <w:tcPr>
            <w:tcW w:w="110" w:type="pct"/>
            <w:tcBorders>
              <w:top w:val="nil"/>
              <w:left w:val="nil"/>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r>
      <w:tr w:rsidR="00C85C83" w:rsidRPr="00C85C83" w:rsidTr="00C85C83">
        <w:trPr>
          <w:trHeight w:val="255"/>
        </w:trPr>
        <w:tc>
          <w:tcPr>
            <w:tcW w:w="2093" w:type="pct"/>
            <w:gridSpan w:val="3"/>
            <w:tcBorders>
              <w:top w:val="nil"/>
              <w:left w:val="single" w:sz="8" w:space="0" w:color="auto"/>
              <w:bottom w:val="single" w:sz="8" w:space="0" w:color="auto"/>
              <w:right w:val="nil"/>
            </w:tcBorders>
            <w:shd w:val="clear" w:color="auto" w:fill="auto"/>
            <w:vAlign w:val="bottom"/>
            <w:hideMark/>
          </w:tcPr>
          <w:p w:rsidR="00C85C83" w:rsidRPr="00C85C83" w:rsidRDefault="00C85C83" w:rsidP="00C85C83">
            <w:pPr>
              <w:jc w:val="cente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Aumentos/Disminuciones</w:t>
            </w:r>
          </w:p>
        </w:tc>
        <w:tc>
          <w:tcPr>
            <w:tcW w:w="110" w:type="pct"/>
            <w:tcBorders>
              <w:top w:val="nil"/>
              <w:left w:val="nil"/>
              <w:bottom w:val="single" w:sz="8" w:space="0" w:color="auto"/>
              <w:right w:val="single" w:sz="8" w:space="0" w:color="auto"/>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99.325,69</w:t>
            </w:r>
          </w:p>
        </w:tc>
        <w:tc>
          <w:tcPr>
            <w:tcW w:w="684" w:type="pct"/>
            <w:tcBorders>
              <w:top w:val="nil"/>
              <w:left w:val="nil"/>
              <w:bottom w:val="nil"/>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684" w:type="pct"/>
            <w:gridSpan w:val="2"/>
            <w:tcBorders>
              <w:top w:val="nil"/>
              <w:left w:val="single" w:sz="4" w:space="0" w:color="auto"/>
              <w:bottom w:val="nil"/>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(232.136,58)</w:t>
            </w:r>
          </w:p>
        </w:tc>
      </w:tr>
      <w:tr w:rsidR="00C85C83" w:rsidRPr="00C85C83" w:rsidTr="00C85C83">
        <w:trPr>
          <w:trHeight w:val="240"/>
        </w:trPr>
        <w:tc>
          <w:tcPr>
            <w:tcW w:w="1570" w:type="pct"/>
            <w:tcBorders>
              <w:top w:val="nil"/>
              <w:left w:val="single" w:sz="8" w:space="0" w:color="auto"/>
              <w:bottom w:val="single" w:sz="8" w:space="0" w:color="auto"/>
              <w:right w:val="nil"/>
            </w:tcBorders>
            <w:shd w:val="clear" w:color="auto" w:fill="auto"/>
            <w:noWrap/>
            <w:vAlign w:val="bottom"/>
            <w:hideMark/>
          </w:tcPr>
          <w:p w:rsidR="00C85C83" w:rsidRPr="00C85C83" w:rsidRDefault="00C85C83" w:rsidP="00C85C83">
            <w:pPr>
              <w:rPr>
                <w:rFonts w:ascii="Lucida Bright" w:hAnsi="Lucida Bright" w:cs="Calibri"/>
                <w:b/>
                <w:bCs/>
                <w:color w:val="000000"/>
                <w:sz w:val="14"/>
                <w:szCs w:val="14"/>
                <w:lang w:val="es-ES"/>
              </w:rPr>
            </w:pPr>
            <w:r w:rsidRPr="00C85C83">
              <w:rPr>
                <w:rFonts w:ascii="Lucida Bright" w:hAnsi="Lucida Bright" w:cs="Calibri"/>
                <w:b/>
                <w:bCs/>
                <w:color w:val="000000"/>
                <w:sz w:val="14"/>
                <w:szCs w:val="14"/>
                <w:lang w:val="es-ES"/>
              </w:rPr>
              <w:t>Saldos finales</w:t>
            </w:r>
          </w:p>
        </w:tc>
        <w:tc>
          <w:tcPr>
            <w:tcW w:w="262" w:type="pct"/>
            <w:tcBorders>
              <w:top w:val="nil"/>
              <w:left w:val="nil"/>
              <w:bottom w:val="single" w:sz="8" w:space="0" w:color="auto"/>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260" w:type="pct"/>
            <w:tcBorders>
              <w:top w:val="nil"/>
              <w:left w:val="nil"/>
              <w:bottom w:val="single" w:sz="8" w:space="0" w:color="auto"/>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110" w:type="pct"/>
            <w:tcBorders>
              <w:top w:val="nil"/>
              <w:left w:val="nil"/>
              <w:bottom w:val="single" w:sz="8" w:space="0" w:color="auto"/>
              <w:right w:val="nil"/>
            </w:tcBorders>
            <w:shd w:val="clear" w:color="auto" w:fill="auto"/>
            <w:noWrap/>
            <w:vAlign w:val="bottom"/>
            <w:hideMark/>
          </w:tcPr>
          <w:p w:rsidR="00C85C83" w:rsidRPr="00C85C83" w:rsidRDefault="00C85C83" w:rsidP="00C85C83">
            <w:pPr>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 </w:t>
            </w:r>
          </w:p>
        </w:tc>
        <w:tc>
          <w:tcPr>
            <w:tcW w:w="74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206.931,70</w:t>
            </w:r>
          </w:p>
        </w:tc>
        <w:tc>
          <w:tcPr>
            <w:tcW w:w="684" w:type="pct"/>
            <w:tcBorders>
              <w:top w:val="single" w:sz="8" w:space="0" w:color="auto"/>
              <w:left w:val="nil"/>
              <w:bottom w:val="single" w:sz="8" w:space="0" w:color="auto"/>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6.379.268,58</w:t>
            </w:r>
          </w:p>
        </w:tc>
        <w:tc>
          <w:tcPr>
            <w:tcW w:w="684" w:type="pct"/>
            <w:tcBorders>
              <w:top w:val="single" w:sz="8" w:space="0" w:color="auto"/>
              <w:left w:val="nil"/>
              <w:bottom w:val="single" w:sz="8" w:space="0" w:color="auto"/>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245.316,76</w:t>
            </w:r>
          </w:p>
        </w:tc>
        <w:tc>
          <w:tcPr>
            <w:tcW w:w="684" w:type="pct"/>
            <w:gridSpan w:val="2"/>
            <w:tcBorders>
              <w:top w:val="single" w:sz="8" w:space="0" w:color="auto"/>
              <w:left w:val="nil"/>
              <w:bottom w:val="single" w:sz="8" w:space="0" w:color="auto"/>
              <w:right w:val="single" w:sz="8" w:space="0" w:color="auto"/>
            </w:tcBorders>
            <w:shd w:val="clear" w:color="auto" w:fill="auto"/>
            <w:noWrap/>
            <w:vAlign w:val="bottom"/>
            <w:hideMark/>
          </w:tcPr>
          <w:p w:rsidR="00C85C83" w:rsidRPr="00C85C83" w:rsidRDefault="00C85C83" w:rsidP="00C85C83">
            <w:pPr>
              <w:jc w:val="right"/>
              <w:rPr>
                <w:rFonts w:ascii="Lucida Bright" w:hAnsi="Lucida Bright" w:cs="Calibri"/>
                <w:color w:val="000000"/>
                <w:sz w:val="14"/>
                <w:szCs w:val="14"/>
                <w:lang w:val="es-ES"/>
              </w:rPr>
            </w:pPr>
            <w:r w:rsidRPr="00C85C83">
              <w:rPr>
                <w:rFonts w:ascii="Lucida Bright" w:hAnsi="Lucida Bright" w:cs="Calibri"/>
                <w:color w:val="000000"/>
                <w:sz w:val="14"/>
                <w:szCs w:val="14"/>
                <w:lang w:val="es-ES"/>
              </w:rPr>
              <w:t>6.280.059,79</w:t>
            </w:r>
          </w:p>
        </w:tc>
      </w:tr>
    </w:tbl>
    <w:p w:rsidR="00865CED" w:rsidRPr="00865CED" w:rsidRDefault="00865CED">
      <w:pPr>
        <w:tabs>
          <w:tab w:val="right" w:pos="8364"/>
        </w:tabs>
        <w:ind w:firstLine="540"/>
        <w:jc w:val="both"/>
        <w:rPr>
          <w:rFonts w:ascii="NewBaskerville" w:hAnsi="NewBaskerville"/>
          <w:bCs/>
        </w:rPr>
      </w:pPr>
    </w:p>
    <w:p w:rsidR="00D14CEC" w:rsidRDefault="00D14CEC">
      <w:pPr>
        <w:tabs>
          <w:tab w:val="right" w:pos="8364"/>
        </w:tabs>
        <w:ind w:firstLine="540"/>
        <w:jc w:val="both"/>
        <w:rPr>
          <w:bCs/>
        </w:rPr>
      </w:pPr>
    </w:p>
    <w:p w:rsidR="00D14CEC" w:rsidRPr="008F295B" w:rsidRDefault="00D14CEC">
      <w:pPr>
        <w:tabs>
          <w:tab w:val="right" w:pos="8364"/>
        </w:tabs>
        <w:ind w:firstLine="540"/>
        <w:jc w:val="both"/>
        <w:rPr>
          <w:rFonts w:ascii="NewBaskerville" w:hAnsi="NewBaskerville"/>
          <w:bCs/>
        </w:rPr>
      </w:pPr>
    </w:p>
    <w:p w:rsidR="00A12578" w:rsidRPr="008F295B" w:rsidRDefault="00A12578">
      <w:pPr>
        <w:tabs>
          <w:tab w:val="right" w:pos="8364"/>
        </w:tabs>
        <w:ind w:firstLine="540"/>
        <w:jc w:val="both"/>
        <w:rPr>
          <w:rFonts w:ascii="NewBaskerville" w:hAnsi="NewBaskerville"/>
          <w:bCs/>
        </w:rPr>
      </w:pPr>
      <w:r w:rsidRPr="008F295B">
        <w:rPr>
          <w:rFonts w:ascii="NewBaskerville" w:hAnsi="NewBaskerville"/>
          <w:bCs/>
          <w:u w:val="single"/>
        </w:rPr>
        <w:t>Ejercicios pendientes de comprobación y actuaciones inspectoras.</w:t>
      </w:r>
    </w:p>
    <w:p w:rsidR="00A12578" w:rsidRPr="008F295B" w:rsidRDefault="00A12578">
      <w:pPr>
        <w:tabs>
          <w:tab w:val="right" w:pos="8364"/>
        </w:tabs>
        <w:ind w:firstLine="540"/>
        <w:jc w:val="both"/>
        <w:rPr>
          <w:rFonts w:ascii="NewBaskerville" w:hAnsi="NewBaskerville"/>
          <w:bCs/>
        </w:rPr>
      </w:pPr>
    </w:p>
    <w:p w:rsidR="00A12578" w:rsidRPr="008F295B" w:rsidRDefault="00A12578">
      <w:pPr>
        <w:tabs>
          <w:tab w:val="right" w:pos="8364"/>
        </w:tabs>
        <w:ind w:firstLine="540"/>
        <w:jc w:val="both"/>
        <w:rPr>
          <w:rFonts w:ascii="NewBaskerville" w:hAnsi="NewBaskerville"/>
          <w:bCs/>
        </w:rPr>
      </w:pPr>
      <w:r w:rsidRPr="008F295B">
        <w:rPr>
          <w:rFonts w:ascii="NewBaskerville" w:hAnsi="NewBaskerville"/>
          <w:bCs/>
        </w:rPr>
        <w:t>Según establece la legislación vigente, los impuestos no pueden considerarse definitivamente liquidados hasta que las declaraciones presentadas hayan sido inspeccionadas por las autoridades fisca</w:t>
      </w:r>
      <w:r w:rsidR="00B1316C" w:rsidRPr="008F295B">
        <w:rPr>
          <w:rFonts w:ascii="NewBaskerville" w:hAnsi="NewBaskerville"/>
          <w:bCs/>
        </w:rPr>
        <w:t>les o haya transcurrido el plazo</w:t>
      </w:r>
      <w:r w:rsidRPr="008F295B">
        <w:rPr>
          <w:rFonts w:ascii="NewBaskerville" w:hAnsi="NewBaskerville"/>
          <w:bCs/>
        </w:rPr>
        <w:t xml:space="preserve"> de prescripción de cuatro añ</w:t>
      </w:r>
      <w:r w:rsidR="00C2536F" w:rsidRPr="008F295B">
        <w:rPr>
          <w:rFonts w:ascii="NewBaskerville" w:hAnsi="NewBaskerville"/>
          <w:bCs/>
        </w:rPr>
        <w:t>os. Al cierre del ejercicio 202</w:t>
      </w:r>
      <w:r w:rsidR="007B24DE">
        <w:rPr>
          <w:rFonts w:ascii="NewBaskerville" w:hAnsi="NewBaskerville"/>
          <w:bCs/>
        </w:rPr>
        <w:t>3</w:t>
      </w:r>
      <w:r w:rsidRPr="008F295B">
        <w:rPr>
          <w:rFonts w:ascii="NewBaskerville" w:hAnsi="NewBaskerville"/>
          <w:bCs/>
        </w:rPr>
        <w:t xml:space="preserve"> la AP</w:t>
      </w:r>
      <w:r w:rsidR="008F295B">
        <w:rPr>
          <w:rFonts w:ascii="NewBaskerville" w:hAnsi="NewBaskerville"/>
          <w:bCs/>
        </w:rPr>
        <w:t>B</w:t>
      </w:r>
      <w:r w:rsidRPr="008F295B">
        <w:rPr>
          <w:rFonts w:ascii="NewBaskerville" w:hAnsi="NewBaskerville"/>
          <w:bCs/>
        </w:rPr>
        <w:t xml:space="preserve"> tiene abiertos </w:t>
      </w:r>
      <w:r w:rsidR="00C2536F" w:rsidRPr="008F295B">
        <w:rPr>
          <w:rFonts w:ascii="NewBaskerville" w:hAnsi="NewBaskerville"/>
          <w:bCs/>
        </w:rPr>
        <w:t>a inspección los ejercicios 201</w:t>
      </w:r>
      <w:r w:rsidR="007B24DE">
        <w:rPr>
          <w:rFonts w:ascii="NewBaskerville" w:hAnsi="NewBaskerville"/>
          <w:bCs/>
        </w:rPr>
        <w:t>9</w:t>
      </w:r>
      <w:r w:rsidRPr="008F295B">
        <w:rPr>
          <w:rFonts w:ascii="NewBaskerville" w:hAnsi="NewBaskerville"/>
          <w:bCs/>
        </w:rPr>
        <w:t xml:space="preserve"> y siguientes del Impuesto sobre </w:t>
      </w:r>
      <w:r w:rsidR="00C2536F" w:rsidRPr="008F295B">
        <w:rPr>
          <w:rFonts w:ascii="NewBaskerville" w:hAnsi="NewBaskerville"/>
          <w:bCs/>
        </w:rPr>
        <w:t>Sociedades</w:t>
      </w:r>
      <w:r w:rsidR="000A6F65">
        <w:rPr>
          <w:rFonts w:ascii="NewBaskerville" w:hAnsi="NewBaskerville"/>
          <w:bCs/>
        </w:rPr>
        <w:t>,</w:t>
      </w:r>
      <w:r w:rsidR="00C2536F" w:rsidRPr="008F295B">
        <w:rPr>
          <w:rFonts w:ascii="NewBaskerville" w:hAnsi="NewBaskerville"/>
          <w:bCs/>
        </w:rPr>
        <w:t xml:space="preserve"> y los ejercicios 201</w:t>
      </w:r>
      <w:r w:rsidR="007B24DE">
        <w:rPr>
          <w:rFonts w:ascii="NewBaskerville" w:hAnsi="NewBaskerville"/>
          <w:bCs/>
        </w:rPr>
        <w:t>9</w:t>
      </w:r>
      <w:r w:rsidR="000A6F65">
        <w:rPr>
          <w:rFonts w:ascii="NewBaskerville" w:hAnsi="NewBaskerville"/>
          <w:bCs/>
        </w:rPr>
        <w:t xml:space="preserve"> y siguientes</w:t>
      </w:r>
      <w:r w:rsidRPr="008F295B">
        <w:rPr>
          <w:rFonts w:ascii="NewBaskerville" w:hAnsi="NewBaskerville"/>
          <w:bCs/>
        </w:rPr>
        <w:t xml:space="preserve"> para los demás impuestos que le son de aplicación. La AP</w:t>
      </w:r>
      <w:r w:rsidR="008F295B">
        <w:rPr>
          <w:rFonts w:ascii="NewBaskerville" w:hAnsi="NewBaskerville"/>
          <w:bCs/>
        </w:rPr>
        <w:t>B</w:t>
      </w:r>
      <w:r w:rsidRPr="008F295B">
        <w:rPr>
          <w:rFonts w:ascii="NewBaskerville" w:hAnsi="NewBaskerville"/>
          <w:bCs/>
        </w:rPr>
        <w:t xml:space="preserve"> considera que se han practicado adecuadamente las liquidaciones de los mencionados </w:t>
      </w:r>
      <w:r w:rsidR="003F24D6" w:rsidRPr="008F295B">
        <w:rPr>
          <w:rFonts w:ascii="NewBaskerville" w:hAnsi="NewBaskerville"/>
          <w:bCs/>
        </w:rPr>
        <w:t>impuestos</w:t>
      </w:r>
      <w:r w:rsidRPr="008F295B">
        <w:rPr>
          <w:rFonts w:ascii="NewBaskerville" w:hAnsi="NewBaskerville"/>
          <w:bCs/>
        </w:rPr>
        <w:t>, por lo que, aún en el caso de que surgieran discrepancias en la interpretación normativa vigente por el tratamiento fiscal otorgado a las operaciones, los eventuales pasivos resultantes, en el caso de materializarse, no afectarían de manera significativa a las cuentas anuales formuladas.</w:t>
      </w:r>
    </w:p>
    <w:p w:rsidR="00A12578" w:rsidRDefault="00A12578">
      <w:pPr>
        <w:tabs>
          <w:tab w:val="right" w:pos="8364"/>
        </w:tabs>
        <w:ind w:firstLine="540"/>
        <w:jc w:val="both"/>
        <w:rPr>
          <w:bCs/>
        </w:rPr>
      </w:pPr>
    </w:p>
    <w:p w:rsidR="00D14CEC" w:rsidRDefault="00D14CEC">
      <w:pPr>
        <w:tabs>
          <w:tab w:val="right" w:pos="8364"/>
        </w:tabs>
        <w:ind w:firstLine="540"/>
        <w:jc w:val="both"/>
        <w:rPr>
          <w:bCs/>
        </w:rPr>
      </w:pPr>
    </w:p>
    <w:p w:rsidR="00E0015A" w:rsidRDefault="00E0015A">
      <w:pPr>
        <w:tabs>
          <w:tab w:val="right" w:pos="8364"/>
        </w:tabs>
        <w:ind w:left="567" w:hanging="567"/>
        <w:jc w:val="both"/>
        <w:rPr>
          <w:b/>
          <w:bCs/>
          <w:sz w:val="24"/>
          <w:szCs w:val="24"/>
        </w:rPr>
      </w:pPr>
    </w:p>
    <w:p w:rsidR="007131C1" w:rsidRDefault="007131C1">
      <w:pPr>
        <w:tabs>
          <w:tab w:val="right" w:pos="8364"/>
        </w:tabs>
        <w:ind w:left="567" w:hanging="567"/>
        <w:jc w:val="both"/>
        <w:rPr>
          <w:rFonts w:ascii="NewBaskerville" w:hAnsi="NewBaskerville"/>
          <w:b/>
          <w:bCs/>
          <w:sz w:val="24"/>
          <w:szCs w:val="24"/>
        </w:rPr>
      </w:pPr>
    </w:p>
    <w:p w:rsidR="007131C1" w:rsidRDefault="007131C1">
      <w:pPr>
        <w:tabs>
          <w:tab w:val="right" w:pos="8364"/>
        </w:tabs>
        <w:ind w:left="567" w:hanging="567"/>
        <w:jc w:val="both"/>
        <w:rPr>
          <w:rFonts w:ascii="NewBaskerville" w:hAnsi="NewBaskerville"/>
          <w:b/>
          <w:bCs/>
          <w:sz w:val="24"/>
          <w:szCs w:val="24"/>
        </w:rPr>
      </w:pPr>
    </w:p>
    <w:p w:rsidR="007131C1" w:rsidRDefault="007131C1">
      <w:pPr>
        <w:tabs>
          <w:tab w:val="right" w:pos="8364"/>
        </w:tabs>
        <w:ind w:left="567" w:hanging="567"/>
        <w:jc w:val="both"/>
        <w:rPr>
          <w:rFonts w:ascii="NewBaskerville" w:hAnsi="NewBaskerville"/>
          <w:b/>
          <w:bCs/>
          <w:sz w:val="24"/>
          <w:szCs w:val="24"/>
        </w:rPr>
      </w:pPr>
    </w:p>
    <w:p w:rsidR="007131C1" w:rsidRDefault="007131C1">
      <w:pPr>
        <w:tabs>
          <w:tab w:val="right" w:pos="8364"/>
        </w:tabs>
        <w:ind w:left="567" w:hanging="567"/>
        <w:jc w:val="both"/>
        <w:rPr>
          <w:rFonts w:ascii="NewBaskerville" w:hAnsi="NewBaskerville"/>
          <w:b/>
          <w:bCs/>
          <w:sz w:val="24"/>
          <w:szCs w:val="24"/>
        </w:rPr>
      </w:pPr>
    </w:p>
    <w:p w:rsidR="007131C1" w:rsidRDefault="007131C1">
      <w:pPr>
        <w:tabs>
          <w:tab w:val="right" w:pos="8364"/>
        </w:tabs>
        <w:ind w:left="567" w:hanging="567"/>
        <w:jc w:val="both"/>
        <w:rPr>
          <w:rFonts w:ascii="NewBaskerville" w:hAnsi="NewBaskerville"/>
          <w:b/>
          <w:bCs/>
          <w:sz w:val="24"/>
          <w:szCs w:val="24"/>
        </w:rPr>
      </w:pPr>
    </w:p>
    <w:p w:rsidR="002C4355" w:rsidRPr="00556957" w:rsidRDefault="002C4355">
      <w:pPr>
        <w:tabs>
          <w:tab w:val="right" w:pos="8364"/>
        </w:tabs>
        <w:ind w:left="567" w:hanging="567"/>
        <w:jc w:val="both"/>
        <w:rPr>
          <w:rFonts w:ascii="NewBaskerville" w:hAnsi="NewBaskerville"/>
          <w:b/>
          <w:bCs/>
          <w:sz w:val="24"/>
          <w:szCs w:val="24"/>
        </w:rPr>
      </w:pPr>
      <w:r w:rsidRPr="00556957">
        <w:rPr>
          <w:rFonts w:ascii="NewBaskerville" w:hAnsi="NewBaskerville"/>
          <w:b/>
          <w:bCs/>
          <w:sz w:val="24"/>
          <w:szCs w:val="24"/>
        </w:rPr>
        <w:lastRenderedPageBreak/>
        <w:t>1</w:t>
      </w:r>
      <w:r w:rsidR="00A00693" w:rsidRPr="00556957">
        <w:rPr>
          <w:rFonts w:ascii="NewBaskerville" w:hAnsi="NewBaskerville"/>
          <w:b/>
          <w:bCs/>
          <w:sz w:val="24"/>
          <w:szCs w:val="24"/>
        </w:rPr>
        <w:t>3</w:t>
      </w:r>
      <w:r w:rsidR="00BF22FE" w:rsidRPr="00556957">
        <w:rPr>
          <w:rFonts w:ascii="NewBaskerville" w:hAnsi="NewBaskerville"/>
          <w:b/>
          <w:bCs/>
          <w:sz w:val="24"/>
          <w:szCs w:val="24"/>
        </w:rPr>
        <w:t xml:space="preserve">. </w:t>
      </w:r>
      <w:r w:rsidRPr="00556957">
        <w:rPr>
          <w:rFonts w:ascii="NewBaskerville" w:hAnsi="NewBaskerville"/>
          <w:b/>
          <w:bCs/>
          <w:sz w:val="24"/>
          <w:szCs w:val="24"/>
        </w:rPr>
        <w:t>Información sobre medio ambiente</w:t>
      </w:r>
    </w:p>
    <w:p w:rsidR="00B8285C" w:rsidRPr="00556957" w:rsidRDefault="00B8285C">
      <w:pPr>
        <w:tabs>
          <w:tab w:val="right" w:pos="8364"/>
        </w:tabs>
        <w:ind w:left="567" w:hanging="567"/>
        <w:jc w:val="both"/>
        <w:rPr>
          <w:rFonts w:ascii="NewBaskerville" w:hAnsi="NewBaskerville"/>
          <w:b/>
          <w:bCs/>
          <w:sz w:val="24"/>
          <w:szCs w:val="24"/>
        </w:rPr>
      </w:pPr>
    </w:p>
    <w:p w:rsidR="00E809AA" w:rsidRPr="00556957" w:rsidRDefault="002C4355" w:rsidP="00576518">
      <w:pPr>
        <w:pStyle w:val="Sangradetextonormal"/>
        <w:ind w:firstLine="0"/>
        <w:rPr>
          <w:rFonts w:ascii="NewBaskerville" w:hAnsi="NewBaskerville"/>
          <w:bCs/>
          <w:sz w:val="20"/>
        </w:rPr>
      </w:pPr>
      <w:r w:rsidRPr="00556957">
        <w:rPr>
          <w:rFonts w:ascii="NewBaskerville" w:hAnsi="NewBaskerville"/>
          <w:bCs/>
          <w:sz w:val="20"/>
        </w:rPr>
        <w:t>Los gastos efectuados en el ejercicio</w:t>
      </w:r>
      <w:r w:rsidR="00C2536F" w:rsidRPr="00556957">
        <w:rPr>
          <w:rFonts w:ascii="NewBaskerville" w:hAnsi="NewBaskerville"/>
          <w:bCs/>
          <w:sz w:val="20"/>
        </w:rPr>
        <w:t xml:space="preserve"> </w:t>
      </w:r>
      <w:r w:rsidR="00C2536F" w:rsidRPr="00F015C9">
        <w:rPr>
          <w:rFonts w:ascii="NewBaskerville" w:hAnsi="NewBaskerville"/>
          <w:b/>
          <w:bCs/>
          <w:sz w:val="20"/>
        </w:rPr>
        <w:t>202</w:t>
      </w:r>
      <w:r w:rsidR="00533ECB">
        <w:rPr>
          <w:rFonts w:ascii="NewBaskerville" w:hAnsi="NewBaskerville"/>
          <w:b/>
          <w:bCs/>
          <w:sz w:val="20"/>
        </w:rPr>
        <w:t>3</w:t>
      </w:r>
      <w:r w:rsidR="00D95F74" w:rsidRPr="00556957">
        <w:rPr>
          <w:rFonts w:ascii="NewBaskerville" w:hAnsi="NewBaskerville"/>
          <w:bCs/>
          <w:sz w:val="20"/>
        </w:rPr>
        <w:t xml:space="preserve"> </w:t>
      </w:r>
      <w:r w:rsidRPr="00556957">
        <w:rPr>
          <w:rFonts w:ascii="NewBaskerville" w:hAnsi="NewBaskerville"/>
          <w:bCs/>
          <w:sz w:val="20"/>
        </w:rPr>
        <w:t xml:space="preserve"> por actividades medioambientales corresponden a gastos ordinarios del ejercicio contabilizados por su naturaleza en sus respectivas cuentas contables</w:t>
      </w:r>
      <w:r w:rsidR="00D95F74" w:rsidRPr="00556957">
        <w:rPr>
          <w:rFonts w:ascii="NewBaskerville" w:hAnsi="NewBaskerville"/>
          <w:bCs/>
          <w:sz w:val="20"/>
        </w:rPr>
        <w:t xml:space="preserve"> por un total de </w:t>
      </w:r>
      <w:r w:rsidR="00F015C9" w:rsidRPr="00AE1189">
        <w:rPr>
          <w:rFonts w:ascii="NewBaskerville" w:hAnsi="NewBaskerville"/>
          <w:b/>
          <w:bCs/>
          <w:sz w:val="20"/>
        </w:rPr>
        <w:t>2.</w:t>
      </w:r>
      <w:r w:rsidR="00533ECB" w:rsidRPr="00AE1189">
        <w:rPr>
          <w:rFonts w:ascii="NewBaskerville" w:hAnsi="NewBaskerville"/>
          <w:b/>
          <w:bCs/>
          <w:sz w:val="20"/>
        </w:rPr>
        <w:t>90</w:t>
      </w:r>
      <w:r w:rsidR="00877A1B" w:rsidRPr="00AE1189">
        <w:rPr>
          <w:rFonts w:ascii="NewBaskerville" w:hAnsi="NewBaskerville"/>
          <w:b/>
          <w:bCs/>
          <w:sz w:val="20"/>
        </w:rPr>
        <w:t>6</w:t>
      </w:r>
      <w:r w:rsidR="00F015C9" w:rsidRPr="00AE1189">
        <w:rPr>
          <w:rFonts w:ascii="NewBaskerville" w:hAnsi="NewBaskerville"/>
          <w:b/>
          <w:bCs/>
          <w:sz w:val="20"/>
        </w:rPr>
        <w:t>.</w:t>
      </w:r>
      <w:r w:rsidR="00877A1B" w:rsidRPr="00AE1189">
        <w:rPr>
          <w:rFonts w:ascii="NewBaskerville" w:hAnsi="NewBaskerville"/>
          <w:b/>
          <w:bCs/>
          <w:sz w:val="20"/>
        </w:rPr>
        <w:t>310</w:t>
      </w:r>
      <w:r w:rsidR="00F015C9" w:rsidRPr="00AE1189">
        <w:rPr>
          <w:rFonts w:ascii="NewBaskerville" w:hAnsi="NewBaskerville"/>
          <w:b/>
          <w:bCs/>
          <w:sz w:val="20"/>
        </w:rPr>
        <w:t>,</w:t>
      </w:r>
      <w:r w:rsidR="00877A1B" w:rsidRPr="00AE1189">
        <w:rPr>
          <w:rFonts w:ascii="NewBaskerville" w:hAnsi="NewBaskerville"/>
          <w:b/>
          <w:bCs/>
          <w:sz w:val="20"/>
        </w:rPr>
        <w:t>88</w:t>
      </w:r>
      <w:r w:rsidR="00151A2A" w:rsidRPr="00556957">
        <w:rPr>
          <w:rFonts w:ascii="NewBaskerville" w:hAnsi="NewBaskerville"/>
          <w:bCs/>
          <w:sz w:val="20"/>
        </w:rPr>
        <w:t xml:space="preserve"> </w:t>
      </w:r>
      <w:r w:rsidR="00AE1189">
        <w:rPr>
          <w:rFonts w:ascii="NewBaskerville" w:hAnsi="NewBaskerville"/>
          <w:bCs/>
          <w:sz w:val="20"/>
        </w:rPr>
        <w:t>euros</w:t>
      </w:r>
      <w:r w:rsidR="00BD20B8" w:rsidRPr="00556957">
        <w:rPr>
          <w:rFonts w:ascii="NewBaskerville" w:hAnsi="NewBaskerville"/>
          <w:bCs/>
          <w:sz w:val="20"/>
        </w:rPr>
        <w:t xml:space="preserve">. </w:t>
      </w:r>
      <w:r w:rsidR="00747953" w:rsidRPr="00556957">
        <w:rPr>
          <w:rFonts w:ascii="NewBaskerville" w:hAnsi="NewBaskerville"/>
          <w:bCs/>
          <w:sz w:val="20"/>
        </w:rPr>
        <w:t>Las ac</w:t>
      </w:r>
      <w:r w:rsidR="00BD20B8" w:rsidRPr="00556957">
        <w:rPr>
          <w:rFonts w:ascii="NewBaskerville" w:hAnsi="NewBaskerville"/>
          <w:bCs/>
          <w:sz w:val="20"/>
        </w:rPr>
        <w:t>t</w:t>
      </w:r>
      <w:r w:rsidR="00747953" w:rsidRPr="00556957">
        <w:rPr>
          <w:rFonts w:ascii="NewBaskerville" w:hAnsi="NewBaskerville"/>
          <w:bCs/>
          <w:sz w:val="20"/>
        </w:rPr>
        <w:t>u</w:t>
      </w:r>
      <w:r w:rsidR="00BD20B8" w:rsidRPr="00556957">
        <w:rPr>
          <w:rFonts w:ascii="NewBaskerville" w:hAnsi="NewBaskerville"/>
          <w:bCs/>
          <w:sz w:val="20"/>
        </w:rPr>
        <w:t>aciones medioambientales han correspondido a</w:t>
      </w:r>
      <w:r w:rsidR="00662D97" w:rsidRPr="00556957">
        <w:rPr>
          <w:rFonts w:ascii="NewBaskerville" w:hAnsi="NewBaskerville"/>
          <w:bCs/>
          <w:sz w:val="20"/>
        </w:rPr>
        <w:t>:</w:t>
      </w:r>
    </w:p>
    <w:p w:rsidR="00EB3966" w:rsidRPr="00846803" w:rsidRDefault="00EB3966" w:rsidP="00D77EF9">
      <w:pPr>
        <w:pStyle w:val="Sangradetextonormal"/>
        <w:ind w:firstLine="0"/>
        <w:rPr>
          <w:bCs/>
          <w:sz w:val="20"/>
        </w:rPr>
      </w:pPr>
    </w:p>
    <w:tbl>
      <w:tblPr>
        <w:tblW w:w="8700" w:type="dxa"/>
        <w:tblInd w:w="55" w:type="dxa"/>
        <w:tblCellMar>
          <w:left w:w="70" w:type="dxa"/>
          <w:right w:w="70" w:type="dxa"/>
        </w:tblCellMar>
        <w:tblLook w:val="04A0" w:firstRow="1" w:lastRow="0" w:firstColumn="1" w:lastColumn="0" w:noHBand="0" w:noVBand="1"/>
      </w:tblPr>
      <w:tblGrid>
        <w:gridCol w:w="763"/>
        <w:gridCol w:w="763"/>
        <w:gridCol w:w="762"/>
        <w:gridCol w:w="762"/>
        <w:gridCol w:w="4290"/>
        <w:gridCol w:w="1360"/>
      </w:tblGrid>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MARPOL</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2.414.758,58</w:t>
            </w:r>
          </w:p>
        </w:tc>
      </w:tr>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xml:space="preserve">Asistencia Técnica para seguimiento y control de la calidad de las aguas de los puertos de la Autoridad Portuaria de Baleares </w:t>
            </w:r>
            <w:r w:rsidR="00DD448C" w:rsidRPr="00533ECB">
              <w:rPr>
                <w:rFonts w:ascii="NewBaskerville" w:hAnsi="NewBaskerville" w:cs="Calibri"/>
                <w:color w:val="000000"/>
                <w:sz w:val="14"/>
                <w:szCs w:val="14"/>
                <w:lang w:val="es-ES"/>
              </w:rPr>
              <w:t>según</w:t>
            </w:r>
            <w:r w:rsidRPr="00533ECB">
              <w:rPr>
                <w:rFonts w:ascii="NewBaskerville" w:hAnsi="NewBaskerville" w:cs="Calibri"/>
                <w:color w:val="000000"/>
                <w:sz w:val="14"/>
                <w:szCs w:val="14"/>
                <w:lang w:val="es-ES"/>
              </w:rPr>
              <w:t xml:space="preserve"> la ROM 5.1-13.</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62.179,36</w:t>
            </w:r>
          </w:p>
        </w:tc>
      </w:tr>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xml:space="preserve">A.T. para la </w:t>
            </w:r>
            <w:r w:rsidR="00DD448C" w:rsidRPr="00533ECB">
              <w:rPr>
                <w:rFonts w:ascii="NewBaskerville" w:hAnsi="NewBaskerville" w:cs="Calibri"/>
                <w:color w:val="000000"/>
                <w:sz w:val="14"/>
                <w:szCs w:val="14"/>
                <w:lang w:val="es-ES"/>
              </w:rPr>
              <w:t>elaboración</w:t>
            </w:r>
            <w:r w:rsidRPr="00533ECB">
              <w:rPr>
                <w:rFonts w:ascii="NewBaskerville" w:hAnsi="NewBaskerville" w:cs="Calibri"/>
                <w:color w:val="000000"/>
                <w:sz w:val="14"/>
                <w:szCs w:val="14"/>
                <w:lang w:val="es-ES"/>
              </w:rPr>
              <w:t xml:space="preserve"> del plan de </w:t>
            </w:r>
            <w:r w:rsidR="00DD448C" w:rsidRPr="00533ECB">
              <w:rPr>
                <w:rFonts w:ascii="NewBaskerville" w:hAnsi="NewBaskerville" w:cs="Calibri"/>
                <w:color w:val="000000"/>
                <w:sz w:val="14"/>
                <w:szCs w:val="14"/>
                <w:lang w:val="es-ES"/>
              </w:rPr>
              <w:t>gestión</w:t>
            </w:r>
            <w:r w:rsidRPr="00533ECB">
              <w:rPr>
                <w:rFonts w:ascii="NewBaskerville" w:hAnsi="NewBaskerville" w:cs="Calibri"/>
                <w:color w:val="000000"/>
                <w:sz w:val="14"/>
                <w:szCs w:val="14"/>
                <w:lang w:val="es-ES"/>
              </w:rPr>
              <w:t xml:space="preserve"> de residuos para la </w:t>
            </w:r>
            <w:r w:rsidR="00DD448C" w:rsidRPr="00533ECB">
              <w:rPr>
                <w:rFonts w:ascii="NewBaskerville" w:hAnsi="NewBaskerville" w:cs="Calibri"/>
                <w:color w:val="000000"/>
                <w:sz w:val="14"/>
                <w:szCs w:val="14"/>
                <w:lang w:val="es-ES"/>
              </w:rPr>
              <w:t>recepción</w:t>
            </w:r>
            <w:r w:rsidRPr="00533ECB">
              <w:rPr>
                <w:rFonts w:ascii="NewBaskerville" w:hAnsi="NewBaskerville" w:cs="Calibri"/>
                <w:color w:val="000000"/>
                <w:sz w:val="14"/>
                <w:szCs w:val="14"/>
                <w:lang w:val="es-ES"/>
              </w:rPr>
              <w:t xml:space="preserve"> y </w:t>
            </w:r>
            <w:r w:rsidR="00DD448C" w:rsidRPr="00533ECB">
              <w:rPr>
                <w:rFonts w:ascii="NewBaskerville" w:hAnsi="NewBaskerville" w:cs="Calibri"/>
                <w:color w:val="000000"/>
                <w:sz w:val="14"/>
                <w:szCs w:val="14"/>
                <w:lang w:val="es-ES"/>
              </w:rPr>
              <w:t>manipulación</w:t>
            </w:r>
            <w:r w:rsidRPr="00533ECB">
              <w:rPr>
                <w:rFonts w:ascii="NewBaskerville" w:hAnsi="NewBaskerville" w:cs="Calibri"/>
                <w:color w:val="000000"/>
                <w:sz w:val="14"/>
                <w:szCs w:val="14"/>
                <w:lang w:val="es-ES"/>
              </w:rPr>
              <w:t xml:space="preserve"> de desechos de buques y residuos de carga para los puertos de la Autoridad Portuaria de Baleares (Palma, Alcudia, Mao, </w:t>
            </w:r>
            <w:proofErr w:type="spellStart"/>
            <w:r w:rsidRPr="00533ECB">
              <w:rPr>
                <w:rFonts w:ascii="NewBaskerville" w:hAnsi="NewBaskerville" w:cs="Calibri"/>
                <w:color w:val="000000"/>
                <w:sz w:val="14"/>
                <w:szCs w:val="14"/>
                <w:lang w:val="es-ES"/>
              </w:rPr>
              <w:t>Eivissa</w:t>
            </w:r>
            <w:proofErr w:type="spellEnd"/>
            <w:r w:rsidRPr="00533ECB">
              <w:rPr>
                <w:rFonts w:ascii="NewBaskerville" w:hAnsi="NewBaskerville" w:cs="Calibri"/>
                <w:color w:val="000000"/>
                <w:sz w:val="14"/>
                <w:szCs w:val="14"/>
                <w:lang w:val="es-ES"/>
              </w:rPr>
              <w:t xml:space="preserve"> y la </w:t>
            </w:r>
            <w:proofErr w:type="spellStart"/>
            <w:r w:rsidRPr="00533ECB">
              <w:rPr>
                <w:rFonts w:ascii="NewBaskerville" w:hAnsi="NewBaskerville" w:cs="Calibri"/>
                <w:color w:val="000000"/>
                <w:sz w:val="14"/>
                <w:szCs w:val="14"/>
                <w:lang w:val="es-ES"/>
              </w:rPr>
              <w:t>Savina</w:t>
            </w:r>
            <w:proofErr w:type="spellEnd"/>
            <w:r w:rsidRPr="00533ECB">
              <w:rPr>
                <w:rFonts w:ascii="NewBaskerville" w:hAnsi="NewBaskerville" w:cs="Calibri"/>
                <w:color w:val="000000"/>
                <w:sz w:val="14"/>
                <w:szCs w:val="14"/>
                <w:lang w:val="es-ES"/>
              </w:rPr>
              <w:t>)</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4.945,65</w:t>
            </w:r>
          </w:p>
        </w:tc>
      </w:tr>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Asistencia Técnica para la implantación de la estrategia ambiental</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89.355,30</w:t>
            </w:r>
          </w:p>
        </w:tc>
      </w:tr>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Mantenimiento plataforma INTRAL</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2.820,00</w:t>
            </w:r>
          </w:p>
        </w:tc>
      </w:tr>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Gestión de residuos de embarcaciones abandonadas</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56.990,00</w:t>
            </w:r>
          </w:p>
        </w:tc>
      </w:tr>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xml:space="preserve">Mantenimiento de la </w:t>
            </w:r>
            <w:r w:rsidR="00DD448C" w:rsidRPr="00533ECB">
              <w:rPr>
                <w:rFonts w:ascii="NewBaskerville" w:hAnsi="NewBaskerville" w:cs="Calibri"/>
                <w:color w:val="000000"/>
                <w:sz w:val="14"/>
                <w:szCs w:val="14"/>
                <w:lang w:val="es-ES"/>
              </w:rPr>
              <w:t>exclusión</w:t>
            </w:r>
            <w:r w:rsidRPr="00533ECB">
              <w:rPr>
                <w:rFonts w:ascii="NewBaskerville" w:hAnsi="NewBaskerville" w:cs="Calibri"/>
                <w:color w:val="000000"/>
                <w:sz w:val="14"/>
                <w:szCs w:val="14"/>
                <w:lang w:val="es-ES"/>
              </w:rPr>
              <w:t xml:space="preserve"> de aves y gestión del resto de la fauna en edificios y dependencias del puerto de Palma</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198.138,46</w:t>
            </w:r>
          </w:p>
        </w:tc>
      </w:tr>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Control de calidad del agua potable del puerto de Palma</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22.220,33</w:t>
            </w:r>
          </w:p>
        </w:tc>
      </w:tr>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Retirada de residuos propios de la APB en el puerto de Palma</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25.665,06</w:t>
            </w:r>
          </w:p>
        </w:tc>
      </w:tr>
      <w:tr w:rsidR="00533ECB" w:rsidRPr="00533ECB" w:rsidTr="00533ECB">
        <w:trPr>
          <w:trHeight w:val="375"/>
        </w:trPr>
        <w:tc>
          <w:tcPr>
            <w:tcW w:w="7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Resto actuaciones</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877A1B" w:rsidP="00533ECB">
            <w:pPr>
              <w:jc w:val="right"/>
              <w:rPr>
                <w:rFonts w:ascii="NewBaskerville" w:hAnsi="NewBaskerville" w:cs="Calibri"/>
                <w:color w:val="000000"/>
                <w:sz w:val="14"/>
                <w:szCs w:val="14"/>
                <w:lang w:val="es-ES"/>
              </w:rPr>
            </w:pPr>
            <w:r>
              <w:rPr>
                <w:rFonts w:ascii="NewBaskerville" w:hAnsi="NewBaskerville" w:cs="Calibri"/>
                <w:color w:val="000000"/>
                <w:sz w:val="14"/>
                <w:szCs w:val="14"/>
                <w:lang w:val="es-ES"/>
              </w:rPr>
              <w:t>29.238,14</w:t>
            </w:r>
          </w:p>
        </w:tc>
      </w:tr>
      <w:tr w:rsidR="00533ECB" w:rsidRPr="00533ECB" w:rsidTr="00533ECB">
        <w:trPr>
          <w:trHeight w:val="300"/>
        </w:trPr>
        <w:tc>
          <w:tcPr>
            <w:tcW w:w="763" w:type="dxa"/>
            <w:tcBorders>
              <w:top w:val="nil"/>
              <w:left w:val="single" w:sz="4" w:space="0" w:color="auto"/>
              <w:bottom w:val="nil"/>
              <w:right w:val="nil"/>
            </w:tcBorders>
            <w:shd w:val="clear" w:color="auto" w:fill="auto"/>
            <w:noWrap/>
            <w:vAlign w:val="bottom"/>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c>
          <w:tcPr>
            <w:tcW w:w="763" w:type="dxa"/>
            <w:tcBorders>
              <w:top w:val="nil"/>
              <w:left w:val="nil"/>
              <w:bottom w:val="nil"/>
              <w:right w:val="nil"/>
            </w:tcBorders>
            <w:shd w:val="clear" w:color="auto" w:fill="auto"/>
            <w:noWrap/>
            <w:vAlign w:val="bottom"/>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c>
          <w:tcPr>
            <w:tcW w:w="762" w:type="dxa"/>
            <w:tcBorders>
              <w:top w:val="nil"/>
              <w:left w:val="nil"/>
              <w:bottom w:val="nil"/>
              <w:right w:val="nil"/>
            </w:tcBorders>
            <w:shd w:val="clear" w:color="auto" w:fill="auto"/>
            <w:noWrap/>
            <w:vAlign w:val="bottom"/>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c>
          <w:tcPr>
            <w:tcW w:w="762" w:type="dxa"/>
            <w:tcBorders>
              <w:top w:val="nil"/>
              <w:left w:val="nil"/>
              <w:bottom w:val="nil"/>
              <w:right w:val="nil"/>
            </w:tcBorders>
            <w:shd w:val="clear" w:color="auto" w:fill="auto"/>
            <w:noWrap/>
            <w:vAlign w:val="bottom"/>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c>
          <w:tcPr>
            <w:tcW w:w="4290" w:type="dxa"/>
            <w:tcBorders>
              <w:top w:val="nil"/>
              <w:left w:val="nil"/>
              <w:bottom w:val="nil"/>
              <w:right w:val="single" w:sz="4" w:space="0" w:color="auto"/>
            </w:tcBorders>
            <w:shd w:val="clear" w:color="auto" w:fill="auto"/>
            <w:noWrap/>
            <w:vAlign w:val="bottom"/>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r>
      <w:tr w:rsidR="00533ECB" w:rsidRPr="00533ECB" w:rsidTr="00533ECB">
        <w:trPr>
          <w:trHeight w:val="300"/>
        </w:trPr>
        <w:tc>
          <w:tcPr>
            <w:tcW w:w="763" w:type="dxa"/>
            <w:tcBorders>
              <w:top w:val="nil"/>
              <w:left w:val="single" w:sz="4" w:space="0" w:color="auto"/>
              <w:bottom w:val="single" w:sz="4" w:space="0" w:color="auto"/>
              <w:right w:val="nil"/>
            </w:tcBorders>
            <w:shd w:val="clear" w:color="auto" w:fill="auto"/>
            <w:noWrap/>
            <w:vAlign w:val="bottom"/>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c>
          <w:tcPr>
            <w:tcW w:w="763" w:type="dxa"/>
            <w:tcBorders>
              <w:top w:val="nil"/>
              <w:left w:val="nil"/>
              <w:bottom w:val="single" w:sz="4" w:space="0" w:color="auto"/>
              <w:right w:val="nil"/>
            </w:tcBorders>
            <w:shd w:val="clear" w:color="auto" w:fill="auto"/>
            <w:noWrap/>
            <w:vAlign w:val="bottom"/>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c>
          <w:tcPr>
            <w:tcW w:w="762" w:type="dxa"/>
            <w:tcBorders>
              <w:top w:val="nil"/>
              <w:left w:val="nil"/>
              <w:bottom w:val="single" w:sz="4" w:space="0" w:color="auto"/>
              <w:right w:val="nil"/>
            </w:tcBorders>
            <w:shd w:val="clear" w:color="auto" w:fill="auto"/>
            <w:noWrap/>
            <w:vAlign w:val="bottom"/>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c>
          <w:tcPr>
            <w:tcW w:w="762" w:type="dxa"/>
            <w:tcBorders>
              <w:top w:val="nil"/>
              <w:left w:val="nil"/>
              <w:bottom w:val="single" w:sz="4" w:space="0" w:color="auto"/>
              <w:right w:val="nil"/>
            </w:tcBorders>
            <w:shd w:val="clear" w:color="auto" w:fill="auto"/>
            <w:noWrap/>
            <w:vAlign w:val="bottom"/>
            <w:hideMark/>
          </w:tcPr>
          <w:p w:rsidR="00533ECB" w:rsidRPr="00533ECB" w:rsidRDefault="00533ECB" w:rsidP="00533ECB">
            <w:pPr>
              <w:rPr>
                <w:rFonts w:ascii="NewBaskerville" w:hAnsi="NewBaskerville" w:cs="Calibri"/>
                <w:color w:val="000000"/>
                <w:sz w:val="14"/>
                <w:szCs w:val="14"/>
                <w:lang w:val="es-ES"/>
              </w:rPr>
            </w:pPr>
            <w:r w:rsidRPr="00533ECB">
              <w:rPr>
                <w:rFonts w:ascii="NewBaskerville" w:hAnsi="NewBaskerville" w:cs="Calibri"/>
                <w:color w:val="000000"/>
                <w:sz w:val="14"/>
                <w:szCs w:val="14"/>
                <w:lang w:val="es-ES"/>
              </w:rPr>
              <w:t> </w:t>
            </w:r>
          </w:p>
        </w:tc>
        <w:tc>
          <w:tcPr>
            <w:tcW w:w="429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533ECB">
            <w:pPr>
              <w:jc w:val="right"/>
              <w:rPr>
                <w:rFonts w:ascii="NewBaskerville" w:hAnsi="NewBaskerville" w:cs="Calibri"/>
                <w:b/>
                <w:bCs/>
                <w:color w:val="000000"/>
                <w:sz w:val="14"/>
                <w:szCs w:val="14"/>
                <w:lang w:val="es-ES"/>
              </w:rPr>
            </w:pPr>
            <w:r w:rsidRPr="00533ECB">
              <w:rPr>
                <w:rFonts w:ascii="NewBaskerville" w:hAnsi="NewBaskerville" w:cs="Calibri"/>
                <w:b/>
                <w:bCs/>
                <w:color w:val="000000"/>
                <w:sz w:val="14"/>
                <w:szCs w:val="14"/>
                <w:lang w:val="es-ES"/>
              </w:rPr>
              <w:t>Total</w:t>
            </w:r>
          </w:p>
        </w:tc>
        <w:tc>
          <w:tcPr>
            <w:tcW w:w="1360" w:type="dxa"/>
            <w:tcBorders>
              <w:top w:val="nil"/>
              <w:left w:val="nil"/>
              <w:bottom w:val="single" w:sz="4" w:space="0" w:color="auto"/>
              <w:right w:val="single" w:sz="4" w:space="0" w:color="auto"/>
            </w:tcBorders>
            <w:shd w:val="clear" w:color="auto" w:fill="auto"/>
            <w:noWrap/>
            <w:vAlign w:val="center"/>
            <w:hideMark/>
          </w:tcPr>
          <w:p w:rsidR="00533ECB" w:rsidRPr="00533ECB" w:rsidRDefault="00533ECB" w:rsidP="00877A1B">
            <w:pPr>
              <w:jc w:val="right"/>
              <w:rPr>
                <w:rFonts w:ascii="NewBaskerville" w:hAnsi="NewBaskerville" w:cs="Calibri"/>
                <w:b/>
                <w:bCs/>
                <w:color w:val="000000"/>
                <w:sz w:val="14"/>
                <w:szCs w:val="14"/>
                <w:lang w:val="es-ES"/>
              </w:rPr>
            </w:pPr>
            <w:r w:rsidRPr="00533ECB">
              <w:rPr>
                <w:rFonts w:ascii="NewBaskerville" w:hAnsi="NewBaskerville" w:cs="Calibri"/>
                <w:b/>
                <w:bCs/>
                <w:color w:val="000000"/>
                <w:sz w:val="14"/>
                <w:szCs w:val="14"/>
                <w:lang w:val="es-ES"/>
              </w:rPr>
              <w:t>2.90</w:t>
            </w:r>
            <w:r w:rsidR="00877A1B">
              <w:rPr>
                <w:rFonts w:ascii="NewBaskerville" w:hAnsi="NewBaskerville" w:cs="Calibri"/>
                <w:b/>
                <w:bCs/>
                <w:color w:val="000000"/>
                <w:sz w:val="14"/>
                <w:szCs w:val="14"/>
                <w:lang w:val="es-ES"/>
              </w:rPr>
              <w:t>6</w:t>
            </w:r>
            <w:r w:rsidRPr="00533ECB">
              <w:rPr>
                <w:rFonts w:ascii="NewBaskerville" w:hAnsi="NewBaskerville" w:cs="Calibri"/>
                <w:b/>
                <w:bCs/>
                <w:color w:val="000000"/>
                <w:sz w:val="14"/>
                <w:szCs w:val="14"/>
                <w:lang w:val="es-ES"/>
              </w:rPr>
              <w:t>.</w:t>
            </w:r>
            <w:r w:rsidR="00877A1B">
              <w:rPr>
                <w:rFonts w:ascii="NewBaskerville" w:hAnsi="NewBaskerville" w:cs="Calibri"/>
                <w:b/>
                <w:bCs/>
                <w:color w:val="000000"/>
                <w:sz w:val="14"/>
                <w:szCs w:val="14"/>
                <w:lang w:val="es-ES"/>
              </w:rPr>
              <w:t>310</w:t>
            </w:r>
            <w:r w:rsidRPr="00533ECB">
              <w:rPr>
                <w:rFonts w:ascii="NewBaskerville" w:hAnsi="NewBaskerville" w:cs="Calibri"/>
                <w:b/>
                <w:bCs/>
                <w:color w:val="000000"/>
                <w:sz w:val="14"/>
                <w:szCs w:val="14"/>
                <w:lang w:val="es-ES"/>
              </w:rPr>
              <w:t>,</w:t>
            </w:r>
            <w:r w:rsidR="00877A1B">
              <w:rPr>
                <w:rFonts w:ascii="NewBaskerville" w:hAnsi="NewBaskerville" w:cs="Calibri"/>
                <w:b/>
                <w:bCs/>
                <w:color w:val="000000"/>
                <w:sz w:val="14"/>
                <w:szCs w:val="14"/>
                <w:lang w:val="es-ES"/>
              </w:rPr>
              <w:t>88</w:t>
            </w:r>
          </w:p>
        </w:tc>
      </w:tr>
    </w:tbl>
    <w:p w:rsidR="0081769D" w:rsidRDefault="0081769D" w:rsidP="0081769D">
      <w:pPr>
        <w:rPr>
          <w:noProof/>
          <w:lang w:val="es-ES"/>
        </w:rPr>
      </w:pPr>
    </w:p>
    <w:p w:rsidR="00D14CEC" w:rsidRDefault="00D14CEC" w:rsidP="0081769D">
      <w:pPr>
        <w:rPr>
          <w:noProof/>
          <w:lang w:val="es-ES"/>
        </w:rPr>
      </w:pPr>
    </w:p>
    <w:p w:rsidR="0045316E" w:rsidRDefault="0045316E" w:rsidP="0081769D">
      <w:pPr>
        <w:tabs>
          <w:tab w:val="right" w:pos="8364"/>
        </w:tabs>
        <w:jc w:val="both"/>
        <w:rPr>
          <w:b/>
          <w:bCs/>
          <w:sz w:val="24"/>
          <w:szCs w:val="24"/>
        </w:rPr>
      </w:pPr>
    </w:p>
    <w:p w:rsidR="0045316E" w:rsidRPr="00F015C9" w:rsidRDefault="009519EE" w:rsidP="0081769D">
      <w:pPr>
        <w:tabs>
          <w:tab w:val="right" w:pos="8364"/>
        </w:tabs>
        <w:jc w:val="both"/>
        <w:rPr>
          <w:rFonts w:ascii="NewBaskerville" w:hAnsi="NewBaskerville"/>
          <w:b/>
          <w:bCs/>
          <w:sz w:val="24"/>
          <w:szCs w:val="24"/>
        </w:rPr>
      </w:pPr>
      <w:r w:rsidRPr="00F015C9">
        <w:rPr>
          <w:rFonts w:ascii="NewBaskerville" w:hAnsi="NewBaskerville"/>
          <w:bCs/>
        </w:rPr>
        <w:t>En</w:t>
      </w:r>
      <w:r w:rsidRPr="00F015C9">
        <w:rPr>
          <w:rFonts w:ascii="NewBaskerville" w:hAnsi="NewBaskerville"/>
          <w:b/>
          <w:bCs/>
        </w:rPr>
        <w:t xml:space="preserve"> 202</w:t>
      </w:r>
      <w:r w:rsidR="00533ECB">
        <w:rPr>
          <w:rFonts w:ascii="NewBaskerville" w:hAnsi="NewBaskerville"/>
          <w:b/>
          <w:bCs/>
        </w:rPr>
        <w:t>3</w:t>
      </w:r>
      <w:r w:rsidRPr="00F015C9">
        <w:rPr>
          <w:rFonts w:ascii="NewBaskerville" w:hAnsi="NewBaskerville"/>
          <w:bCs/>
        </w:rPr>
        <w:t xml:space="preserve"> </w:t>
      </w:r>
      <w:r w:rsidR="00533ECB">
        <w:rPr>
          <w:rFonts w:ascii="NewBaskerville" w:hAnsi="NewBaskerville"/>
          <w:bCs/>
        </w:rPr>
        <w:t xml:space="preserve">no </w:t>
      </w:r>
      <w:r w:rsidRPr="00F015C9">
        <w:rPr>
          <w:rFonts w:ascii="NewBaskerville" w:hAnsi="NewBaskerville"/>
          <w:bCs/>
        </w:rPr>
        <w:t xml:space="preserve">se han </w:t>
      </w:r>
      <w:r w:rsidR="00BC5886">
        <w:rPr>
          <w:rFonts w:ascii="NewBaskerville" w:hAnsi="NewBaskerville"/>
          <w:bCs/>
        </w:rPr>
        <w:t>incorporado al inmovilizado material inversiones</w:t>
      </w:r>
      <w:r w:rsidRPr="00F015C9">
        <w:rPr>
          <w:rFonts w:ascii="NewBaskerville" w:hAnsi="NewBaskerville"/>
          <w:bCs/>
        </w:rPr>
        <w:t xml:space="preserve"> en acciones </w:t>
      </w:r>
      <w:r w:rsidR="007945EA">
        <w:rPr>
          <w:rFonts w:ascii="NewBaskerville" w:hAnsi="NewBaskerville"/>
          <w:bCs/>
        </w:rPr>
        <w:t>medioambientales</w:t>
      </w:r>
      <w:r w:rsidR="00533ECB">
        <w:rPr>
          <w:rFonts w:ascii="NewBaskerville" w:hAnsi="NewBaskerville"/>
          <w:bCs/>
        </w:rPr>
        <w:t xml:space="preserve"> en los diferentes puertos de la APB.</w:t>
      </w:r>
    </w:p>
    <w:p w:rsidR="0045316E" w:rsidRDefault="0045316E" w:rsidP="0081769D">
      <w:pPr>
        <w:tabs>
          <w:tab w:val="right" w:pos="8364"/>
        </w:tabs>
        <w:jc w:val="both"/>
        <w:rPr>
          <w:b/>
          <w:bCs/>
          <w:sz w:val="24"/>
          <w:szCs w:val="24"/>
        </w:rPr>
      </w:pPr>
    </w:p>
    <w:p w:rsidR="003A69CC" w:rsidRDefault="003A69CC" w:rsidP="003A69CC">
      <w:pPr>
        <w:tabs>
          <w:tab w:val="right" w:pos="8364"/>
        </w:tabs>
        <w:ind w:firstLine="567"/>
        <w:jc w:val="both"/>
        <w:rPr>
          <w:rFonts w:ascii="NewBaskerville" w:hAnsi="NewBaskerville"/>
          <w:bCs/>
        </w:rPr>
      </w:pPr>
      <w:r>
        <w:rPr>
          <w:rFonts w:ascii="NewBaskerville" w:hAnsi="NewBaskerville"/>
          <w:bCs/>
        </w:rPr>
        <w:t xml:space="preserve">En el </w:t>
      </w:r>
      <w:r w:rsidRPr="003A69CC">
        <w:rPr>
          <w:rFonts w:ascii="NewBaskerville" w:hAnsi="NewBaskerville"/>
          <w:b/>
          <w:bCs/>
        </w:rPr>
        <w:t>202</w:t>
      </w:r>
      <w:r w:rsidR="00533ECB">
        <w:rPr>
          <w:rFonts w:ascii="NewBaskerville" w:hAnsi="NewBaskerville"/>
          <w:b/>
          <w:bCs/>
        </w:rPr>
        <w:t>3</w:t>
      </w:r>
      <w:r>
        <w:rPr>
          <w:rFonts w:ascii="NewBaskerville" w:hAnsi="NewBaskerville"/>
          <w:bCs/>
        </w:rPr>
        <w:t xml:space="preserve"> se han efectuado inversiones en infraestructura por un importe total de </w:t>
      </w:r>
      <w:r w:rsidR="00F36AC9" w:rsidRPr="00F36AC9">
        <w:rPr>
          <w:rFonts w:ascii="NewBaskerville" w:hAnsi="NewBaskerville"/>
          <w:b/>
          <w:bCs/>
        </w:rPr>
        <w:t>592</w:t>
      </w:r>
      <w:r w:rsidRPr="00F36AC9">
        <w:rPr>
          <w:rFonts w:ascii="NewBaskerville" w:hAnsi="NewBaskerville"/>
          <w:b/>
          <w:bCs/>
        </w:rPr>
        <w:t>.</w:t>
      </w:r>
      <w:r w:rsidR="00F36AC9" w:rsidRPr="00F36AC9">
        <w:rPr>
          <w:rFonts w:ascii="NewBaskerville" w:hAnsi="NewBaskerville"/>
          <w:b/>
          <w:bCs/>
        </w:rPr>
        <w:t>236</w:t>
      </w:r>
      <w:r>
        <w:rPr>
          <w:rFonts w:ascii="NewBaskerville" w:hAnsi="NewBaskerville"/>
          <w:b/>
          <w:bCs/>
        </w:rPr>
        <w:t>,</w:t>
      </w:r>
      <w:r w:rsidR="00226D3C">
        <w:rPr>
          <w:rFonts w:ascii="NewBaskerville" w:hAnsi="NewBaskerville"/>
          <w:b/>
          <w:bCs/>
        </w:rPr>
        <w:t>7</w:t>
      </w:r>
      <w:r w:rsidR="00F36AC9">
        <w:rPr>
          <w:rFonts w:ascii="NewBaskerville" w:hAnsi="NewBaskerville"/>
          <w:b/>
          <w:bCs/>
        </w:rPr>
        <w:t>2</w:t>
      </w:r>
      <w:r>
        <w:rPr>
          <w:rFonts w:ascii="NewBaskerville" w:hAnsi="NewBaskerville"/>
          <w:b/>
          <w:bCs/>
        </w:rPr>
        <w:t xml:space="preserve"> </w:t>
      </w:r>
      <w:r>
        <w:rPr>
          <w:rFonts w:ascii="NewBaskerville" w:hAnsi="NewBaskerville"/>
          <w:bCs/>
        </w:rPr>
        <w:t>euros, en acciones medioambientales catalogadas de inmovilizado en curso, en los diferentes puertos correspondiendo a las siguientes actuaciones:</w:t>
      </w:r>
    </w:p>
    <w:tbl>
      <w:tblPr>
        <w:tblW w:w="8320" w:type="dxa"/>
        <w:tblInd w:w="55" w:type="dxa"/>
        <w:tblCellMar>
          <w:left w:w="70" w:type="dxa"/>
          <w:right w:w="70" w:type="dxa"/>
        </w:tblCellMar>
        <w:tblLook w:val="04A0" w:firstRow="1" w:lastRow="0" w:firstColumn="1" w:lastColumn="0" w:noHBand="0" w:noVBand="1"/>
      </w:tblPr>
      <w:tblGrid>
        <w:gridCol w:w="1267"/>
        <w:gridCol w:w="146"/>
        <w:gridCol w:w="146"/>
        <w:gridCol w:w="146"/>
        <w:gridCol w:w="5182"/>
        <w:gridCol w:w="1500"/>
      </w:tblGrid>
      <w:tr w:rsidR="00533ECB" w:rsidRPr="00533ECB" w:rsidTr="00533ECB">
        <w:trPr>
          <w:trHeight w:val="540"/>
        </w:trPr>
        <w:tc>
          <w:tcPr>
            <w:tcW w:w="1200" w:type="dxa"/>
            <w:tcBorders>
              <w:top w:val="single" w:sz="8" w:space="0" w:color="auto"/>
              <w:left w:val="single" w:sz="8" w:space="0" w:color="auto"/>
              <w:bottom w:val="nil"/>
              <w:right w:val="single" w:sz="4" w:space="0" w:color="auto"/>
            </w:tcBorders>
            <w:shd w:val="clear" w:color="000000" w:fill="CCFFCC"/>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Nº EXPEDIENTE</w:t>
            </w:r>
          </w:p>
        </w:tc>
        <w:tc>
          <w:tcPr>
            <w:tcW w:w="5620" w:type="dxa"/>
            <w:gridSpan w:val="4"/>
            <w:tcBorders>
              <w:top w:val="single" w:sz="8" w:space="0" w:color="auto"/>
              <w:left w:val="nil"/>
              <w:bottom w:val="nil"/>
              <w:right w:val="single" w:sz="4" w:space="0" w:color="auto"/>
            </w:tcBorders>
            <w:shd w:val="clear" w:color="000000" w:fill="CCFFCC"/>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DENOMINACIÓN DE LOS PROYECTOS O ADQUISICIONES EN INFRAESTRUCTURA</w:t>
            </w:r>
          </w:p>
        </w:tc>
        <w:tc>
          <w:tcPr>
            <w:tcW w:w="1500" w:type="dxa"/>
            <w:tcBorders>
              <w:top w:val="single" w:sz="8" w:space="0" w:color="auto"/>
              <w:left w:val="nil"/>
              <w:bottom w:val="single" w:sz="4" w:space="0" w:color="auto"/>
              <w:right w:val="single" w:sz="8" w:space="0" w:color="000000"/>
            </w:tcBorders>
            <w:shd w:val="clear" w:color="000000" w:fill="CCFFCC"/>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IMPORTE DEL EJERCICIO 2023</w:t>
            </w:r>
          </w:p>
        </w:tc>
      </w:tr>
      <w:tr w:rsidR="00533ECB" w:rsidRPr="00533ECB" w:rsidTr="00533ECB">
        <w:trPr>
          <w:trHeight w:val="300"/>
        </w:trPr>
        <w:tc>
          <w:tcPr>
            <w:tcW w:w="1200" w:type="dxa"/>
            <w:tcBorders>
              <w:top w:val="single" w:sz="4" w:space="0" w:color="auto"/>
              <w:left w:val="single" w:sz="4" w:space="0" w:color="auto"/>
              <w:bottom w:val="single" w:sz="4" w:space="0" w:color="auto"/>
              <w:right w:val="nil"/>
            </w:tcBorders>
            <w:shd w:val="clear" w:color="auto" w:fill="auto"/>
            <w:vAlign w:val="center"/>
            <w:hideMark/>
          </w:tcPr>
          <w:p w:rsidR="00533ECB" w:rsidRPr="00533ECB" w:rsidRDefault="00533ECB" w:rsidP="00533ECB">
            <w:pPr>
              <w:rPr>
                <w:rFonts w:ascii="Calibri" w:hAnsi="Calibri" w:cs="Calibri"/>
                <w:color w:val="000000"/>
                <w:sz w:val="22"/>
                <w:szCs w:val="22"/>
                <w:lang w:val="es-ES"/>
              </w:rPr>
            </w:pPr>
            <w:r w:rsidRPr="00533ECB">
              <w:rPr>
                <w:rFonts w:ascii="Calibri" w:hAnsi="Calibri" w:cs="Calibri"/>
                <w:color w:val="000000"/>
                <w:sz w:val="22"/>
                <w:szCs w:val="22"/>
                <w:lang w:val="es-ES"/>
              </w:rPr>
              <w:t> </w:t>
            </w:r>
          </w:p>
        </w:tc>
        <w:tc>
          <w:tcPr>
            <w:tcW w:w="5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TODOS LOS PUERTOS</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533ECB" w:rsidRPr="00533ECB" w:rsidRDefault="00533ECB" w:rsidP="00533ECB">
            <w:pPr>
              <w:jc w:val="center"/>
              <w:rPr>
                <w:rFonts w:ascii="Calibri" w:hAnsi="Calibri" w:cs="Calibri"/>
                <w:color w:val="000000"/>
                <w:sz w:val="22"/>
                <w:szCs w:val="22"/>
                <w:lang w:val="es-ES"/>
              </w:rPr>
            </w:pPr>
            <w:r w:rsidRPr="00533ECB">
              <w:rPr>
                <w:rFonts w:ascii="Calibri" w:hAnsi="Calibri" w:cs="Calibri"/>
                <w:color w:val="000000"/>
                <w:sz w:val="22"/>
                <w:szCs w:val="22"/>
                <w:lang w:val="es-ES"/>
              </w:rPr>
              <w:t> </w:t>
            </w:r>
          </w:p>
        </w:tc>
      </w:tr>
      <w:tr w:rsidR="00533ECB" w:rsidRPr="00533ECB" w:rsidTr="00533ECB">
        <w:trPr>
          <w:trHeight w:val="5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P.O. 82.22</w:t>
            </w:r>
          </w:p>
        </w:tc>
        <w:tc>
          <w:tcPr>
            <w:tcW w:w="5620" w:type="dxa"/>
            <w:gridSpan w:val="4"/>
            <w:tcBorders>
              <w:top w:val="single" w:sz="4" w:space="0" w:color="auto"/>
              <w:left w:val="nil"/>
              <w:bottom w:val="single" w:sz="4" w:space="0" w:color="auto"/>
              <w:right w:val="single" w:sz="4" w:space="0" w:color="000000"/>
            </w:tcBorders>
            <w:shd w:val="clear" w:color="auto" w:fill="auto"/>
            <w:vAlign w:val="center"/>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A.T. a la dirección de obra, control de calidad y vigilancia ambiental en obras del epígrafe de obras varias y menores de la APB (2023-2024)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15.306,12</w:t>
            </w:r>
          </w:p>
        </w:tc>
      </w:tr>
      <w:tr w:rsidR="00533ECB" w:rsidRPr="00533ECB" w:rsidTr="00533ECB">
        <w:trPr>
          <w:trHeight w:val="48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P.O. 28.21</w:t>
            </w:r>
          </w:p>
        </w:tc>
        <w:tc>
          <w:tcPr>
            <w:tcW w:w="5620" w:type="dxa"/>
            <w:gridSpan w:val="4"/>
            <w:tcBorders>
              <w:top w:val="single" w:sz="4" w:space="0" w:color="auto"/>
              <w:left w:val="nil"/>
              <w:bottom w:val="single" w:sz="4" w:space="0" w:color="auto"/>
              <w:right w:val="single" w:sz="4" w:space="0" w:color="000000"/>
            </w:tcBorders>
            <w:shd w:val="clear" w:color="auto" w:fill="auto"/>
            <w:vAlign w:val="bottom"/>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Mejora del sistema de monitorización de la calidad del aire y Plataforma Smart Ambiental.</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376.984,81</w:t>
            </w:r>
          </w:p>
        </w:tc>
      </w:tr>
      <w:tr w:rsidR="00533ECB" w:rsidRPr="00533ECB" w:rsidTr="00533ECB">
        <w:trPr>
          <w:trHeight w:val="300"/>
        </w:trPr>
        <w:tc>
          <w:tcPr>
            <w:tcW w:w="1200" w:type="dxa"/>
            <w:tcBorders>
              <w:top w:val="nil"/>
              <w:left w:val="single" w:sz="4" w:space="0" w:color="auto"/>
              <w:bottom w:val="single" w:sz="4" w:space="0" w:color="auto"/>
              <w:right w:val="nil"/>
            </w:tcBorders>
            <w:shd w:val="clear" w:color="auto" w:fill="auto"/>
            <w:noWrap/>
            <w:vAlign w:val="bottom"/>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 </w:t>
            </w:r>
          </w:p>
        </w:tc>
        <w:tc>
          <w:tcPr>
            <w:tcW w:w="5620" w:type="dxa"/>
            <w:gridSpan w:val="4"/>
            <w:tcBorders>
              <w:top w:val="single" w:sz="4" w:space="0" w:color="auto"/>
              <w:left w:val="nil"/>
              <w:bottom w:val="single" w:sz="4" w:space="0" w:color="auto"/>
              <w:right w:val="nil"/>
            </w:tcBorders>
            <w:shd w:val="clear" w:color="auto" w:fill="auto"/>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PUERTO DE PALMA</w:t>
            </w:r>
          </w:p>
        </w:tc>
        <w:tc>
          <w:tcPr>
            <w:tcW w:w="1500" w:type="dxa"/>
            <w:tcBorders>
              <w:top w:val="single" w:sz="4" w:space="0" w:color="auto"/>
              <w:left w:val="nil"/>
              <w:bottom w:val="single" w:sz="4" w:space="0" w:color="auto"/>
              <w:right w:val="single" w:sz="4" w:space="0" w:color="000000"/>
            </w:tcBorders>
            <w:shd w:val="clear" w:color="auto" w:fill="auto"/>
            <w:vAlign w:val="bottom"/>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 </w:t>
            </w:r>
          </w:p>
        </w:tc>
      </w:tr>
      <w:tr w:rsidR="00533ECB" w:rsidRPr="00533ECB" w:rsidTr="00533ECB">
        <w:trPr>
          <w:trHeight w:val="8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P.O. 21.22</w:t>
            </w:r>
          </w:p>
        </w:tc>
        <w:tc>
          <w:tcPr>
            <w:tcW w:w="5620" w:type="dxa"/>
            <w:gridSpan w:val="4"/>
            <w:tcBorders>
              <w:top w:val="single" w:sz="4" w:space="0" w:color="auto"/>
              <w:left w:val="nil"/>
              <w:bottom w:val="single" w:sz="4" w:space="0" w:color="auto"/>
              <w:right w:val="single" w:sz="4" w:space="0" w:color="000000"/>
            </w:tcBorders>
            <w:shd w:val="clear" w:color="auto" w:fill="auto"/>
            <w:vAlign w:val="center"/>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Identificación de suelos contaminados y elaboración de una propuesta para la descontaminación de la zona de Ribera de San Carlos del puerto de Palma</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12.641,00</w:t>
            </w:r>
          </w:p>
        </w:tc>
      </w:tr>
      <w:tr w:rsidR="00533ECB" w:rsidRPr="00533ECB" w:rsidTr="00533ECB">
        <w:trPr>
          <w:trHeight w:val="300"/>
        </w:trPr>
        <w:tc>
          <w:tcPr>
            <w:tcW w:w="1200" w:type="dxa"/>
            <w:tcBorders>
              <w:top w:val="nil"/>
              <w:left w:val="single" w:sz="4" w:space="0" w:color="auto"/>
              <w:bottom w:val="single" w:sz="4" w:space="0" w:color="auto"/>
              <w:right w:val="nil"/>
            </w:tcBorders>
            <w:shd w:val="clear" w:color="auto" w:fill="auto"/>
            <w:noWrap/>
            <w:vAlign w:val="bottom"/>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 </w:t>
            </w:r>
          </w:p>
        </w:tc>
        <w:tc>
          <w:tcPr>
            <w:tcW w:w="5620" w:type="dxa"/>
            <w:gridSpan w:val="4"/>
            <w:tcBorders>
              <w:top w:val="single" w:sz="4" w:space="0" w:color="auto"/>
              <w:left w:val="nil"/>
              <w:bottom w:val="single" w:sz="4" w:space="0" w:color="auto"/>
              <w:right w:val="single" w:sz="4" w:space="0" w:color="auto"/>
            </w:tcBorders>
            <w:shd w:val="clear" w:color="auto" w:fill="auto"/>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PUERTO DE ALCÚDIA</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 </w:t>
            </w:r>
          </w:p>
        </w:tc>
      </w:tr>
      <w:tr w:rsidR="00533ECB" w:rsidRPr="00533ECB" w:rsidTr="00533ECB">
        <w:trPr>
          <w:trHeight w:val="4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P.O. 21.21</w:t>
            </w:r>
          </w:p>
        </w:tc>
        <w:tc>
          <w:tcPr>
            <w:tcW w:w="5620" w:type="dxa"/>
            <w:gridSpan w:val="4"/>
            <w:tcBorders>
              <w:top w:val="single" w:sz="4" w:space="0" w:color="auto"/>
              <w:left w:val="nil"/>
              <w:bottom w:val="single" w:sz="4" w:space="0" w:color="auto"/>
              <w:right w:val="single" w:sz="4" w:space="0" w:color="000000"/>
            </w:tcBorders>
            <w:shd w:val="clear" w:color="auto" w:fill="auto"/>
            <w:vAlign w:val="center"/>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Recuperación de calados en la 1A alineación de los muelles de Poniente del puerto de Alcudia</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123.452,66</w:t>
            </w:r>
          </w:p>
        </w:tc>
      </w:tr>
      <w:tr w:rsidR="00533ECB" w:rsidRPr="00533ECB" w:rsidTr="00533ECB">
        <w:trPr>
          <w:trHeight w:val="300"/>
        </w:trPr>
        <w:tc>
          <w:tcPr>
            <w:tcW w:w="1200" w:type="dxa"/>
            <w:tcBorders>
              <w:top w:val="nil"/>
              <w:left w:val="single" w:sz="4" w:space="0" w:color="auto"/>
              <w:bottom w:val="single" w:sz="4" w:space="0" w:color="auto"/>
              <w:right w:val="nil"/>
            </w:tcBorders>
            <w:shd w:val="clear" w:color="auto" w:fill="auto"/>
            <w:noWrap/>
            <w:vAlign w:val="bottom"/>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 </w:t>
            </w:r>
          </w:p>
        </w:tc>
        <w:tc>
          <w:tcPr>
            <w:tcW w:w="5620" w:type="dxa"/>
            <w:gridSpan w:val="4"/>
            <w:tcBorders>
              <w:top w:val="single" w:sz="4" w:space="0" w:color="auto"/>
              <w:left w:val="nil"/>
              <w:bottom w:val="single" w:sz="4" w:space="0" w:color="auto"/>
              <w:right w:val="single" w:sz="4" w:space="0" w:color="auto"/>
            </w:tcBorders>
            <w:shd w:val="clear" w:color="auto" w:fill="auto"/>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PUERTO DE MAÓ-MAHÓN</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 </w:t>
            </w:r>
          </w:p>
        </w:tc>
      </w:tr>
      <w:tr w:rsidR="00533ECB" w:rsidRPr="00533ECB" w:rsidTr="00533ECB">
        <w:trPr>
          <w:trHeight w:val="7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lastRenderedPageBreak/>
              <w:t>P.O. 92.22</w:t>
            </w:r>
          </w:p>
        </w:tc>
        <w:tc>
          <w:tcPr>
            <w:tcW w:w="5620" w:type="dxa"/>
            <w:gridSpan w:val="4"/>
            <w:tcBorders>
              <w:top w:val="single" w:sz="4" w:space="0" w:color="auto"/>
              <w:left w:val="nil"/>
              <w:bottom w:val="single" w:sz="4" w:space="0" w:color="auto"/>
              <w:right w:val="single" w:sz="4" w:space="0" w:color="000000"/>
            </w:tcBorders>
            <w:shd w:val="clear" w:color="auto" w:fill="auto"/>
            <w:vAlign w:val="center"/>
            <w:hideMark/>
          </w:tcPr>
          <w:p w:rsidR="00533ECB" w:rsidRPr="00533ECB" w:rsidRDefault="00533ECB" w:rsidP="00533ECB">
            <w:pP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 xml:space="preserve">Translocación de colonias de Cladócera </w:t>
            </w:r>
            <w:proofErr w:type="spellStart"/>
            <w:r w:rsidRPr="00533ECB">
              <w:rPr>
                <w:rFonts w:ascii="NewBaskerville" w:hAnsi="NewBaskerville" w:cs="Calibri"/>
                <w:color w:val="000000"/>
                <w:sz w:val="18"/>
                <w:szCs w:val="18"/>
                <w:lang w:val="es-ES"/>
              </w:rPr>
              <w:t>Caespitosa</w:t>
            </w:r>
            <w:proofErr w:type="spellEnd"/>
            <w:r w:rsidRPr="00533ECB">
              <w:rPr>
                <w:rFonts w:ascii="NewBaskerville" w:hAnsi="NewBaskerville" w:cs="Calibri"/>
                <w:color w:val="000000"/>
                <w:sz w:val="18"/>
                <w:szCs w:val="18"/>
                <w:lang w:val="es-ES"/>
              </w:rPr>
              <w:t xml:space="preserve"> afectadas por las obras de los "pantalanes para embarcaciones deportivas en Cala </w:t>
            </w:r>
            <w:proofErr w:type="spellStart"/>
            <w:r w:rsidRPr="00533ECB">
              <w:rPr>
                <w:rFonts w:ascii="NewBaskerville" w:hAnsi="NewBaskerville" w:cs="Calibri"/>
                <w:color w:val="000000"/>
                <w:sz w:val="18"/>
                <w:szCs w:val="18"/>
                <w:lang w:val="es-ES"/>
              </w:rPr>
              <w:t>Corb</w:t>
            </w:r>
            <w:proofErr w:type="spellEnd"/>
            <w:r w:rsidRPr="00533ECB">
              <w:rPr>
                <w:rFonts w:ascii="NewBaskerville" w:hAnsi="NewBaskerville" w:cs="Calibri"/>
                <w:color w:val="000000"/>
                <w:sz w:val="18"/>
                <w:szCs w:val="18"/>
                <w:lang w:val="es-ES"/>
              </w:rPr>
              <w:t xml:space="preserve"> (PO 1093-G) del puerto de Mao.</w:t>
            </w:r>
          </w:p>
        </w:tc>
        <w:tc>
          <w:tcPr>
            <w:tcW w:w="1500" w:type="dxa"/>
            <w:tcBorders>
              <w:top w:val="single" w:sz="4" w:space="0" w:color="auto"/>
              <w:left w:val="nil"/>
              <w:bottom w:val="single" w:sz="4" w:space="0" w:color="auto"/>
              <w:right w:val="single" w:sz="4" w:space="0" w:color="000000"/>
            </w:tcBorders>
            <w:shd w:val="clear" w:color="auto" w:fill="auto"/>
            <w:noWrap/>
            <w:vAlign w:val="center"/>
            <w:hideMark/>
          </w:tcPr>
          <w:p w:rsidR="00533ECB" w:rsidRPr="00533ECB" w:rsidRDefault="00533ECB" w:rsidP="00533ECB">
            <w:pPr>
              <w:jc w:val="center"/>
              <w:rPr>
                <w:rFonts w:ascii="NewBaskerville" w:hAnsi="NewBaskerville" w:cs="Calibri"/>
                <w:color w:val="000000"/>
                <w:sz w:val="18"/>
                <w:szCs w:val="18"/>
                <w:lang w:val="es-ES"/>
              </w:rPr>
            </w:pPr>
            <w:r w:rsidRPr="00533ECB">
              <w:rPr>
                <w:rFonts w:ascii="NewBaskerville" w:hAnsi="NewBaskerville" w:cs="Calibri"/>
                <w:color w:val="000000"/>
                <w:sz w:val="18"/>
                <w:szCs w:val="18"/>
                <w:lang w:val="es-ES"/>
              </w:rPr>
              <w:t>63.852,13</w:t>
            </w:r>
          </w:p>
        </w:tc>
      </w:tr>
      <w:tr w:rsidR="00533ECB" w:rsidRPr="00533ECB" w:rsidTr="00533ECB">
        <w:trPr>
          <w:trHeight w:val="300"/>
        </w:trPr>
        <w:tc>
          <w:tcPr>
            <w:tcW w:w="1200" w:type="dxa"/>
            <w:tcBorders>
              <w:top w:val="nil"/>
              <w:left w:val="nil"/>
              <w:bottom w:val="nil"/>
              <w:right w:val="nil"/>
            </w:tcBorders>
            <w:shd w:val="clear" w:color="auto" w:fill="auto"/>
            <w:noWrap/>
            <w:vAlign w:val="bottom"/>
            <w:hideMark/>
          </w:tcPr>
          <w:p w:rsidR="00533ECB" w:rsidRPr="00533ECB" w:rsidRDefault="00533ECB" w:rsidP="00533ECB">
            <w:pPr>
              <w:rPr>
                <w:rFonts w:ascii="Calibri" w:hAnsi="Calibri" w:cs="Calibri"/>
                <w:color w:val="000000"/>
                <w:sz w:val="22"/>
                <w:szCs w:val="22"/>
                <w:lang w:val="es-ES"/>
              </w:rPr>
            </w:pPr>
          </w:p>
        </w:tc>
        <w:tc>
          <w:tcPr>
            <w:tcW w:w="95" w:type="dxa"/>
            <w:tcBorders>
              <w:top w:val="nil"/>
              <w:left w:val="nil"/>
              <w:bottom w:val="nil"/>
              <w:right w:val="nil"/>
            </w:tcBorders>
            <w:shd w:val="clear" w:color="auto" w:fill="auto"/>
            <w:noWrap/>
            <w:vAlign w:val="bottom"/>
            <w:hideMark/>
          </w:tcPr>
          <w:p w:rsidR="00533ECB" w:rsidRPr="00533ECB" w:rsidRDefault="00533ECB" w:rsidP="00533ECB">
            <w:pPr>
              <w:rPr>
                <w:rFonts w:ascii="Calibri" w:hAnsi="Calibri" w:cs="Calibri"/>
                <w:color w:val="000000"/>
                <w:sz w:val="22"/>
                <w:szCs w:val="22"/>
                <w:lang w:val="es-ES"/>
              </w:rPr>
            </w:pPr>
          </w:p>
        </w:tc>
        <w:tc>
          <w:tcPr>
            <w:tcW w:w="95" w:type="dxa"/>
            <w:tcBorders>
              <w:top w:val="nil"/>
              <w:left w:val="nil"/>
              <w:bottom w:val="nil"/>
              <w:right w:val="nil"/>
            </w:tcBorders>
            <w:shd w:val="clear" w:color="auto" w:fill="auto"/>
            <w:noWrap/>
            <w:vAlign w:val="bottom"/>
            <w:hideMark/>
          </w:tcPr>
          <w:p w:rsidR="00533ECB" w:rsidRPr="00533ECB" w:rsidRDefault="00533ECB" w:rsidP="00533ECB">
            <w:pPr>
              <w:rPr>
                <w:rFonts w:ascii="Calibri" w:hAnsi="Calibri" w:cs="Calibri"/>
                <w:color w:val="000000"/>
                <w:sz w:val="22"/>
                <w:szCs w:val="22"/>
                <w:lang w:val="es-ES"/>
              </w:rPr>
            </w:pPr>
          </w:p>
        </w:tc>
        <w:tc>
          <w:tcPr>
            <w:tcW w:w="95" w:type="dxa"/>
            <w:tcBorders>
              <w:top w:val="nil"/>
              <w:left w:val="nil"/>
              <w:bottom w:val="nil"/>
              <w:right w:val="nil"/>
            </w:tcBorders>
            <w:shd w:val="clear" w:color="auto" w:fill="auto"/>
            <w:noWrap/>
            <w:vAlign w:val="bottom"/>
            <w:hideMark/>
          </w:tcPr>
          <w:p w:rsidR="00533ECB" w:rsidRPr="00533ECB" w:rsidRDefault="00533ECB" w:rsidP="00533ECB">
            <w:pPr>
              <w:rPr>
                <w:rFonts w:ascii="Calibri" w:hAnsi="Calibri" w:cs="Calibri"/>
                <w:color w:val="000000"/>
                <w:sz w:val="22"/>
                <w:szCs w:val="22"/>
                <w:lang w:val="es-ES"/>
              </w:rPr>
            </w:pPr>
          </w:p>
        </w:tc>
        <w:tc>
          <w:tcPr>
            <w:tcW w:w="5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3ECB" w:rsidRPr="00533ECB" w:rsidRDefault="00533ECB" w:rsidP="00533ECB">
            <w:pPr>
              <w:jc w:val="center"/>
              <w:rPr>
                <w:rFonts w:ascii="NewBaskerville" w:hAnsi="NewBaskerville" w:cs="Calibri"/>
                <w:b/>
                <w:bCs/>
                <w:color w:val="000000"/>
                <w:sz w:val="18"/>
                <w:szCs w:val="18"/>
                <w:lang w:val="es-ES"/>
              </w:rPr>
            </w:pPr>
            <w:r w:rsidRPr="00533ECB">
              <w:rPr>
                <w:rFonts w:ascii="NewBaskerville" w:hAnsi="NewBaskerville" w:cs="Calibri"/>
                <w:b/>
                <w:bCs/>
                <w:color w:val="000000"/>
                <w:sz w:val="18"/>
                <w:szCs w:val="18"/>
                <w:lang w:val="es-ES"/>
              </w:rPr>
              <w:t>Total</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33ECB" w:rsidRPr="00533ECB" w:rsidRDefault="00533ECB" w:rsidP="00533ECB">
            <w:pPr>
              <w:jc w:val="center"/>
              <w:rPr>
                <w:rFonts w:ascii="NewBaskerville" w:hAnsi="NewBaskerville" w:cs="Calibri"/>
                <w:b/>
                <w:bCs/>
                <w:color w:val="000000"/>
                <w:sz w:val="18"/>
                <w:szCs w:val="18"/>
                <w:lang w:val="es-ES"/>
              </w:rPr>
            </w:pPr>
            <w:r w:rsidRPr="00533ECB">
              <w:rPr>
                <w:rFonts w:ascii="NewBaskerville" w:hAnsi="NewBaskerville" w:cs="Calibri"/>
                <w:b/>
                <w:bCs/>
                <w:color w:val="000000"/>
                <w:sz w:val="18"/>
                <w:szCs w:val="18"/>
                <w:lang w:val="es-ES"/>
              </w:rPr>
              <w:t>592.236,72</w:t>
            </w:r>
          </w:p>
        </w:tc>
      </w:tr>
    </w:tbl>
    <w:p w:rsidR="00AB0F64" w:rsidRDefault="00AB0F64" w:rsidP="0081769D">
      <w:pPr>
        <w:tabs>
          <w:tab w:val="right" w:pos="8364"/>
        </w:tabs>
        <w:jc w:val="both"/>
        <w:rPr>
          <w:rFonts w:ascii="NewBaskerville" w:hAnsi="NewBaskerville"/>
          <w:b/>
          <w:bCs/>
          <w:sz w:val="24"/>
          <w:szCs w:val="24"/>
        </w:rPr>
      </w:pPr>
    </w:p>
    <w:p w:rsidR="00AB0F64" w:rsidRDefault="00AB0F64" w:rsidP="0081769D">
      <w:pPr>
        <w:tabs>
          <w:tab w:val="right" w:pos="8364"/>
        </w:tabs>
        <w:jc w:val="both"/>
        <w:rPr>
          <w:rFonts w:ascii="NewBaskerville" w:hAnsi="NewBaskerville"/>
          <w:b/>
          <w:bCs/>
          <w:sz w:val="24"/>
          <w:szCs w:val="24"/>
        </w:rPr>
      </w:pPr>
    </w:p>
    <w:p w:rsidR="00FE620A" w:rsidRDefault="002C4355" w:rsidP="0081769D">
      <w:pPr>
        <w:tabs>
          <w:tab w:val="right" w:pos="8364"/>
        </w:tabs>
        <w:jc w:val="both"/>
        <w:rPr>
          <w:rFonts w:ascii="NewBaskerville" w:hAnsi="NewBaskerville"/>
          <w:b/>
          <w:bCs/>
          <w:sz w:val="24"/>
          <w:szCs w:val="24"/>
        </w:rPr>
      </w:pPr>
      <w:r w:rsidRPr="00951BCB">
        <w:rPr>
          <w:rFonts w:ascii="NewBaskerville" w:hAnsi="NewBaskerville"/>
          <w:b/>
          <w:bCs/>
          <w:sz w:val="24"/>
          <w:szCs w:val="24"/>
        </w:rPr>
        <w:t>1</w:t>
      </w:r>
      <w:r w:rsidR="000542C8" w:rsidRPr="00951BCB">
        <w:rPr>
          <w:rFonts w:ascii="NewBaskerville" w:hAnsi="NewBaskerville"/>
          <w:b/>
          <w:bCs/>
          <w:sz w:val="24"/>
          <w:szCs w:val="24"/>
        </w:rPr>
        <w:t>4</w:t>
      </w:r>
      <w:r w:rsidR="002019D4" w:rsidRPr="00951BCB">
        <w:rPr>
          <w:rFonts w:ascii="NewBaskerville" w:hAnsi="NewBaskerville"/>
          <w:b/>
          <w:bCs/>
          <w:sz w:val="24"/>
          <w:szCs w:val="24"/>
        </w:rPr>
        <w:t xml:space="preserve">. </w:t>
      </w:r>
      <w:r w:rsidRPr="00951BCB">
        <w:rPr>
          <w:rFonts w:ascii="NewBaskerville" w:hAnsi="NewBaskerville"/>
          <w:b/>
          <w:bCs/>
          <w:sz w:val="24"/>
          <w:szCs w:val="24"/>
        </w:rPr>
        <w:t>Ingresos y gastos</w:t>
      </w:r>
    </w:p>
    <w:p w:rsidR="00AB0F64" w:rsidRPr="00951BCB" w:rsidRDefault="00AB0F64" w:rsidP="0081769D">
      <w:pPr>
        <w:tabs>
          <w:tab w:val="right" w:pos="8364"/>
        </w:tabs>
        <w:jc w:val="both"/>
        <w:rPr>
          <w:rFonts w:ascii="NewBaskerville" w:hAnsi="NewBaskerville"/>
          <w:b/>
          <w:bCs/>
          <w:sz w:val="24"/>
          <w:szCs w:val="24"/>
        </w:rPr>
      </w:pPr>
    </w:p>
    <w:p w:rsidR="00FE620A" w:rsidRPr="00846803" w:rsidRDefault="00FE620A" w:rsidP="00FE620A">
      <w:pPr>
        <w:tabs>
          <w:tab w:val="right" w:pos="8222"/>
        </w:tabs>
        <w:jc w:val="both"/>
        <w:rPr>
          <w:b/>
          <w:bCs/>
        </w:rPr>
      </w:pPr>
    </w:p>
    <w:p w:rsidR="002C4355" w:rsidRPr="00AB7095" w:rsidRDefault="002C4355" w:rsidP="00AB7095">
      <w:pPr>
        <w:pStyle w:val="Prrafodelista"/>
        <w:numPr>
          <w:ilvl w:val="0"/>
          <w:numId w:val="49"/>
        </w:numPr>
        <w:tabs>
          <w:tab w:val="right" w:pos="8364"/>
        </w:tabs>
        <w:jc w:val="both"/>
        <w:rPr>
          <w:rFonts w:ascii="NewBaskerville" w:hAnsi="NewBaskerville"/>
          <w:b/>
          <w:bCs/>
          <w:sz w:val="22"/>
        </w:rPr>
      </w:pPr>
      <w:r w:rsidRPr="00AB7095">
        <w:rPr>
          <w:rFonts w:ascii="NewBaskerville" w:hAnsi="NewBaskerville"/>
          <w:b/>
          <w:bCs/>
          <w:sz w:val="22"/>
        </w:rPr>
        <w:t>Gastos</w:t>
      </w:r>
    </w:p>
    <w:p w:rsidR="00AB7095" w:rsidRPr="00AB7095" w:rsidRDefault="00AB7095" w:rsidP="00AB7095">
      <w:pPr>
        <w:pStyle w:val="Prrafodelista"/>
        <w:tabs>
          <w:tab w:val="right" w:pos="8364"/>
        </w:tabs>
        <w:ind w:left="720"/>
        <w:jc w:val="both"/>
        <w:rPr>
          <w:rFonts w:ascii="NewBaskerville" w:hAnsi="NewBaskerville"/>
          <w:b/>
          <w:bCs/>
          <w:sz w:val="22"/>
        </w:rPr>
      </w:pPr>
    </w:p>
    <w:p w:rsidR="002C4355" w:rsidRPr="00846803" w:rsidRDefault="002C4355">
      <w:pPr>
        <w:tabs>
          <w:tab w:val="right" w:pos="8222"/>
        </w:tabs>
        <w:jc w:val="both"/>
        <w:rPr>
          <w:b/>
          <w:bCs/>
        </w:rPr>
      </w:pPr>
    </w:p>
    <w:p w:rsidR="002C4355" w:rsidRPr="00951BCB" w:rsidRDefault="002019D4" w:rsidP="002019D4">
      <w:pPr>
        <w:tabs>
          <w:tab w:val="right" w:pos="8364"/>
        </w:tabs>
        <w:ind w:left="567" w:hanging="567"/>
        <w:jc w:val="both"/>
        <w:rPr>
          <w:rFonts w:ascii="NewBaskerville" w:hAnsi="NewBaskerville"/>
          <w:bCs/>
        </w:rPr>
      </w:pPr>
      <w:r w:rsidRPr="00951BCB">
        <w:rPr>
          <w:rFonts w:ascii="NewBaskerville" w:hAnsi="NewBaskerville"/>
          <w:bCs/>
        </w:rPr>
        <w:tab/>
      </w:r>
      <w:r w:rsidR="00192EA6" w:rsidRPr="00951BCB">
        <w:rPr>
          <w:rFonts w:ascii="NewBaskerville" w:hAnsi="NewBaskerville"/>
          <w:bCs/>
        </w:rPr>
        <w:t>a.1)</w:t>
      </w:r>
      <w:r w:rsidR="00AC6040" w:rsidRPr="00951BCB">
        <w:rPr>
          <w:rFonts w:ascii="NewBaskerville" w:hAnsi="NewBaskerville"/>
          <w:bCs/>
        </w:rPr>
        <w:t xml:space="preserve"> </w:t>
      </w:r>
      <w:r w:rsidR="002C4355" w:rsidRPr="00951BCB">
        <w:rPr>
          <w:rFonts w:ascii="NewBaskerville" w:hAnsi="NewBaskerville"/>
          <w:bCs/>
        </w:rPr>
        <w:t>Consumos:</w:t>
      </w:r>
    </w:p>
    <w:p w:rsidR="002C4355" w:rsidRPr="00951BCB" w:rsidRDefault="002C4355" w:rsidP="00AC6040">
      <w:pPr>
        <w:pStyle w:val="Textoindependiente2"/>
        <w:ind w:left="360"/>
        <w:rPr>
          <w:rFonts w:ascii="NewBaskerville" w:hAnsi="NewBaskerville"/>
          <w:bCs w:val="0"/>
          <w:sz w:val="20"/>
          <w:szCs w:val="20"/>
        </w:rPr>
      </w:pPr>
    </w:p>
    <w:p w:rsidR="005B3620" w:rsidRDefault="002C4355" w:rsidP="00D45E66">
      <w:pPr>
        <w:pStyle w:val="Sangradetextonormal"/>
        <w:tabs>
          <w:tab w:val="clear" w:pos="8364"/>
          <w:tab w:val="right" w:pos="8222"/>
        </w:tabs>
        <w:rPr>
          <w:rFonts w:ascii="NewBaskerville" w:hAnsi="NewBaskerville"/>
          <w:sz w:val="20"/>
        </w:rPr>
      </w:pPr>
      <w:r w:rsidRPr="00951BCB">
        <w:rPr>
          <w:rFonts w:ascii="NewBaskerville" w:hAnsi="NewBaskerville"/>
          <w:sz w:val="20"/>
        </w:rPr>
        <w:t xml:space="preserve">De acuerdo con las instrucciones de Puertos del Estado los consumos se </w:t>
      </w:r>
      <w:r w:rsidR="00836DC0" w:rsidRPr="00951BCB">
        <w:rPr>
          <w:rFonts w:ascii="NewBaskerville" w:hAnsi="NewBaskerville"/>
          <w:sz w:val="20"/>
        </w:rPr>
        <w:t xml:space="preserve">reflejan en la partida </w:t>
      </w:r>
      <w:r w:rsidR="008155BC" w:rsidRPr="00951BCB">
        <w:rPr>
          <w:rFonts w:ascii="NewBaskerville" w:hAnsi="NewBaskerville"/>
          <w:sz w:val="20"/>
        </w:rPr>
        <w:t>reparaciones</w:t>
      </w:r>
      <w:r w:rsidR="00836DC0" w:rsidRPr="00951BCB">
        <w:rPr>
          <w:rFonts w:ascii="NewBaskerville" w:hAnsi="NewBaskerville"/>
          <w:sz w:val="20"/>
        </w:rPr>
        <w:t xml:space="preserve"> y conservación</w:t>
      </w:r>
      <w:r w:rsidRPr="00951BCB">
        <w:rPr>
          <w:rFonts w:ascii="NewBaskerville" w:hAnsi="NewBaskerville"/>
          <w:sz w:val="20"/>
        </w:rPr>
        <w:t xml:space="preserve"> de Servicios Exteriores </w:t>
      </w:r>
      <w:r w:rsidR="00836DC0" w:rsidRPr="00951BCB">
        <w:rPr>
          <w:rFonts w:ascii="NewBaskerville" w:hAnsi="NewBaskerville"/>
          <w:sz w:val="20"/>
        </w:rPr>
        <w:t>de la cuenta de Pérdidas y Ganancias ya que todas las compras tiene esta finalidad</w:t>
      </w:r>
      <w:r w:rsidR="00D94E99" w:rsidRPr="00951BCB">
        <w:rPr>
          <w:rFonts w:ascii="NewBaskerville" w:hAnsi="NewBaskerville"/>
          <w:sz w:val="20"/>
        </w:rPr>
        <w:t>.</w:t>
      </w:r>
      <w:r w:rsidR="00836DC0" w:rsidRPr="00951BCB">
        <w:rPr>
          <w:rFonts w:ascii="NewBaskerville" w:hAnsi="NewBaskerville"/>
          <w:sz w:val="20"/>
        </w:rPr>
        <w:t xml:space="preserve"> </w:t>
      </w:r>
      <w:r w:rsidR="009519EE" w:rsidRPr="00951BCB">
        <w:rPr>
          <w:rFonts w:ascii="NewBaskerville" w:hAnsi="NewBaskerville"/>
          <w:sz w:val="20"/>
        </w:rPr>
        <w:t>Su desglose en 202</w:t>
      </w:r>
      <w:r w:rsidR="00AB0F64">
        <w:rPr>
          <w:rFonts w:ascii="NewBaskerville" w:hAnsi="NewBaskerville"/>
          <w:sz w:val="20"/>
        </w:rPr>
        <w:t>3</w:t>
      </w:r>
      <w:r w:rsidRPr="00951BCB">
        <w:rPr>
          <w:rFonts w:ascii="NewBaskerville" w:hAnsi="NewBaskerville"/>
          <w:sz w:val="20"/>
        </w:rPr>
        <w:t xml:space="preserve"> y 20</w:t>
      </w:r>
      <w:r w:rsidR="009519EE" w:rsidRPr="00951BCB">
        <w:rPr>
          <w:rFonts w:ascii="NewBaskerville" w:hAnsi="NewBaskerville"/>
          <w:sz w:val="20"/>
        </w:rPr>
        <w:t>2</w:t>
      </w:r>
      <w:r w:rsidR="00AB0F64">
        <w:rPr>
          <w:rFonts w:ascii="NewBaskerville" w:hAnsi="NewBaskerville"/>
          <w:sz w:val="20"/>
        </w:rPr>
        <w:t>2</w:t>
      </w:r>
      <w:r w:rsidRPr="00951BCB">
        <w:rPr>
          <w:rFonts w:ascii="NewBaskerville" w:hAnsi="NewBaskerville"/>
          <w:sz w:val="20"/>
        </w:rPr>
        <w:t xml:space="preserve"> es el </w:t>
      </w:r>
      <w:r w:rsidR="00D45E66" w:rsidRPr="00951BCB">
        <w:rPr>
          <w:rFonts w:ascii="NewBaskerville" w:hAnsi="NewBaskerville"/>
          <w:sz w:val="20"/>
        </w:rPr>
        <w:t>siguiente</w:t>
      </w:r>
      <w:r w:rsidR="00AB0F64">
        <w:rPr>
          <w:rFonts w:ascii="NewBaskerville" w:hAnsi="NewBaskerville"/>
          <w:sz w:val="20"/>
        </w:rPr>
        <w:t>:</w:t>
      </w:r>
    </w:p>
    <w:p w:rsidR="006F550B" w:rsidRPr="00951BCB" w:rsidRDefault="006F550B" w:rsidP="00D45E66">
      <w:pPr>
        <w:pStyle w:val="Sangradetextonormal"/>
        <w:tabs>
          <w:tab w:val="clear" w:pos="8364"/>
          <w:tab w:val="right" w:pos="8222"/>
        </w:tabs>
        <w:rPr>
          <w:rFonts w:ascii="NewBaskerville" w:hAnsi="NewBaskerville"/>
          <w:sz w:val="20"/>
        </w:rPr>
      </w:pPr>
    </w:p>
    <w:tbl>
      <w:tblPr>
        <w:tblW w:w="5000" w:type="pct"/>
        <w:tblCellMar>
          <w:left w:w="70" w:type="dxa"/>
          <w:right w:w="70" w:type="dxa"/>
        </w:tblCellMar>
        <w:tblLook w:val="04A0" w:firstRow="1" w:lastRow="0" w:firstColumn="1" w:lastColumn="0" w:noHBand="0" w:noVBand="1"/>
      </w:tblPr>
      <w:tblGrid>
        <w:gridCol w:w="2882"/>
        <w:gridCol w:w="2882"/>
        <w:gridCol w:w="2880"/>
      </w:tblGrid>
      <w:tr w:rsidR="006F550B" w:rsidRPr="006F550B" w:rsidTr="006F550B">
        <w:trPr>
          <w:trHeight w:val="300"/>
        </w:trPr>
        <w:tc>
          <w:tcPr>
            <w:tcW w:w="1667" w:type="pct"/>
            <w:tcBorders>
              <w:top w:val="single" w:sz="4" w:space="0" w:color="000000"/>
              <w:left w:val="single" w:sz="4" w:space="0" w:color="000000"/>
              <w:bottom w:val="single" w:sz="4" w:space="0" w:color="000000"/>
              <w:right w:val="single" w:sz="4" w:space="0" w:color="000000"/>
            </w:tcBorders>
            <w:shd w:val="clear" w:color="000000" w:fill="CCFFCC"/>
            <w:vAlign w:val="center"/>
            <w:hideMark/>
          </w:tcPr>
          <w:p w:rsidR="006F550B" w:rsidRPr="006F550B" w:rsidRDefault="006F550B" w:rsidP="006F550B">
            <w:pPr>
              <w:jc w:val="center"/>
              <w:rPr>
                <w:rFonts w:ascii="Lucida Bright" w:hAnsi="Lucida Bright" w:cs="Calibri"/>
                <w:b/>
                <w:bCs/>
                <w:sz w:val="14"/>
                <w:szCs w:val="14"/>
                <w:lang w:val="es-ES"/>
              </w:rPr>
            </w:pPr>
            <w:r w:rsidRPr="006F550B">
              <w:rPr>
                <w:rFonts w:ascii="Lucida Bright" w:hAnsi="Lucida Bright" w:cs="Calibri"/>
                <w:b/>
                <w:bCs/>
                <w:sz w:val="14"/>
                <w:szCs w:val="14"/>
                <w:lang w:val="es-ES"/>
              </w:rPr>
              <w:t>Concepto</w:t>
            </w:r>
          </w:p>
        </w:tc>
        <w:tc>
          <w:tcPr>
            <w:tcW w:w="1667" w:type="pct"/>
            <w:tcBorders>
              <w:top w:val="single" w:sz="4" w:space="0" w:color="000000"/>
              <w:left w:val="nil"/>
              <w:bottom w:val="single" w:sz="4" w:space="0" w:color="000000"/>
              <w:right w:val="single" w:sz="4" w:space="0" w:color="000000"/>
            </w:tcBorders>
            <w:shd w:val="clear" w:color="000000" w:fill="CCFFCC"/>
            <w:noWrap/>
            <w:vAlign w:val="center"/>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2023</w:t>
            </w:r>
          </w:p>
        </w:tc>
        <w:tc>
          <w:tcPr>
            <w:tcW w:w="1667" w:type="pct"/>
            <w:tcBorders>
              <w:top w:val="single" w:sz="4" w:space="0" w:color="000000"/>
              <w:left w:val="nil"/>
              <w:bottom w:val="single" w:sz="4" w:space="0" w:color="000000"/>
              <w:right w:val="single" w:sz="4" w:space="0" w:color="000000"/>
            </w:tcBorders>
            <w:shd w:val="clear" w:color="000000" w:fill="CCFFCC"/>
            <w:noWrap/>
            <w:vAlign w:val="center"/>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2022</w:t>
            </w:r>
          </w:p>
        </w:tc>
      </w:tr>
      <w:tr w:rsidR="006F550B" w:rsidRPr="006F550B" w:rsidTr="006F550B">
        <w:trPr>
          <w:trHeight w:val="330"/>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550B" w:rsidRPr="006F550B" w:rsidRDefault="006F550B" w:rsidP="006F550B">
            <w:pPr>
              <w:rPr>
                <w:rFonts w:ascii="Lucida Bright" w:hAnsi="Lucida Bright" w:cs="Calibri"/>
                <w:sz w:val="14"/>
                <w:szCs w:val="14"/>
                <w:lang w:val="es-ES"/>
              </w:rPr>
            </w:pPr>
            <w:r w:rsidRPr="006F550B">
              <w:rPr>
                <w:rFonts w:ascii="Lucida Bright" w:hAnsi="Lucida Bright" w:cs="Calibri"/>
                <w:sz w:val="14"/>
                <w:szCs w:val="14"/>
                <w:lang w:val="es-ES"/>
              </w:rPr>
              <w:t>Compras de materiales de reparación y conservación</w:t>
            </w:r>
          </w:p>
        </w:tc>
        <w:tc>
          <w:tcPr>
            <w:tcW w:w="1667" w:type="pct"/>
            <w:tcBorders>
              <w:top w:val="single" w:sz="4" w:space="0" w:color="000000"/>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212.653,07</w:t>
            </w:r>
          </w:p>
        </w:tc>
        <w:tc>
          <w:tcPr>
            <w:tcW w:w="1667" w:type="pct"/>
            <w:tcBorders>
              <w:top w:val="single" w:sz="4" w:space="0" w:color="000000"/>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160.544,12</w:t>
            </w:r>
          </w:p>
        </w:tc>
      </w:tr>
      <w:tr w:rsidR="006F550B" w:rsidRPr="006F550B" w:rsidTr="006F550B">
        <w:trPr>
          <w:trHeight w:val="330"/>
        </w:trPr>
        <w:tc>
          <w:tcPr>
            <w:tcW w:w="1667" w:type="pct"/>
            <w:tcBorders>
              <w:top w:val="single" w:sz="4" w:space="0" w:color="000000"/>
              <w:left w:val="single" w:sz="4" w:space="0" w:color="000000"/>
              <w:bottom w:val="nil"/>
              <w:right w:val="single" w:sz="4" w:space="0" w:color="000000"/>
            </w:tcBorders>
            <w:shd w:val="clear" w:color="auto" w:fill="auto"/>
            <w:vAlign w:val="center"/>
            <w:hideMark/>
          </w:tcPr>
          <w:p w:rsidR="006F550B" w:rsidRPr="006F550B" w:rsidRDefault="006F550B" w:rsidP="006F550B">
            <w:pPr>
              <w:rPr>
                <w:rFonts w:ascii="Lucida Bright" w:hAnsi="Lucida Bright" w:cs="Calibri"/>
                <w:sz w:val="14"/>
                <w:szCs w:val="14"/>
                <w:lang w:val="es-ES"/>
              </w:rPr>
            </w:pPr>
            <w:r w:rsidRPr="006F550B">
              <w:rPr>
                <w:rFonts w:ascii="Lucida Bright" w:hAnsi="Lucida Bright" w:cs="Calibri"/>
                <w:sz w:val="14"/>
                <w:szCs w:val="14"/>
                <w:lang w:val="es-ES"/>
              </w:rPr>
              <w:t>Variación de existencias</w:t>
            </w:r>
          </w:p>
        </w:tc>
        <w:tc>
          <w:tcPr>
            <w:tcW w:w="1667" w:type="pct"/>
            <w:tcBorders>
              <w:top w:val="single" w:sz="4" w:space="0" w:color="000000"/>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1.660,96</w:t>
            </w:r>
          </w:p>
        </w:tc>
        <w:tc>
          <w:tcPr>
            <w:tcW w:w="1667" w:type="pct"/>
            <w:tcBorders>
              <w:top w:val="single" w:sz="4" w:space="0" w:color="000000"/>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11.869,21</w:t>
            </w:r>
          </w:p>
        </w:tc>
      </w:tr>
      <w:tr w:rsidR="006F550B" w:rsidRPr="006F550B" w:rsidTr="006F550B">
        <w:trPr>
          <w:trHeight w:val="330"/>
        </w:trPr>
        <w:tc>
          <w:tcPr>
            <w:tcW w:w="16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6F550B" w:rsidRPr="006F550B" w:rsidRDefault="006F550B" w:rsidP="006F550B">
            <w:pPr>
              <w:rPr>
                <w:rFonts w:ascii="Lucida Bright" w:hAnsi="Lucida Bright" w:cs="Calibri"/>
                <w:b/>
                <w:bCs/>
                <w:sz w:val="14"/>
                <w:szCs w:val="14"/>
                <w:lang w:val="es-ES"/>
              </w:rPr>
            </w:pPr>
            <w:r w:rsidRPr="006F550B">
              <w:rPr>
                <w:rFonts w:ascii="Lucida Bright" w:hAnsi="Lucida Bright" w:cs="Calibri"/>
                <w:b/>
                <w:bCs/>
                <w:sz w:val="14"/>
                <w:szCs w:val="14"/>
                <w:lang w:val="es-ES"/>
              </w:rPr>
              <w:t>Total</w:t>
            </w:r>
          </w:p>
        </w:tc>
        <w:tc>
          <w:tcPr>
            <w:tcW w:w="1667" w:type="pct"/>
            <w:tcBorders>
              <w:top w:val="single" w:sz="4" w:space="0" w:color="000000"/>
              <w:left w:val="nil"/>
              <w:bottom w:val="single" w:sz="4" w:space="0" w:color="auto"/>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214.314,03</w:t>
            </w:r>
          </w:p>
        </w:tc>
        <w:tc>
          <w:tcPr>
            <w:tcW w:w="1667" w:type="pct"/>
            <w:tcBorders>
              <w:top w:val="single" w:sz="4" w:space="0" w:color="000000"/>
              <w:left w:val="nil"/>
              <w:bottom w:val="single" w:sz="4" w:space="0" w:color="auto"/>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172.413,33</w:t>
            </w:r>
          </w:p>
        </w:tc>
      </w:tr>
    </w:tbl>
    <w:p w:rsidR="00074931" w:rsidRPr="00846803" w:rsidRDefault="00074931" w:rsidP="00D45E66">
      <w:pPr>
        <w:pStyle w:val="Sangradetextonormal"/>
        <w:tabs>
          <w:tab w:val="clear" w:pos="8364"/>
          <w:tab w:val="right" w:pos="8222"/>
        </w:tabs>
        <w:rPr>
          <w:sz w:val="20"/>
        </w:rPr>
      </w:pPr>
    </w:p>
    <w:p w:rsidR="00074931" w:rsidRDefault="00074931">
      <w:pPr>
        <w:tabs>
          <w:tab w:val="right" w:pos="8364"/>
        </w:tabs>
        <w:jc w:val="both"/>
      </w:pPr>
    </w:p>
    <w:p w:rsidR="002E1C3E" w:rsidRDefault="002019D4" w:rsidP="00357986">
      <w:pPr>
        <w:tabs>
          <w:tab w:val="right" w:pos="8364"/>
        </w:tabs>
        <w:ind w:left="567" w:hanging="567"/>
        <w:jc w:val="both"/>
      </w:pPr>
      <w:bookmarkStart w:id="2" w:name="_Hlk4421662"/>
      <w:r>
        <w:rPr>
          <w:bCs/>
        </w:rPr>
        <w:tab/>
      </w:r>
      <w:bookmarkEnd w:id="2"/>
    </w:p>
    <w:p w:rsidR="002C4355" w:rsidRPr="00AC6040" w:rsidRDefault="002D2A8D" w:rsidP="002019D4">
      <w:pPr>
        <w:tabs>
          <w:tab w:val="right" w:pos="8364"/>
        </w:tabs>
        <w:ind w:left="567" w:hanging="567"/>
        <w:jc w:val="both"/>
        <w:rPr>
          <w:bCs/>
        </w:rPr>
      </w:pPr>
      <w:r>
        <w:rPr>
          <w:bCs/>
        </w:rPr>
        <w:tab/>
      </w:r>
      <w:r w:rsidR="00BE2A0A">
        <w:rPr>
          <w:bCs/>
        </w:rPr>
        <w:t>a.2</w:t>
      </w:r>
      <w:r w:rsidR="00192EA6">
        <w:rPr>
          <w:bCs/>
        </w:rPr>
        <w:t xml:space="preserve">) </w:t>
      </w:r>
      <w:r w:rsidR="002C4355" w:rsidRPr="00846803">
        <w:rPr>
          <w:bCs/>
        </w:rPr>
        <w:t>Cargas sociales</w:t>
      </w:r>
      <w:r w:rsidR="002C4355" w:rsidRPr="00AC6040">
        <w:rPr>
          <w:bCs/>
        </w:rPr>
        <w:t xml:space="preserve"> </w:t>
      </w:r>
    </w:p>
    <w:p w:rsidR="002C4355" w:rsidRPr="00951BCB" w:rsidRDefault="002C4355" w:rsidP="00EF6B46">
      <w:pPr>
        <w:tabs>
          <w:tab w:val="right" w:pos="8364"/>
        </w:tabs>
        <w:jc w:val="both"/>
        <w:rPr>
          <w:rFonts w:ascii="NewBaskerville" w:hAnsi="NewBaskerville"/>
          <w:b/>
        </w:rPr>
      </w:pPr>
    </w:p>
    <w:p w:rsidR="002C4355" w:rsidRDefault="002C4355">
      <w:pPr>
        <w:pStyle w:val="Sangra3detindependiente"/>
        <w:tabs>
          <w:tab w:val="clear" w:pos="5671"/>
          <w:tab w:val="clear" w:pos="7797"/>
          <w:tab w:val="right" w:pos="8364"/>
        </w:tabs>
        <w:rPr>
          <w:rFonts w:ascii="NewBaskerville" w:hAnsi="NewBaskerville"/>
          <w:bCs/>
          <w:sz w:val="20"/>
          <w:szCs w:val="20"/>
        </w:rPr>
      </w:pPr>
      <w:r w:rsidRPr="00951BCB">
        <w:rPr>
          <w:rFonts w:ascii="NewBaskerville" w:hAnsi="NewBaskerville"/>
          <w:bCs/>
          <w:sz w:val="20"/>
          <w:szCs w:val="20"/>
        </w:rPr>
        <w:t>El desglose de esta partida de la cuent</w:t>
      </w:r>
      <w:r w:rsidR="000274DE" w:rsidRPr="00951BCB">
        <w:rPr>
          <w:rFonts w:ascii="NewBaskerville" w:hAnsi="NewBaskerville"/>
          <w:bCs/>
          <w:sz w:val="20"/>
          <w:szCs w:val="20"/>
        </w:rPr>
        <w:t>a</w:t>
      </w:r>
      <w:r w:rsidR="00DF7304" w:rsidRPr="00951BCB">
        <w:rPr>
          <w:rFonts w:ascii="NewBaskerville" w:hAnsi="NewBaskerville"/>
          <w:bCs/>
          <w:sz w:val="20"/>
          <w:szCs w:val="20"/>
        </w:rPr>
        <w:t xml:space="preserve"> de pérdidas y ganancias en 202</w:t>
      </w:r>
      <w:r w:rsidR="009423E1">
        <w:rPr>
          <w:rFonts w:ascii="NewBaskerville" w:hAnsi="NewBaskerville"/>
          <w:bCs/>
          <w:sz w:val="20"/>
          <w:szCs w:val="20"/>
        </w:rPr>
        <w:t>3</w:t>
      </w:r>
      <w:r w:rsidR="008C2E68" w:rsidRPr="00951BCB">
        <w:rPr>
          <w:rFonts w:ascii="NewBaskerville" w:hAnsi="NewBaskerville"/>
          <w:bCs/>
          <w:sz w:val="20"/>
          <w:szCs w:val="20"/>
        </w:rPr>
        <w:t xml:space="preserve"> </w:t>
      </w:r>
      <w:r w:rsidR="00DF7304" w:rsidRPr="00951BCB">
        <w:rPr>
          <w:rFonts w:ascii="NewBaskerville" w:hAnsi="NewBaskerville"/>
          <w:bCs/>
          <w:sz w:val="20"/>
          <w:szCs w:val="20"/>
        </w:rPr>
        <w:t>y 202</w:t>
      </w:r>
      <w:r w:rsidR="009423E1">
        <w:rPr>
          <w:rFonts w:ascii="NewBaskerville" w:hAnsi="NewBaskerville"/>
          <w:bCs/>
          <w:sz w:val="20"/>
          <w:szCs w:val="20"/>
        </w:rPr>
        <w:t>2</w:t>
      </w:r>
      <w:r w:rsidRPr="00951BCB">
        <w:rPr>
          <w:rFonts w:ascii="NewBaskerville" w:hAnsi="NewBaskerville"/>
          <w:bCs/>
          <w:sz w:val="20"/>
          <w:szCs w:val="20"/>
        </w:rPr>
        <w:t xml:space="preserve"> es </w:t>
      </w:r>
      <w:r w:rsidR="00BE2A0A">
        <w:rPr>
          <w:rFonts w:ascii="NewBaskerville" w:hAnsi="NewBaskerville"/>
          <w:bCs/>
          <w:sz w:val="20"/>
          <w:szCs w:val="20"/>
        </w:rPr>
        <w:t>el</w:t>
      </w:r>
      <w:r w:rsidRPr="00951BCB">
        <w:rPr>
          <w:rFonts w:ascii="NewBaskerville" w:hAnsi="NewBaskerville"/>
          <w:bCs/>
          <w:sz w:val="20"/>
          <w:szCs w:val="20"/>
        </w:rPr>
        <w:t xml:space="preserve"> </w:t>
      </w:r>
      <w:r w:rsidR="008155BC" w:rsidRPr="00951BCB">
        <w:rPr>
          <w:rFonts w:ascii="NewBaskerville" w:hAnsi="NewBaskerville"/>
          <w:bCs/>
          <w:sz w:val="20"/>
          <w:szCs w:val="20"/>
        </w:rPr>
        <w:t>siguiente:</w:t>
      </w:r>
    </w:p>
    <w:p w:rsidR="006F550B" w:rsidRPr="00951BCB" w:rsidRDefault="006F550B">
      <w:pPr>
        <w:pStyle w:val="Sangra3detindependiente"/>
        <w:tabs>
          <w:tab w:val="clear" w:pos="5671"/>
          <w:tab w:val="clear" w:pos="7797"/>
          <w:tab w:val="right" w:pos="8364"/>
        </w:tabs>
        <w:rPr>
          <w:rFonts w:ascii="NewBaskerville" w:hAnsi="NewBaskerville"/>
          <w:bCs/>
          <w:sz w:val="20"/>
          <w:szCs w:val="20"/>
        </w:rPr>
      </w:pPr>
    </w:p>
    <w:tbl>
      <w:tblPr>
        <w:tblW w:w="5000" w:type="pct"/>
        <w:tblCellMar>
          <w:left w:w="70" w:type="dxa"/>
          <w:right w:w="70" w:type="dxa"/>
        </w:tblCellMar>
        <w:tblLook w:val="04A0" w:firstRow="1" w:lastRow="0" w:firstColumn="1" w:lastColumn="0" w:noHBand="0" w:noVBand="1"/>
      </w:tblPr>
      <w:tblGrid>
        <w:gridCol w:w="2914"/>
        <w:gridCol w:w="2865"/>
        <w:gridCol w:w="2865"/>
      </w:tblGrid>
      <w:tr w:rsidR="006F550B" w:rsidRPr="006F550B" w:rsidTr="006F550B">
        <w:trPr>
          <w:trHeight w:val="300"/>
        </w:trPr>
        <w:tc>
          <w:tcPr>
            <w:tcW w:w="1685" w:type="pct"/>
            <w:tcBorders>
              <w:top w:val="single" w:sz="4" w:space="0" w:color="auto"/>
              <w:left w:val="single" w:sz="4" w:space="0" w:color="auto"/>
              <w:bottom w:val="single" w:sz="4" w:space="0" w:color="auto"/>
              <w:right w:val="single" w:sz="4" w:space="0" w:color="000000"/>
            </w:tcBorders>
            <w:shd w:val="clear" w:color="000000" w:fill="CCFFCC"/>
            <w:vAlign w:val="center"/>
            <w:hideMark/>
          </w:tcPr>
          <w:p w:rsidR="006F550B" w:rsidRPr="006F550B" w:rsidRDefault="006F550B" w:rsidP="006F550B">
            <w:pPr>
              <w:jc w:val="center"/>
              <w:rPr>
                <w:rFonts w:ascii="Lucida Bright" w:hAnsi="Lucida Bright" w:cs="Calibri"/>
                <w:b/>
                <w:bCs/>
                <w:sz w:val="14"/>
                <w:szCs w:val="14"/>
                <w:lang w:val="es-ES"/>
              </w:rPr>
            </w:pPr>
            <w:r w:rsidRPr="006F550B">
              <w:rPr>
                <w:rFonts w:ascii="Lucida Bright" w:hAnsi="Lucida Bright" w:cs="Calibri"/>
                <w:b/>
                <w:bCs/>
                <w:sz w:val="14"/>
                <w:szCs w:val="14"/>
                <w:lang w:val="es-ES"/>
              </w:rPr>
              <w:t>Concepto</w:t>
            </w:r>
          </w:p>
        </w:tc>
        <w:tc>
          <w:tcPr>
            <w:tcW w:w="1657" w:type="pct"/>
            <w:tcBorders>
              <w:top w:val="single" w:sz="4" w:space="0" w:color="auto"/>
              <w:left w:val="nil"/>
              <w:bottom w:val="single" w:sz="4" w:space="0" w:color="auto"/>
              <w:right w:val="single" w:sz="4" w:space="0" w:color="000000"/>
            </w:tcBorders>
            <w:shd w:val="clear" w:color="000000" w:fill="CCFFCC"/>
            <w:noWrap/>
            <w:vAlign w:val="center"/>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2023</w:t>
            </w:r>
          </w:p>
        </w:tc>
        <w:tc>
          <w:tcPr>
            <w:tcW w:w="1657" w:type="pct"/>
            <w:tcBorders>
              <w:top w:val="single" w:sz="4" w:space="0" w:color="auto"/>
              <w:left w:val="nil"/>
              <w:bottom w:val="single" w:sz="4" w:space="0" w:color="auto"/>
              <w:right w:val="single" w:sz="4" w:space="0" w:color="000000"/>
            </w:tcBorders>
            <w:shd w:val="clear" w:color="000000" w:fill="CCFFCC"/>
            <w:noWrap/>
            <w:vAlign w:val="center"/>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2022</w:t>
            </w:r>
          </w:p>
        </w:tc>
      </w:tr>
      <w:tr w:rsidR="006F550B" w:rsidRPr="006F550B" w:rsidTr="006F550B">
        <w:trPr>
          <w:trHeight w:val="330"/>
        </w:trPr>
        <w:tc>
          <w:tcPr>
            <w:tcW w:w="1685" w:type="pct"/>
            <w:tcBorders>
              <w:top w:val="nil"/>
              <w:left w:val="single" w:sz="4" w:space="0" w:color="000000"/>
              <w:bottom w:val="single" w:sz="4" w:space="0" w:color="000000"/>
              <w:right w:val="single" w:sz="4" w:space="0" w:color="000000"/>
            </w:tcBorders>
            <w:shd w:val="clear" w:color="auto" w:fill="auto"/>
            <w:vAlign w:val="center"/>
            <w:hideMark/>
          </w:tcPr>
          <w:p w:rsidR="006F550B" w:rsidRPr="006F550B" w:rsidRDefault="006F550B" w:rsidP="006F550B">
            <w:pPr>
              <w:rPr>
                <w:rFonts w:ascii="Lucida Bright" w:hAnsi="Lucida Bright" w:cs="Calibri"/>
                <w:sz w:val="14"/>
                <w:szCs w:val="14"/>
                <w:lang w:val="es-ES"/>
              </w:rPr>
            </w:pPr>
            <w:r w:rsidRPr="006F550B">
              <w:rPr>
                <w:rFonts w:ascii="Lucida Bright" w:hAnsi="Lucida Bright" w:cs="Calibri"/>
                <w:sz w:val="14"/>
                <w:szCs w:val="14"/>
                <w:lang w:val="es-ES"/>
              </w:rPr>
              <w:t>Seguridad social a cargo de la empresa</w:t>
            </w:r>
          </w:p>
        </w:tc>
        <w:tc>
          <w:tcPr>
            <w:tcW w:w="1657" w:type="pct"/>
            <w:tcBorders>
              <w:top w:val="nil"/>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3.987.248,29</w:t>
            </w:r>
          </w:p>
        </w:tc>
        <w:tc>
          <w:tcPr>
            <w:tcW w:w="1657" w:type="pct"/>
            <w:tcBorders>
              <w:top w:val="nil"/>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3.548.307,89</w:t>
            </w:r>
          </w:p>
        </w:tc>
      </w:tr>
      <w:tr w:rsidR="006F550B" w:rsidRPr="006F550B" w:rsidTr="006F550B">
        <w:trPr>
          <w:trHeight w:val="330"/>
        </w:trPr>
        <w:tc>
          <w:tcPr>
            <w:tcW w:w="1685" w:type="pct"/>
            <w:tcBorders>
              <w:top w:val="nil"/>
              <w:left w:val="single" w:sz="4" w:space="0" w:color="000000"/>
              <w:bottom w:val="single" w:sz="4" w:space="0" w:color="000000"/>
              <w:right w:val="single" w:sz="4" w:space="0" w:color="000000"/>
            </w:tcBorders>
            <w:shd w:val="clear" w:color="auto" w:fill="auto"/>
            <w:vAlign w:val="center"/>
            <w:hideMark/>
          </w:tcPr>
          <w:p w:rsidR="006F550B" w:rsidRPr="006F550B" w:rsidRDefault="006F550B" w:rsidP="006F550B">
            <w:pPr>
              <w:rPr>
                <w:rFonts w:ascii="Lucida Bright" w:hAnsi="Lucida Bright" w:cs="Calibri"/>
                <w:sz w:val="14"/>
                <w:szCs w:val="14"/>
                <w:lang w:val="es-ES"/>
              </w:rPr>
            </w:pPr>
            <w:r w:rsidRPr="006F550B">
              <w:rPr>
                <w:rFonts w:ascii="Lucida Bright" w:hAnsi="Lucida Bright" w:cs="Calibri"/>
                <w:sz w:val="14"/>
                <w:szCs w:val="14"/>
                <w:lang w:val="es-ES"/>
              </w:rPr>
              <w:t>Otros gastos sociales</w:t>
            </w:r>
          </w:p>
        </w:tc>
        <w:tc>
          <w:tcPr>
            <w:tcW w:w="1657" w:type="pct"/>
            <w:tcBorders>
              <w:top w:val="single" w:sz="4" w:space="0" w:color="000000"/>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721.360,47</w:t>
            </w:r>
          </w:p>
        </w:tc>
        <w:tc>
          <w:tcPr>
            <w:tcW w:w="1657" w:type="pct"/>
            <w:tcBorders>
              <w:top w:val="single" w:sz="4" w:space="0" w:color="000000"/>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545.008,56</w:t>
            </w:r>
          </w:p>
        </w:tc>
      </w:tr>
      <w:tr w:rsidR="006F550B" w:rsidRPr="006F550B" w:rsidTr="006F550B">
        <w:trPr>
          <w:trHeight w:val="330"/>
        </w:trPr>
        <w:tc>
          <w:tcPr>
            <w:tcW w:w="1685" w:type="pct"/>
            <w:tcBorders>
              <w:top w:val="nil"/>
              <w:left w:val="single" w:sz="4" w:space="0" w:color="000000"/>
              <w:bottom w:val="single" w:sz="4" w:space="0" w:color="000000"/>
              <w:right w:val="single" w:sz="4" w:space="0" w:color="000000"/>
            </w:tcBorders>
            <w:shd w:val="clear" w:color="auto" w:fill="auto"/>
            <w:vAlign w:val="center"/>
            <w:hideMark/>
          </w:tcPr>
          <w:p w:rsidR="006F550B" w:rsidRPr="006F550B" w:rsidRDefault="006F550B" w:rsidP="006F550B">
            <w:pPr>
              <w:rPr>
                <w:rFonts w:ascii="Lucida Bright" w:hAnsi="Lucida Bright" w:cs="Calibri"/>
                <w:b/>
                <w:bCs/>
                <w:sz w:val="14"/>
                <w:szCs w:val="14"/>
                <w:lang w:val="es-ES"/>
              </w:rPr>
            </w:pPr>
            <w:r w:rsidRPr="006F550B">
              <w:rPr>
                <w:rFonts w:ascii="Lucida Bright" w:hAnsi="Lucida Bright" w:cs="Calibri"/>
                <w:b/>
                <w:bCs/>
                <w:sz w:val="14"/>
                <w:szCs w:val="14"/>
                <w:lang w:val="es-ES"/>
              </w:rPr>
              <w:t>Total</w:t>
            </w:r>
          </w:p>
        </w:tc>
        <w:tc>
          <w:tcPr>
            <w:tcW w:w="1657" w:type="pct"/>
            <w:tcBorders>
              <w:top w:val="single" w:sz="4" w:space="0" w:color="000000"/>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4.708.608,76</w:t>
            </w:r>
          </w:p>
        </w:tc>
        <w:tc>
          <w:tcPr>
            <w:tcW w:w="1657" w:type="pct"/>
            <w:tcBorders>
              <w:top w:val="single" w:sz="4" w:space="0" w:color="000000"/>
              <w:left w:val="nil"/>
              <w:bottom w:val="single" w:sz="4" w:space="0" w:color="000000"/>
              <w:right w:val="single" w:sz="4" w:space="0" w:color="000000"/>
            </w:tcBorders>
            <w:shd w:val="clear" w:color="auto" w:fill="auto"/>
            <w:noWrap/>
            <w:vAlign w:val="center"/>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4.093.316,45</w:t>
            </w:r>
          </w:p>
        </w:tc>
      </w:tr>
    </w:tbl>
    <w:p w:rsidR="002C4355" w:rsidRPr="00846803" w:rsidRDefault="002C4355">
      <w:pPr>
        <w:tabs>
          <w:tab w:val="right" w:pos="8364"/>
        </w:tabs>
        <w:jc w:val="both"/>
        <w:rPr>
          <w:b/>
        </w:rPr>
      </w:pPr>
    </w:p>
    <w:p w:rsidR="002C4355" w:rsidRPr="009757ED" w:rsidRDefault="002019D4" w:rsidP="002019D4">
      <w:pPr>
        <w:tabs>
          <w:tab w:val="right" w:pos="8364"/>
        </w:tabs>
        <w:ind w:left="567" w:hanging="567"/>
        <w:jc w:val="both"/>
        <w:rPr>
          <w:rFonts w:ascii="NewBaskerville" w:hAnsi="NewBaskerville"/>
          <w:bCs/>
        </w:rPr>
      </w:pPr>
      <w:r>
        <w:rPr>
          <w:bCs/>
        </w:rPr>
        <w:tab/>
      </w:r>
      <w:r w:rsidR="00192EA6" w:rsidRPr="009757ED">
        <w:rPr>
          <w:rFonts w:ascii="NewBaskerville" w:hAnsi="NewBaskerville"/>
          <w:bCs/>
        </w:rPr>
        <w:t>a.</w:t>
      </w:r>
      <w:r w:rsidR="00BE2A0A">
        <w:rPr>
          <w:rFonts w:ascii="NewBaskerville" w:hAnsi="NewBaskerville"/>
          <w:bCs/>
        </w:rPr>
        <w:t>3</w:t>
      </w:r>
      <w:r w:rsidR="00192EA6" w:rsidRPr="009757ED">
        <w:rPr>
          <w:rFonts w:ascii="NewBaskerville" w:hAnsi="NewBaskerville"/>
          <w:bCs/>
        </w:rPr>
        <w:t xml:space="preserve">) </w:t>
      </w:r>
      <w:r w:rsidR="002C4355" w:rsidRPr="009757ED">
        <w:rPr>
          <w:rFonts w:ascii="NewBaskerville" w:hAnsi="NewBaskerville"/>
          <w:bCs/>
        </w:rPr>
        <w:t>Plan de Pensiones</w:t>
      </w:r>
    </w:p>
    <w:p w:rsidR="002C4355" w:rsidRPr="009757ED" w:rsidRDefault="002C4355">
      <w:pPr>
        <w:pStyle w:val="Sangradetextonormal"/>
        <w:tabs>
          <w:tab w:val="clear" w:pos="8364"/>
          <w:tab w:val="right" w:pos="8222"/>
        </w:tabs>
        <w:rPr>
          <w:rFonts w:ascii="NewBaskerville" w:hAnsi="NewBaskerville"/>
          <w:sz w:val="20"/>
        </w:rPr>
      </w:pPr>
    </w:p>
    <w:p w:rsidR="00FE620A" w:rsidRPr="009757ED" w:rsidRDefault="002C4355">
      <w:pPr>
        <w:pStyle w:val="Sangradetextonormal"/>
        <w:tabs>
          <w:tab w:val="clear" w:pos="8364"/>
          <w:tab w:val="right" w:pos="8222"/>
        </w:tabs>
        <w:rPr>
          <w:rFonts w:ascii="NewBaskerville" w:hAnsi="NewBaskerville"/>
          <w:sz w:val="20"/>
        </w:rPr>
      </w:pPr>
      <w:r w:rsidRPr="009757ED">
        <w:rPr>
          <w:rFonts w:ascii="NewBaskerville" w:hAnsi="NewBaskerville"/>
          <w:sz w:val="20"/>
        </w:rPr>
        <w:tab/>
      </w:r>
      <w:r w:rsidR="008834BF">
        <w:rPr>
          <w:rFonts w:ascii="NewBaskerville" w:hAnsi="NewBaskerville"/>
          <w:sz w:val="20"/>
        </w:rPr>
        <w:t xml:space="preserve"> La </w:t>
      </w:r>
      <w:r w:rsidR="008155BC" w:rsidRPr="009757ED">
        <w:rPr>
          <w:rFonts w:ascii="NewBaskerville" w:hAnsi="NewBaskerville"/>
          <w:sz w:val="20"/>
        </w:rPr>
        <w:t>AP</w:t>
      </w:r>
      <w:r w:rsidRPr="009757ED">
        <w:rPr>
          <w:rFonts w:ascii="NewBaskerville" w:hAnsi="NewBaskerville"/>
          <w:sz w:val="20"/>
        </w:rPr>
        <w:t>B mantiene constituido un Plan de Pens</w:t>
      </w:r>
      <w:r w:rsidR="00914B2C" w:rsidRPr="009757ED">
        <w:rPr>
          <w:rFonts w:ascii="NewBaskerville" w:hAnsi="NewBaskerville"/>
          <w:sz w:val="20"/>
        </w:rPr>
        <w:t xml:space="preserve">iones a favor de sus empleados que </w:t>
      </w:r>
      <w:r w:rsidRPr="009757ED">
        <w:rPr>
          <w:rFonts w:ascii="NewBaskerville" w:hAnsi="NewBaskerville"/>
          <w:sz w:val="20"/>
        </w:rPr>
        <w:t>se integra en la actualidad en el Fondo de Pensiones “PUERTO PENSIONES, FONDO DE PENSIONES”, inscrito en el Registro Mercantil de Madrid.</w:t>
      </w:r>
    </w:p>
    <w:p w:rsidR="002C4355" w:rsidRPr="009757ED" w:rsidRDefault="002C4355" w:rsidP="00FE620A">
      <w:pPr>
        <w:pStyle w:val="Sangradetextonormal"/>
        <w:tabs>
          <w:tab w:val="clear" w:pos="8364"/>
          <w:tab w:val="right" w:pos="8222"/>
        </w:tabs>
        <w:rPr>
          <w:rFonts w:ascii="NewBaskerville" w:hAnsi="NewBaskerville"/>
          <w:sz w:val="20"/>
        </w:rPr>
      </w:pPr>
    </w:p>
    <w:p w:rsidR="002C4355" w:rsidRPr="009757ED" w:rsidRDefault="002C4355">
      <w:pPr>
        <w:pStyle w:val="Sangradetextonormal"/>
        <w:tabs>
          <w:tab w:val="clear" w:pos="8364"/>
          <w:tab w:val="right" w:pos="8222"/>
        </w:tabs>
        <w:rPr>
          <w:rFonts w:ascii="NewBaskerville" w:hAnsi="NewBaskerville"/>
          <w:sz w:val="20"/>
        </w:rPr>
      </w:pPr>
      <w:r w:rsidRPr="009757ED">
        <w:rPr>
          <w:rFonts w:ascii="NewBaskerville" w:hAnsi="NewBaskerville"/>
          <w:sz w:val="20"/>
        </w:rPr>
        <w:t>Las contingencias cubiertas son la jubilación, el fallecimiento o l</w:t>
      </w:r>
      <w:r w:rsidR="00F8542D" w:rsidRPr="009757ED">
        <w:rPr>
          <w:rFonts w:ascii="NewBaskerville" w:hAnsi="NewBaskerville"/>
          <w:sz w:val="20"/>
        </w:rPr>
        <w:t>a invalidez permanente del partí</w:t>
      </w:r>
      <w:r w:rsidRPr="009757ED">
        <w:rPr>
          <w:rFonts w:ascii="NewBaskerville" w:hAnsi="NewBaskerville"/>
          <w:sz w:val="20"/>
        </w:rPr>
        <w:t xml:space="preserve">cipe, siendo el importe de la prestación igual al derecho consolidado por el </w:t>
      </w:r>
      <w:r w:rsidR="00F8542D" w:rsidRPr="009757ED">
        <w:rPr>
          <w:rFonts w:ascii="NewBaskerville" w:hAnsi="NewBaskerville"/>
          <w:sz w:val="20"/>
        </w:rPr>
        <w:t>p</w:t>
      </w:r>
      <w:r w:rsidRPr="009757ED">
        <w:rPr>
          <w:rFonts w:ascii="NewBaskerville" w:hAnsi="NewBaskerville"/>
          <w:sz w:val="20"/>
        </w:rPr>
        <w:t>artícipe en la fecha de abono de esta prestación.</w:t>
      </w:r>
    </w:p>
    <w:p w:rsidR="00E37DF1" w:rsidRPr="009757ED" w:rsidRDefault="00E37DF1">
      <w:pPr>
        <w:pStyle w:val="Sangradetextonormal"/>
        <w:tabs>
          <w:tab w:val="clear" w:pos="8364"/>
          <w:tab w:val="right" w:pos="8222"/>
        </w:tabs>
        <w:rPr>
          <w:rFonts w:ascii="NewBaskerville" w:hAnsi="NewBaskerville"/>
          <w:sz w:val="20"/>
        </w:rPr>
      </w:pPr>
    </w:p>
    <w:p w:rsidR="004A041C" w:rsidRPr="009757ED" w:rsidRDefault="00E37DF1">
      <w:pPr>
        <w:pStyle w:val="Sangradetextonormal"/>
        <w:tabs>
          <w:tab w:val="clear" w:pos="8364"/>
          <w:tab w:val="right" w:pos="8222"/>
        </w:tabs>
        <w:rPr>
          <w:rFonts w:ascii="NewBaskerville" w:hAnsi="NewBaskerville"/>
          <w:sz w:val="20"/>
        </w:rPr>
      </w:pPr>
      <w:r w:rsidRPr="009757ED">
        <w:rPr>
          <w:rFonts w:ascii="NewBaskerville" w:hAnsi="NewBaskerville"/>
          <w:sz w:val="20"/>
        </w:rPr>
        <w:t>El art.22.</w:t>
      </w:r>
      <w:r w:rsidR="00E74052" w:rsidRPr="009757ED">
        <w:rPr>
          <w:rFonts w:ascii="NewBaskerville" w:hAnsi="NewBaskerville"/>
          <w:sz w:val="20"/>
        </w:rPr>
        <w:t>3</w:t>
      </w:r>
      <w:r w:rsidRPr="009757ED">
        <w:rPr>
          <w:rFonts w:ascii="NewBaskerville" w:hAnsi="NewBaskerville"/>
          <w:sz w:val="20"/>
        </w:rPr>
        <w:t xml:space="preserve"> de la Ley </w:t>
      </w:r>
      <w:r w:rsidR="00E74052" w:rsidRPr="009757ED">
        <w:rPr>
          <w:rFonts w:ascii="NewBaskerville" w:hAnsi="NewBaskerville"/>
          <w:sz w:val="20"/>
        </w:rPr>
        <w:t>17</w:t>
      </w:r>
      <w:r w:rsidR="00A03932" w:rsidRPr="009757ED">
        <w:rPr>
          <w:rFonts w:ascii="NewBaskerville" w:hAnsi="NewBaskerville"/>
          <w:sz w:val="20"/>
        </w:rPr>
        <w:t>/201</w:t>
      </w:r>
      <w:r w:rsidR="00E74052" w:rsidRPr="009757ED">
        <w:rPr>
          <w:rFonts w:ascii="NewBaskerville" w:hAnsi="NewBaskerville"/>
          <w:sz w:val="20"/>
        </w:rPr>
        <w:t>2</w:t>
      </w:r>
      <w:r w:rsidRPr="009757ED">
        <w:rPr>
          <w:rFonts w:ascii="NewBaskerville" w:hAnsi="NewBaskerville"/>
          <w:sz w:val="20"/>
        </w:rPr>
        <w:t xml:space="preserve"> de Presupuestos Generales del Estado establece que </w:t>
      </w:r>
      <w:r w:rsidR="0053692E" w:rsidRPr="009757ED">
        <w:rPr>
          <w:rFonts w:ascii="NewBaskerville" w:hAnsi="NewBaskerville"/>
          <w:sz w:val="20"/>
        </w:rPr>
        <w:t>a partir d</w:t>
      </w:r>
      <w:r w:rsidRPr="009757ED">
        <w:rPr>
          <w:rFonts w:ascii="NewBaskerville" w:hAnsi="NewBaskerville"/>
          <w:sz w:val="20"/>
        </w:rPr>
        <w:t>el año 201</w:t>
      </w:r>
      <w:r w:rsidR="00914B2C" w:rsidRPr="009757ED">
        <w:rPr>
          <w:rFonts w:ascii="NewBaskerville" w:hAnsi="NewBaskerville"/>
          <w:sz w:val="20"/>
        </w:rPr>
        <w:t>3</w:t>
      </w:r>
      <w:r w:rsidRPr="009757ED">
        <w:rPr>
          <w:rFonts w:ascii="NewBaskerville" w:hAnsi="NewBaskerville"/>
          <w:sz w:val="20"/>
        </w:rPr>
        <w:t xml:space="preserve"> no se podrán realizar aportaciones a los planes de pensiones al p</w:t>
      </w:r>
      <w:r w:rsidR="00E74052" w:rsidRPr="009757ED">
        <w:rPr>
          <w:rFonts w:ascii="NewBaskerville" w:hAnsi="NewBaskerville"/>
          <w:sz w:val="20"/>
        </w:rPr>
        <w:t xml:space="preserve">ersonal del sector público por </w:t>
      </w:r>
      <w:r w:rsidRPr="009757ED">
        <w:rPr>
          <w:rFonts w:ascii="NewBaskerville" w:hAnsi="NewBaskerville"/>
          <w:sz w:val="20"/>
        </w:rPr>
        <w:t>lo que este año no ha habido n</w:t>
      </w:r>
      <w:r w:rsidR="00E46ADF" w:rsidRPr="009757ED">
        <w:rPr>
          <w:rFonts w:ascii="NewBaskerville" w:hAnsi="NewBaskerville"/>
          <w:sz w:val="20"/>
        </w:rPr>
        <w:t>inguna aportación de la empresa</w:t>
      </w:r>
      <w:r w:rsidR="0053692E" w:rsidRPr="009757ED">
        <w:rPr>
          <w:rFonts w:ascii="NewBaskerville" w:hAnsi="NewBaskerville"/>
          <w:sz w:val="20"/>
        </w:rPr>
        <w:t>.</w:t>
      </w:r>
    </w:p>
    <w:p w:rsidR="00484FB9" w:rsidRDefault="00484FB9" w:rsidP="002019D4">
      <w:pPr>
        <w:tabs>
          <w:tab w:val="right" w:pos="8364"/>
        </w:tabs>
        <w:ind w:left="567"/>
        <w:jc w:val="both"/>
        <w:rPr>
          <w:bCs/>
        </w:rPr>
      </w:pPr>
      <w:bookmarkStart w:id="3" w:name="_Hlk4422481"/>
    </w:p>
    <w:p w:rsidR="00507DEF" w:rsidRDefault="00507DEF" w:rsidP="002019D4">
      <w:pPr>
        <w:tabs>
          <w:tab w:val="right" w:pos="8364"/>
        </w:tabs>
        <w:ind w:left="567"/>
        <w:jc w:val="both"/>
        <w:rPr>
          <w:rFonts w:ascii="NewBaskerville" w:hAnsi="NewBaskerville"/>
          <w:bCs/>
        </w:rPr>
      </w:pPr>
    </w:p>
    <w:p w:rsidR="00994409" w:rsidRDefault="00BE2A0A" w:rsidP="002019D4">
      <w:pPr>
        <w:tabs>
          <w:tab w:val="right" w:pos="8364"/>
        </w:tabs>
        <w:ind w:left="567"/>
        <w:jc w:val="both"/>
        <w:rPr>
          <w:rFonts w:ascii="NewBaskerville" w:hAnsi="NewBaskerville"/>
          <w:bCs/>
        </w:rPr>
      </w:pPr>
      <w:r>
        <w:rPr>
          <w:rFonts w:ascii="NewBaskerville" w:hAnsi="NewBaskerville"/>
          <w:bCs/>
        </w:rPr>
        <w:t>a.4</w:t>
      </w:r>
      <w:r w:rsidR="008155BC" w:rsidRPr="009757ED">
        <w:rPr>
          <w:rFonts w:ascii="NewBaskerville" w:hAnsi="NewBaskerville"/>
          <w:bCs/>
        </w:rPr>
        <w:t>)</w:t>
      </w:r>
      <w:r w:rsidR="00192EA6" w:rsidRPr="009757ED">
        <w:rPr>
          <w:rFonts w:ascii="NewBaskerville" w:hAnsi="NewBaskerville"/>
          <w:bCs/>
        </w:rPr>
        <w:t xml:space="preserve"> </w:t>
      </w:r>
      <w:r w:rsidR="00994409" w:rsidRPr="009757ED">
        <w:rPr>
          <w:rFonts w:ascii="NewBaskerville" w:hAnsi="NewBaskerville"/>
          <w:bCs/>
        </w:rPr>
        <w:t>Otros gastos de gestión corriente:</w:t>
      </w:r>
    </w:p>
    <w:p w:rsidR="006F550B" w:rsidRDefault="006F550B" w:rsidP="002019D4">
      <w:pPr>
        <w:tabs>
          <w:tab w:val="right" w:pos="8364"/>
        </w:tabs>
        <w:ind w:left="567"/>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4882"/>
        <w:gridCol w:w="275"/>
        <w:gridCol w:w="275"/>
        <w:gridCol w:w="308"/>
        <w:gridCol w:w="1452"/>
        <w:gridCol w:w="1452"/>
      </w:tblGrid>
      <w:tr w:rsidR="006F550B" w:rsidRPr="006F550B" w:rsidTr="006F550B">
        <w:trPr>
          <w:trHeight w:val="300"/>
        </w:trPr>
        <w:tc>
          <w:tcPr>
            <w:tcW w:w="3319"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Concepto</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2023</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2022</w:t>
            </w:r>
          </w:p>
        </w:tc>
      </w:tr>
      <w:tr w:rsidR="006F550B" w:rsidRPr="006F550B" w:rsidTr="006F550B">
        <w:trPr>
          <w:trHeight w:val="30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Dietas asistencia al Consejo de Administración (no personal)</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142.321,83</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139.846,00</w:t>
            </w:r>
          </w:p>
        </w:tc>
      </w:tr>
      <w:tr w:rsidR="006F550B" w:rsidRPr="006F550B" w:rsidTr="006F550B">
        <w:trPr>
          <w:trHeight w:val="300"/>
        </w:trPr>
        <w:tc>
          <w:tcPr>
            <w:tcW w:w="3141" w:type="pct"/>
            <w:gridSpan w:val="3"/>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xml:space="preserve">Daños a terceros, costas judiciales, </w:t>
            </w:r>
            <w:proofErr w:type="spellStart"/>
            <w:r w:rsidRPr="006F550B">
              <w:rPr>
                <w:rFonts w:ascii="Lucida Bright" w:hAnsi="Lucida Bright" w:cs="Calibri"/>
                <w:color w:val="000000"/>
                <w:sz w:val="14"/>
                <w:szCs w:val="14"/>
                <w:lang w:val="es-ES"/>
              </w:rPr>
              <w:t>etc</w:t>
            </w:r>
            <w:proofErr w:type="spellEnd"/>
          </w:p>
        </w:tc>
        <w:tc>
          <w:tcPr>
            <w:tcW w:w="178"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13.289,53</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7.411,42</w:t>
            </w:r>
          </w:p>
        </w:tc>
      </w:tr>
      <w:tr w:rsidR="006F550B" w:rsidRPr="006F550B" w:rsidTr="006F550B">
        <w:trPr>
          <w:trHeight w:val="300"/>
        </w:trPr>
        <w:tc>
          <w:tcPr>
            <w:tcW w:w="2982"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Otros gastos de gestión</w:t>
            </w:r>
          </w:p>
        </w:tc>
        <w:tc>
          <w:tcPr>
            <w:tcW w:w="159"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344.581,31</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626.125,65</w:t>
            </w:r>
          </w:p>
        </w:tc>
      </w:tr>
      <w:tr w:rsidR="006F550B" w:rsidRPr="006F550B" w:rsidTr="006F550B">
        <w:trPr>
          <w:trHeight w:val="300"/>
        </w:trPr>
        <w:tc>
          <w:tcPr>
            <w:tcW w:w="3141" w:type="pct"/>
            <w:gridSpan w:val="3"/>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Gastos de gestión cobro de deudas en vía de apremio</w:t>
            </w:r>
          </w:p>
        </w:tc>
        <w:tc>
          <w:tcPr>
            <w:tcW w:w="178"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39.625,88</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71.193,70</w:t>
            </w:r>
          </w:p>
        </w:tc>
      </w:tr>
      <w:tr w:rsidR="006F550B" w:rsidRPr="006F550B" w:rsidTr="006F550B">
        <w:trPr>
          <w:trHeight w:val="300"/>
        </w:trPr>
        <w:tc>
          <w:tcPr>
            <w:tcW w:w="2982"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Provisión para responsabilidades</w:t>
            </w:r>
          </w:p>
        </w:tc>
        <w:tc>
          <w:tcPr>
            <w:tcW w:w="159"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0,00</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7.580.463,94</w:t>
            </w:r>
          </w:p>
        </w:tc>
      </w:tr>
      <w:tr w:rsidR="006F550B" w:rsidRPr="006F550B" w:rsidTr="006F550B">
        <w:trPr>
          <w:trHeight w:val="300"/>
        </w:trPr>
        <w:tc>
          <w:tcPr>
            <w:tcW w:w="2982"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Ministerio de Justicia</w:t>
            </w:r>
          </w:p>
        </w:tc>
        <w:tc>
          <w:tcPr>
            <w:tcW w:w="159"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83.275,44</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79.418,48</w:t>
            </w:r>
          </w:p>
        </w:tc>
      </w:tr>
      <w:tr w:rsidR="006F550B" w:rsidRPr="006F550B" w:rsidTr="006F550B">
        <w:trPr>
          <w:trHeight w:val="300"/>
        </w:trPr>
        <w:tc>
          <w:tcPr>
            <w:tcW w:w="2824" w:type="pct"/>
            <w:tcBorders>
              <w:top w:val="nil"/>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Patrocinios</w:t>
            </w:r>
          </w:p>
        </w:tc>
        <w:tc>
          <w:tcPr>
            <w:tcW w:w="159"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59"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42.764,71</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54.117,92</w:t>
            </w:r>
          </w:p>
        </w:tc>
      </w:tr>
      <w:tr w:rsidR="006F550B" w:rsidRPr="006F550B" w:rsidTr="006F550B">
        <w:trPr>
          <w:trHeight w:val="300"/>
        </w:trPr>
        <w:tc>
          <w:tcPr>
            <w:tcW w:w="2982"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Recargos y Sanciones</w:t>
            </w:r>
          </w:p>
        </w:tc>
        <w:tc>
          <w:tcPr>
            <w:tcW w:w="159"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32.779,16</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7.203,02</w:t>
            </w:r>
          </w:p>
        </w:tc>
      </w:tr>
      <w:tr w:rsidR="006F550B" w:rsidRPr="006F550B" w:rsidTr="006F550B">
        <w:trPr>
          <w:trHeight w:val="300"/>
        </w:trPr>
        <w:tc>
          <w:tcPr>
            <w:tcW w:w="3141" w:type="pct"/>
            <w:gridSpan w:val="3"/>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Devolución de subvenciones a la explotación</w:t>
            </w:r>
          </w:p>
        </w:tc>
        <w:tc>
          <w:tcPr>
            <w:tcW w:w="178"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63.106,37</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r>
      <w:tr w:rsidR="006F550B" w:rsidRPr="006F550B" w:rsidTr="006F550B">
        <w:trPr>
          <w:trHeight w:val="300"/>
        </w:trPr>
        <w:tc>
          <w:tcPr>
            <w:tcW w:w="2824" w:type="pct"/>
            <w:tcBorders>
              <w:top w:val="nil"/>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Total</w:t>
            </w:r>
          </w:p>
        </w:tc>
        <w:tc>
          <w:tcPr>
            <w:tcW w:w="159"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59"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78"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761.744,23</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8.565.780,13</w:t>
            </w:r>
          </w:p>
        </w:tc>
      </w:tr>
    </w:tbl>
    <w:p w:rsidR="003737B4" w:rsidRDefault="003737B4" w:rsidP="002019D4">
      <w:pPr>
        <w:tabs>
          <w:tab w:val="right" w:pos="8364"/>
        </w:tabs>
        <w:ind w:left="567"/>
        <w:jc w:val="both"/>
        <w:rPr>
          <w:rFonts w:ascii="NewBaskerville" w:hAnsi="NewBaskerville"/>
          <w:bCs/>
          <w:lang w:val="es-ES"/>
        </w:rPr>
      </w:pPr>
    </w:p>
    <w:bookmarkEnd w:id="3"/>
    <w:p w:rsidR="008834BF" w:rsidRPr="002D2BC3" w:rsidRDefault="002D2BC3" w:rsidP="00245534">
      <w:pPr>
        <w:tabs>
          <w:tab w:val="right" w:pos="8364"/>
        </w:tabs>
        <w:jc w:val="both"/>
        <w:rPr>
          <w:rFonts w:ascii="NewBaskerville" w:hAnsi="NewBaskerville"/>
          <w:bCs/>
        </w:rPr>
      </w:pPr>
      <w:r w:rsidRPr="002D2BC3">
        <w:rPr>
          <w:rFonts w:ascii="NewBaskerville" w:hAnsi="NewBaskerville"/>
          <w:bCs/>
        </w:rPr>
        <w:t xml:space="preserve">En el ejercicio se ha efectuado el cierre de la subvención a la explotación Port Forward Puertos Inteligentes e Interconectados, del programa </w:t>
      </w:r>
      <w:proofErr w:type="spellStart"/>
      <w:r w:rsidRPr="002D2BC3">
        <w:rPr>
          <w:rFonts w:ascii="NewBaskerville" w:hAnsi="NewBaskerville"/>
          <w:bCs/>
        </w:rPr>
        <w:t>Horizon</w:t>
      </w:r>
      <w:proofErr w:type="spellEnd"/>
      <w:r w:rsidRPr="002D2BC3">
        <w:rPr>
          <w:rFonts w:ascii="NewBaskerville" w:hAnsi="NewBaskerville"/>
          <w:bCs/>
        </w:rPr>
        <w:t xml:space="preserve"> 2020 (H2020) de la Unión Europea. Este cierre ha supuesto para la APB </w:t>
      </w:r>
      <w:r>
        <w:rPr>
          <w:rFonts w:ascii="NewBaskerville" w:hAnsi="NewBaskerville"/>
          <w:bCs/>
        </w:rPr>
        <w:t>reducir en 63.106,37 euros la inicialmente reconocida en ejercicios anteriores.</w:t>
      </w:r>
    </w:p>
    <w:p w:rsidR="003737B4" w:rsidRPr="00846803" w:rsidRDefault="003737B4" w:rsidP="00245534">
      <w:pPr>
        <w:tabs>
          <w:tab w:val="right" w:pos="8364"/>
        </w:tabs>
        <w:jc w:val="both"/>
        <w:rPr>
          <w:bCs/>
        </w:rPr>
      </w:pPr>
    </w:p>
    <w:p w:rsidR="002C4355" w:rsidRPr="003737B4" w:rsidRDefault="00BE2A0A" w:rsidP="002019D4">
      <w:pPr>
        <w:tabs>
          <w:tab w:val="right" w:pos="8364"/>
        </w:tabs>
        <w:ind w:left="567"/>
        <w:jc w:val="both"/>
        <w:rPr>
          <w:rFonts w:ascii="NewBaskerville" w:hAnsi="NewBaskerville"/>
          <w:bCs/>
        </w:rPr>
      </w:pPr>
      <w:r>
        <w:rPr>
          <w:rFonts w:ascii="NewBaskerville" w:hAnsi="NewBaskerville"/>
          <w:bCs/>
        </w:rPr>
        <w:t>a.5</w:t>
      </w:r>
      <w:r w:rsidR="00192EA6" w:rsidRPr="003737B4">
        <w:rPr>
          <w:rFonts w:ascii="NewBaskerville" w:hAnsi="NewBaskerville"/>
          <w:bCs/>
        </w:rPr>
        <w:t xml:space="preserve">) </w:t>
      </w:r>
      <w:r w:rsidR="00762B1B" w:rsidRPr="003737B4">
        <w:rPr>
          <w:rFonts w:ascii="NewBaskerville" w:hAnsi="NewBaskerville"/>
          <w:bCs/>
        </w:rPr>
        <w:t>Gastos financieros:</w:t>
      </w:r>
    </w:p>
    <w:p w:rsidR="00762B1B" w:rsidRPr="00846803" w:rsidRDefault="00762B1B" w:rsidP="004A041C">
      <w:pPr>
        <w:tabs>
          <w:tab w:val="right" w:pos="8364"/>
        </w:tabs>
        <w:ind w:left="284" w:hanging="284"/>
        <w:jc w:val="both"/>
        <w:rPr>
          <w:b/>
          <w:bCs/>
        </w:rPr>
      </w:pPr>
    </w:p>
    <w:p w:rsidR="006F550B" w:rsidRDefault="00253378" w:rsidP="00245534">
      <w:pPr>
        <w:tabs>
          <w:tab w:val="right" w:pos="8364"/>
        </w:tabs>
        <w:jc w:val="both"/>
        <w:rPr>
          <w:b/>
          <w:bCs/>
          <w:sz w:val="24"/>
        </w:rPr>
      </w:pPr>
      <w:r>
        <w:rPr>
          <w:bCs/>
          <w:sz w:val="24"/>
        </w:rPr>
        <w:t xml:space="preserve">      </w:t>
      </w:r>
    </w:p>
    <w:tbl>
      <w:tblPr>
        <w:tblW w:w="5000" w:type="pct"/>
        <w:tblCellMar>
          <w:left w:w="70" w:type="dxa"/>
          <w:right w:w="70" w:type="dxa"/>
        </w:tblCellMar>
        <w:tblLook w:val="04A0" w:firstRow="1" w:lastRow="0" w:firstColumn="1" w:lastColumn="0" w:noHBand="0" w:noVBand="1"/>
      </w:tblPr>
      <w:tblGrid>
        <w:gridCol w:w="4216"/>
        <w:gridCol w:w="489"/>
        <w:gridCol w:w="489"/>
        <w:gridCol w:w="546"/>
        <w:gridCol w:w="1452"/>
        <w:gridCol w:w="1452"/>
      </w:tblGrid>
      <w:tr w:rsidR="006F550B" w:rsidRPr="006F550B" w:rsidTr="006F550B">
        <w:trPr>
          <w:trHeight w:val="300"/>
        </w:trPr>
        <w:tc>
          <w:tcPr>
            <w:tcW w:w="3319"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Concepto</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2023</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2022</w:t>
            </w:r>
          </w:p>
        </w:tc>
      </w:tr>
      <w:tr w:rsidR="006F550B" w:rsidRPr="006F550B" w:rsidTr="006F550B">
        <w:trPr>
          <w:trHeight w:val="300"/>
        </w:trPr>
        <w:tc>
          <w:tcPr>
            <w:tcW w:w="2721"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Actualización de provisiones</w:t>
            </w:r>
          </w:p>
        </w:tc>
        <w:tc>
          <w:tcPr>
            <w:tcW w:w="283"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356.833,74</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57.278,86</w:t>
            </w:r>
          </w:p>
        </w:tc>
      </w:tr>
      <w:tr w:rsidR="006F550B" w:rsidRPr="006F550B" w:rsidTr="006F550B">
        <w:trPr>
          <w:trHeight w:val="300"/>
        </w:trPr>
        <w:tc>
          <w:tcPr>
            <w:tcW w:w="3004" w:type="pct"/>
            <w:gridSpan w:val="3"/>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Intereses de demora por otros conceptos</w:t>
            </w:r>
          </w:p>
        </w:tc>
        <w:tc>
          <w:tcPr>
            <w:tcW w:w="316"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9.278,27</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6.943,47</w:t>
            </w:r>
          </w:p>
        </w:tc>
      </w:tr>
      <w:tr w:rsidR="006F550B" w:rsidRPr="006F550B" w:rsidTr="006F550B">
        <w:trPr>
          <w:trHeight w:val="300"/>
        </w:trPr>
        <w:tc>
          <w:tcPr>
            <w:tcW w:w="2438" w:type="pct"/>
            <w:tcBorders>
              <w:top w:val="nil"/>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Total</w:t>
            </w:r>
          </w:p>
        </w:tc>
        <w:tc>
          <w:tcPr>
            <w:tcW w:w="283"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83"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366.112,01</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64.222,33</w:t>
            </w:r>
          </w:p>
        </w:tc>
      </w:tr>
    </w:tbl>
    <w:p w:rsidR="008A1987" w:rsidRDefault="008A1987" w:rsidP="00245534">
      <w:pPr>
        <w:tabs>
          <w:tab w:val="right" w:pos="8364"/>
        </w:tabs>
        <w:jc w:val="both"/>
        <w:rPr>
          <w:b/>
          <w:bCs/>
          <w:sz w:val="24"/>
        </w:rPr>
      </w:pPr>
      <w:r>
        <w:rPr>
          <w:b/>
          <w:bCs/>
          <w:sz w:val="24"/>
        </w:rPr>
        <w:br w:type="page"/>
      </w:r>
    </w:p>
    <w:p w:rsidR="00CA7882" w:rsidRPr="00192EA6" w:rsidRDefault="00CA7882" w:rsidP="00B114F7">
      <w:pPr>
        <w:tabs>
          <w:tab w:val="right" w:pos="8364"/>
        </w:tabs>
        <w:jc w:val="both"/>
        <w:rPr>
          <w:b/>
          <w:bCs/>
          <w:sz w:val="24"/>
        </w:rPr>
      </w:pPr>
    </w:p>
    <w:p w:rsidR="002C4355" w:rsidRPr="007B5A30" w:rsidRDefault="00253378" w:rsidP="002019D4">
      <w:pPr>
        <w:tabs>
          <w:tab w:val="right" w:pos="8364"/>
        </w:tabs>
        <w:ind w:left="567" w:hanging="567"/>
        <w:jc w:val="both"/>
        <w:rPr>
          <w:rFonts w:ascii="NewBaskerville" w:hAnsi="NewBaskerville"/>
          <w:b/>
          <w:bCs/>
        </w:rPr>
      </w:pPr>
      <w:r w:rsidRPr="007B5A30">
        <w:rPr>
          <w:rFonts w:ascii="NewBaskerville" w:hAnsi="NewBaskerville"/>
          <w:b/>
          <w:bCs/>
        </w:rPr>
        <w:t xml:space="preserve"> </w:t>
      </w:r>
      <w:r w:rsidR="003A2FD1" w:rsidRPr="007B5A30">
        <w:rPr>
          <w:rFonts w:ascii="NewBaskerville" w:hAnsi="NewBaskerville"/>
          <w:b/>
          <w:bCs/>
        </w:rPr>
        <w:t>b) Ingresos</w:t>
      </w:r>
      <w:r w:rsidR="000A2322" w:rsidRPr="007B5A30">
        <w:rPr>
          <w:rFonts w:ascii="NewBaskerville" w:hAnsi="NewBaskerville"/>
          <w:b/>
          <w:bCs/>
        </w:rPr>
        <w:t xml:space="preserve"> </w:t>
      </w:r>
    </w:p>
    <w:p w:rsidR="002C4355" w:rsidRDefault="002C4355" w:rsidP="009F0C37">
      <w:pPr>
        <w:tabs>
          <w:tab w:val="right" w:pos="8364"/>
        </w:tabs>
        <w:jc w:val="both"/>
        <w:rPr>
          <w:rFonts w:ascii="NewBaskerville" w:hAnsi="NewBaskerville"/>
          <w:bCs/>
        </w:rPr>
      </w:pPr>
    </w:p>
    <w:p w:rsidR="00A563E0" w:rsidRPr="007B5A30" w:rsidRDefault="00A563E0" w:rsidP="009F0C37">
      <w:pPr>
        <w:tabs>
          <w:tab w:val="right" w:pos="8364"/>
        </w:tabs>
        <w:jc w:val="both"/>
        <w:rPr>
          <w:rFonts w:ascii="NewBaskerville" w:hAnsi="NewBaskerville"/>
          <w:bCs/>
        </w:rPr>
      </w:pPr>
    </w:p>
    <w:p w:rsidR="002C4355" w:rsidRPr="007B5A30" w:rsidRDefault="00192EA6" w:rsidP="002019D4">
      <w:pPr>
        <w:tabs>
          <w:tab w:val="right" w:pos="8364"/>
        </w:tabs>
        <w:ind w:left="567"/>
        <w:jc w:val="both"/>
        <w:rPr>
          <w:rFonts w:ascii="NewBaskerville" w:hAnsi="NewBaskerville"/>
          <w:bCs/>
        </w:rPr>
      </w:pPr>
      <w:r w:rsidRPr="007B5A30">
        <w:rPr>
          <w:rFonts w:ascii="NewBaskerville" w:hAnsi="NewBaskerville"/>
          <w:bCs/>
        </w:rPr>
        <w:t xml:space="preserve"> b.1) </w:t>
      </w:r>
      <w:r w:rsidR="002C4355" w:rsidRPr="007B5A30">
        <w:rPr>
          <w:rFonts w:ascii="NewBaskerville" w:hAnsi="NewBaskerville"/>
          <w:bCs/>
        </w:rPr>
        <w:t>Otros ingresos de negocio</w:t>
      </w:r>
      <w:r w:rsidR="006F550B">
        <w:rPr>
          <w:rFonts w:ascii="NewBaskerville" w:hAnsi="NewBaskerville"/>
          <w:bCs/>
        </w:rPr>
        <w:t>:</w:t>
      </w:r>
    </w:p>
    <w:p w:rsidR="002304EF" w:rsidRPr="00846803" w:rsidRDefault="002304EF" w:rsidP="00C05DE0">
      <w:pPr>
        <w:tabs>
          <w:tab w:val="right" w:pos="8364"/>
        </w:tabs>
        <w:jc w:val="both"/>
      </w:pPr>
    </w:p>
    <w:tbl>
      <w:tblPr>
        <w:tblW w:w="5000" w:type="pct"/>
        <w:tblCellMar>
          <w:left w:w="70" w:type="dxa"/>
          <w:right w:w="70" w:type="dxa"/>
        </w:tblCellMar>
        <w:tblLook w:val="04A0" w:firstRow="1" w:lastRow="0" w:firstColumn="1" w:lastColumn="0" w:noHBand="0" w:noVBand="1"/>
      </w:tblPr>
      <w:tblGrid>
        <w:gridCol w:w="4221"/>
        <w:gridCol w:w="489"/>
        <w:gridCol w:w="489"/>
        <w:gridCol w:w="546"/>
        <w:gridCol w:w="1450"/>
        <w:gridCol w:w="1449"/>
      </w:tblGrid>
      <w:tr w:rsidR="006F550B" w:rsidRPr="006F550B" w:rsidTr="006F550B">
        <w:trPr>
          <w:trHeight w:val="300"/>
        </w:trPr>
        <w:tc>
          <w:tcPr>
            <w:tcW w:w="3323"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Concepto</w:t>
            </w:r>
          </w:p>
        </w:tc>
        <w:tc>
          <w:tcPr>
            <w:tcW w:w="839" w:type="pct"/>
            <w:tcBorders>
              <w:top w:val="single" w:sz="4" w:space="0" w:color="auto"/>
              <w:left w:val="nil"/>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2023</w:t>
            </w:r>
          </w:p>
        </w:tc>
        <w:tc>
          <w:tcPr>
            <w:tcW w:w="839" w:type="pct"/>
            <w:tcBorders>
              <w:top w:val="single" w:sz="4" w:space="0" w:color="auto"/>
              <w:left w:val="nil"/>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2022</w:t>
            </w:r>
          </w:p>
        </w:tc>
      </w:tr>
      <w:tr w:rsidR="006F550B" w:rsidRPr="006F550B" w:rsidTr="006F550B">
        <w:trPr>
          <w:trHeight w:val="300"/>
        </w:trPr>
        <w:tc>
          <w:tcPr>
            <w:tcW w:w="2724"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Importes adicionales a las tasas</w:t>
            </w:r>
          </w:p>
        </w:tc>
        <w:tc>
          <w:tcPr>
            <w:tcW w:w="283"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39"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31.241.745,02</w:t>
            </w:r>
          </w:p>
        </w:tc>
        <w:tc>
          <w:tcPr>
            <w:tcW w:w="839"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23.390.083,30</w:t>
            </w:r>
          </w:p>
        </w:tc>
      </w:tr>
      <w:tr w:rsidR="006F550B" w:rsidRPr="006F550B" w:rsidTr="006F550B">
        <w:trPr>
          <w:trHeight w:val="300"/>
        </w:trPr>
        <w:tc>
          <w:tcPr>
            <w:tcW w:w="2724"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Tarifas por servicios comerciales</w:t>
            </w:r>
          </w:p>
        </w:tc>
        <w:tc>
          <w:tcPr>
            <w:tcW w:w="283"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39"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8.349.830,27</w:t>
            </w:r>
          </w:p>
        </w:tc>
        <w:tc>
          <w:tcPr>
            <w:tcW w:w="839"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8.266.775,36</w:t>
            </w:r>
          </w:p>
        </w:tc>
      </w:tr>
      <w:tr w:rsidR="006F550B" w:rsidRPr="006F550B" w:rsidTr="006F550B">
        <w:trPr>
          <w:trHeight w:val="300"/>
        </w:trPr>
        <w:tc>
          <w:tcPr>
            <w:tcW w:w="3323"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xml:space="preserve">Tarifas por el servicio de recepción de desechos </w:t>
            </w:r>
            <w:r w:rsidR="00DD448C" w:rsidRPr="006F550B">
              <w:rPr>
                <w:rFonts w:ascii="Lucida Bright" w:hAnsi="Lucida Bright" w:cs="Calibri"/>
                <w:color w:val="000000"/>
                <w:sz w:val="14"/>
                <w:szCs w:val="14"/>
                <w:lang w:val="es-ES"/>
              </w:rPr>
              <w:t>generados</w:t>
            </w:r>
            <w:r w:rsidRPr="006F550B">
              <w:rPr>
                <w:rFonts w:ascii="Lucida Bright" w:hAnsi="Lucida Bright" w:cs="Calibri"/>
                <w:color w:val="000000"/>
                <w:sz w:val="14"/>
                <w:szCs w:val="14"/>
                <w:lang w:val="es-ES"/>
              </w:rPr>
              <w:t xml:space="preserve"> por buques</w:t>
            </w:r>
          </w:p>
        </w:tc>
        <w:tc>
          <w:tcPr>
            <w:tcW w:w="839"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4.296.813,60</w:t>
            </w:r>
          </w:p>
        </w:tc>
        <w:tc>
          <w:tcPr>
            <w:tcW w:w="839"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4.002.754,31</w:t>
            </w:r>
          </w:p>
        </w:tc>
      </w:tr>
      <w:tr w:rsidR="006F550B" w:rsidRPr="006F550B" w:rsidTr="006F550B">
        <w:trPr>
          <w:trHeight w:val="300"/>
        </w:trPr>
        <w:tc>
          <w:tcPr>
            <w:tcW w:w="2441" w:type="pct"/>
            <w:tcBorders>
              <w:top w:val="nil"/>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Total</w:t>
            </w:r>
          </w:p>
        </w:tc>
        <w:tc>
          <w:tcPr>
            <w:tcW w:w="283"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83"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39"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43.888.388,89</w:t>
            </w:r>
          </w:p>
        </w:tc>
        <w:tc>
          <w:tcPr>
            <w:tcW w:w="839"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35.659.612,97</w:t>
            </w:r>
          </w:p>
        </w:tc>
      </w:tr>
    </w:tbl>
    <w:p w:rsidR="00A563E0" w:rsidRDefault="00A563E0" w:rsidP="00D8691B">
      <w:pPr>
        <w:tabs>
          <w:tab w:val="right" w:pos="8364"/>
        </w:tabs>
        <w:ind w:right="2977"/>
        <w:jc w:val="both"/>
        <w:rPr>
          <w:sz w:val="24"/>
        </w:rPr>
      </w:pPr>
    </w:p>
    <w:p w:rsidR="00A563E0" w:rsidRDefault="00A563E0" w:rsidP="00D8691B">
      <w:pPr>
        <w:tabs>
          <w:tab w:val="right" w:pos="8364"/>
        </w:tabs>
        <w:ind w:right="2977"/>
        <w:jc w:val="both"/>
        <w:rPr>
          <w:sz w:val="24"/>
        </w:rPr>
      </w:pPr>
    </w:p>
    <w:p w:rsidR="005B3620" w:rsidRPr="006265E2" w:rsidRDefault="00192EA6" w:rsidP="002019D4">
      <w:pPr>
        <w:tabs>
          <w:tab w:val="right" w:pos="8364"/>
        </w:tabs>
        <w:ind w:left="567"/>
        <w:jc w:val="both"/>
        <w:rPr>
          <w:rFonts w:ascii="NewBaskerville" w:hAnsi="NewBaskerville"/>
          <w:bCs/>
        </w:rPr>
      </w:pPr>
      <w:r w:rsidRPr="006265E2">
        <w:rPr>
          <w:rFonts w:ascii="NewBaskerville" w:hAnsi="NewBaskerville"/>
          <w:bCs/>
        </w:rPr>
        <w:t xml:space="preserve">b.2) </w:t>
      </w:r>
      <w:r w:rsidR="002C4355" w:rsidRPr="006265E2">
        <w:rPr>
          <w:rFonts w:ascii="NewBaskerville" w:hAnsi="NewBaskerville"/>
          <w:bCs/>
        </w:rPr>
        <w:t>Ingresos accesorios y otros de gestión corriente</w:t>
      </w:r>
      <w:r w:rsidR="007148D9">
        <w:rPr>
          <w:rFonts w:ascii="NewBaskerville" w:hAnsi="NewBaskerville"/>
          <w:bCs/>
        </w:rPr>
        <w:t>:</w:t>
      </w:r>
    </w:p>
    <w:p w:rsidR="00300BDF" w:rsidRDefault="00300BDF" w:rsidP="002019D4">
      <w:pPr>
        <w:tabs>
          <w:tab w:val="right" w:pos="8364"/>
        </w:tabs>
        <w:ind w:left="567"/>
        <w:jc w:val="both"/>
        <w:rPr>
          <w:bCs/>
        </w:rPr>
      </w:pPr>
    </w:p>
    <w:tbl>
      <w:tblPr>
        <w:tblW w:w="5000" w:type="pct"/>
        <w:tblCellMar>
          <w:left w:w="70" w:type="dxa"/>
          <w:right w:w="70" w:type="dxa"/>
        </w:tblCellMar>
        <w:tblLook w:val="04A0" w:firstRow="1" w:lastRow="0" w:firstColumn="1" w:lastColumn="0" w:noHBand="0" w:noVBand="1"/>
      </w:tblPr>
      <w:tblGrid>
        <w:gridCol w:w="4717"/>
        <w:gridCol w:w="328"/>
        <w:gridCol w:w="328"/>
        <w:gridCol w:w="367"/>
        <w:gridCol w:w="1452"/>
        <w:gridCol w:w="1452"/>
      </w:tblGrid>
      <w:tr w:rsidR="006F550B" w:rsidRPr="006F550B" w:rsidTr="006F550B">
        <w:trPr>
          <w:trHeight w:val="300"/>
        </w:trPr>
        <w:tc>
          <w:tcPr>
            <w:tcW w:w="3319"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Concepto</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2023</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6F550B" w:rsidRPr="006F550B" w:rsidRDefault="006F550B" w:rsidP="006F550B">
            <w:pPr>
              <w:jc w:val="cente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2022</w:t>
            </w:r>
          </w:p>
        </w:tc>
      </w:tr>
      <w:tr w:rsidR="006F550B" w:rsidRPr="006F550B" w:rsidTr="006F550B">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Ingresos por tráficos mínimos</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0,00</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1.645,25</w:t>
            </w:r>
          </w:p>
        </w:tc>
      </w:tr>
      <w:tr w:rsidR="006F550B" w:rsidRPr="006F550B" w:rsidTr="006F550B">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Ingresos por arrendamientos</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301.569,85</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406.346,11</w:t>
            </w:r>
          </w:p>
        </w:tc>
      </w:tr>
      <w:tr w:rsidR="006F550B" w:rsidRPr="006F550B" w:rsidTr="006F550B">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Ingresos por servicios al personal</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391.515,51</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381.855,06</w:t>
            </w:r>
          </w:p>
        </w:tc>
      </w:tr>
      <w:tr w:rsidR="006F550B" w:rsidRPr="006F550B" w:rsidTr="006F550B">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Ingresos por ventas de publicaciones</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19.311,85</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20.657,73</w:t>
            </w:r>
          </w:p>
        </w:tc>
      </w:tr>
      <w:tr w:rsidR="006F550B" w:rsidRPr="006F550B" w:rsidTr="006F550B">
        <w:trPr>
          <w:trHeight w:val="300"/>
        </w:trPr>
        <w:tc>
          <w:tcPr>
            <w:tcW w:w="3107" w:type="pct"/>
            <w:gridSpan w:val="3"/>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Servicios de vigilancia, inspección y dirección de obra</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r>
      <w:tr w:rsidR="006F550B" w:rsidRPr="006F550B" w:rsidTr="006F550B">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Ingresos por multas y sanciones</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522.437,91</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406.956,62</w:t>
            </w:r>
          </w:p>
        </w:tc>
      </w:tr>
      <w:tr w:rsidR="006F550B" w:rsidRPr="006F550B" w:rsidTr="006F550B">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Ingresos por indemnizaciones</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r>
      <w:tr w:rsidR="006F550B" w:rsidRPr="006F550B" w:rsidTr="006F550B">
        <w:trPr>
          <w:trHeight w:val="300"/>
        </w:trPr>
        <w:tc>
          <w:tcPr>
            <w:tcW w:w="3107" w:type="pct"/>
            <w:gridSpan w:val="3"/>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Daños a instalaciones,  costas judiciales</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30.364,07</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503.073,07</w:t>
            </w:r>
          </w:p>
        </w:tc>
      </w:tr>
      <w:tr w:rsidR="006F550B" w:rsidRPr="006F550B" w:rsidTr="006F550B">
        <w:trPr>
          <w:trHeight w:val="300"/>
        </w:trPr>
        <w:tc>
          <w:tcPr>
            <w:tcW w:w="2728" w:type="pct"/>
            <w:tcBorders>
              <w:top w:val="nil"/>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Recargos</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67.548,29</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89.769,24</w:t>
            </w:r>
          </w:p>
        </w:tc>
      </w:tr>
      <w:tr w:rsidR="006F550B" w:rsidRPr="006F550B" w:rsidTr="006F550B">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Rehabilitación de fallidos</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252,41</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4.408,81</w:t>
            </w:r>
          </w:p>
        </w:tc>
      </w:tr>
      <w:tr w:rsidR="006F550B" w:rsidRPr="006F550B" w:rsidTr="006F550B">
        <w:trPr>
          <w:trHeight w:val="300"/>
        </w:trPr>
        <w:tc>
          <w:tcPr>
            <w:tcW w:w="2917" w:type="pct"/>
            <w:gridSpan w:val="2"/>
            <w:tcBorders>
              <w:top w:val="single" w:sz="4" w:space="0" w:color="auto"/>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Otros ingresos de gestión:</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2.729.924,07</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EB035D">
            <w:pPr>
              <w:jc w:val="right"/>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7.56</w:t>
            </w:r>
            <w:r w:rsidR="00EB035D">
              <w:rPr>
                <w:rFonts w:ascii="Lucida Bright" w:hAnsi="Lucida Bright" w:cs="Calibri"/>
                <w:color w:val="000000"/>
                <w:sz w:val="14"/>
                <w:szCs w:val="14"/>
                <w:lang w:val="es-ES"/>
              </w:rPr>
              <w:t>9</w:t>
            </w:r>
            <w:r w:rsidRPr="006F550B">
              <w:rPr>
                <w:rFonts w:ascii="Lucida Bright" w:hAnsi="Lucida Bright" w:cs="Calibri"/>
                <w:color w:val="000000"/>
                <w:sz w:val="14"/>
                <w:szCs w:val="14"/>
                <w:lang w:val="es-ES"/>
              </w:rPr>
              <w:t>.</w:t>
            </w:r>
            <w:r w:rsidR="00EB035D">
              <w:rPr>
                <w:rFonts w:ascii="Lucida Bright" w:hAnsi="Lucida Bright" w:cs="Calibri"/>
                <w:color w:val="000000"/>
                <w:sz w:val="14"/>
                <w:szCs w:val="14"/>
                <w:lang w:val="es-ES"/>
              </w:rPr>
              <w:t>791</w:t>
            </w:r>
            <w:r w:rsidRPr="006F550B">
              <w:rPr>
                <w:rFonts w:ascii="Lucida Bright" w:hAnsi="Lucida Bright" w:cs="Calibri"/>
                <w:color w:val="000000"/>
                <w:sz w:val="14"/>
                <w:szCs w:val="14"/>
                <w:lang w:val="es-ES"/>
              </w:rPr>
              <w:t>,</w:t>
            </w:r>
            <w:r w:rsidR="00EB035D">
              <w:rPr>
                <w:rFonts w:ascii="Lucida Bright" w:hAnsi="Lucida Bright" w:cs="Calibri"/>
                <w:color w:val="000000"/>
                <w:sz w:val="14"/>
                <w:szCs w:val="14"/>
                <w:lang w:val="es-ES"/>
              </w:rPr>
              <w:t>62</w:t>
            </w:r>
          </w:p>
        </w:tc>
      </w:tr>
      <w:tr w:rsidR="006F550B" w:rsidRPr="006F550B" w:rsidTr="006F550B">
        <w:trPr>
          <w:trHeight w:val="42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550B" w:rsidRPr="006F550B" w:rsidRDefault="006F550B" w:rsidP="006F550B">
            <w:pPr>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 xml:space="preserve">      a) Contraprestación por ocupación del dominio público portuario sin título habilitante, reclamación por enriquecimiento injusto</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835.711,30</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3.608.841,62</w:t>
            </w:r>
          </w:p>
        </w:tc>
      </w:tr>
      <w:tr w:rsidR="006F550B" w:rsidRPr="006F550B" w:rsidTr="006F550B">
        <w:trPr>
          <w:trHeight w:val="42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550B" w:rsidRPr="006F550B" w:rsidRDefault="006F550B" w:rsidP="006F550B">
            <w:pPr>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 xml:space="preserve">      b) Contraprestación por actividad del dominio público portuario sin título habilitante, reclamación por enriquecimiento injusto</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444.589,09</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1.039.775,90</w:t>
            </w:r>
          </w:p>
        </w:tc>
      </w:tr>
      <w:tr w:rsidR="006F550B" w:rsidRPr="006F550B" w:rsidTr="006F550B">
        <w:trPr>
          <w:trHeight w:val="42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550B" w:rsidRPr="006F550B" w:rsidRDefault="006F550B" w:rsidP="006F550B">
            <w:pPr>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 xml:space="preserve">     c) Otras contraprestaciones</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1.445.156,84</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2.896.878,96</w:t>
            </w:r>
          </w:p>
        </w:tc>
      </w:tr>
      <w:tr w:rsidR="006F550B" w:rsidRPr="006F550B" w:rsidTr="006F550B">
        <w:trPr>
          <w:trHeight w:val="390"/>
        </w:trPr>
        <w:tc>
          <w:tcPr>
            <w:tcW w:w="331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550B" w:rsidRPr="006F550B" w:rsidRDefault="006F550B" w:rsidP="006F550B">
            <w:pPr>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 xml:space="preserve">     d) Otros ingresos de gestión</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4.466,84</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EB035D">
            <w:pPr>
              <w:jc w:val="right"/>
              <w:rPr>
                <w:rFonts w:ascii="Lucida Bright" w:hAnsi="Lucida Bright" w:cs="Calibri"/>
                <w:i/>
                <w:iCs/>
                <w:color w:val="000000"/>
                <w:sz w:val="14"/>
                <w:szCs w:val="14"/>
                <w:lang w:val="es-ES"/>
              </w:rPr>
            </w:pPr>
            <w:r w:rsidRPr="006F550B">
              <w:rPr>
                <w:rFonts w:ascii="Lucida Bright" w:hAnsi="Lucida Bright" w:cs="Calibri"/>
                <w:i/>
                <w:iCs/>
                <w:color w:val="000000"/>
                <w:sz w:val="14"/>
                <w:szCs w:val="14"/>
                <w:lang w:val="es-ES"/>
              </w:rPr>
              <w:t>2</w:t>
            </w:r>
            <w:r w:rsidR="00EB035D">
              <w:rPr>
                <w:rFonts w:ascii="Lucida Bright" w:hAnsi="Lucida Bright" w:cs="Calibri"/>
                <w:i/>
                <w:iCs/>
                <w:color w:val="000000"/>
                <w:sz w:val="14"/>
                <w:szCs w:val="14"/>
                <w:lang w:val="es-ES"/>
              </w:rPr>
              <w:t>4</w:t>
            </w:r>
            <w:r w:rsidRPr="006F550B">
              <w:rPr>
                <w:rFonts w:ascii="Lucida Bright" w:hAnsi="Lucida Bright" w:cs="Calibri"/>
                <w:i/>
                <w:iCs/>
                <w:color w:val="000000"/>
                <w:sz w:val="14"/>
                <w:szCs w:val="14"/>
                <w:lang w:val="es-ES"/>
              </w:rPr>
              <w:t>.</w:t>
            </w:r>
            <w:r w:rsidR="00EB035D">
              <w:rPr>
                <w:rFonts w:ascii="Lucida Bright" w:hAnsi="Lucida Bright" w:cs="Calibri"/>
                <w:i/>
                <w:iCs/>
                <w:color w:val="000000"/>
                <w:sz w:val="14"/>
                <w:szCs w:val="14"/>
                <w:lang w:val="es-ES"/>
              </w:rPr>
              <w:t>295</w:t>
            </w:r>
            <w:r w:rsidRPr="006F550B">
              <w:rPr>
                <w:rFonts w:ascii="Lucida Bright" w:hAnsi="Lucida Bright" w:cs="Calibri"/>
                <w:i/>
                <w:iCs/>
                <w:color w:val="000000"/>
                <w:sz w:val="14"/>
                <w:szCs w:val="14"/>
                <w:lang w:val="es-ES"/>
              </w:rPr>
              <w:t>,</w:t>
            </w:r>
            <w:r w:rsidR="00EB035D">
              <w:rPr>
                <w:rFonts w:ascii="Lucida Bright" w:hAnsi="Lucida Bright" w:cs="Calibri"/>
                <w:i/>
                <w:iCs/>
                <w:color w:val="000000"/>
                <w:sz w:val="14"/>
                <w:szCs w:val="14"/>
                <w:lang w:val="es-ES"/>
              </w:rPr>
              <w:t>14</w:t>
            </w:r>
          </w:p>
        </w:tc>
      </w:tr>
      <w:tr w:rsidR="006F550B" w:rsidRPr="006F550B" w:rsidTr="006F550B">
        <w:trPr>
          <w:trHeight w:val="300"/>
        </w:trPr>
        <w:tc>
          <w:tcPr>
            <w:tcW w:w="2728" w:type="pct"/>
            <w:tcBorders>
              <w:top w:val="nil"/>
              <w:left w:val="single" w:sz="4" w:space="0" w:color="auto"/>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Total</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190" w:type="pct"/>
            <w:tcBorders>
              <w:top w:val="nil"/>
              <w:left w:val="nil"/>
              <w:bottom w:val="single" w:sz="4" w:space="0" w:color="auto"/>
              <w:right w:val="nil"/>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212"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6F550B">
            <w:pPr>
              <w:rPr>
                <w:rFonts w:ascii="Lucida Bright" w:hAnsi="Lucida Bright" w:cs="Calibri"/>
                <w:color w:val="000000"/>
                <w:sz w:val="14"/>
                <w:szCs w:val="14"/>
                <w:lang w:val="es-ES"/>
              </w:rPr>
            </w:pPr>
            <w:r w:rsidRPr="006F550B">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6F550B" w:rsidRPr="006F550B" w:rsidRDefault="006F550B" w:rsidP="006F550B">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4.062.923,96</w:t>
            </w:r>
          </w:p>
        </w:tc>
        <w:tc>
          <w:tcPr>
            <w:tcW w:w="840" w:type="pct"/>
            <w:tcBorders>
              <w:top w:val="nil"/>
              <w:left w:val="nil"/>
              <w:bottom w:val="single" w:sz="4" w:space="0" w:color="auto"/>
              <w:right w:val="single" w:sz="4" w:space="0" w:color="auto"/>
            </w:tcBorders>
            <w:shd w:val="clear" w:color="auto" w:fill="auto"/>
            <w:noWrap/>
            <w:vAlign w:val="bottom"/>
            <w:hideMark/>
          </w:tcPr>
          <w:p w:rsidR="006F550B" w:rsidRPr="006F550B" w:rsidRDefault="006F550B" w:rsidP="00EB035D">
            <w:pPr>
              <w:jc w:val="right"/>
              <w:rPr>
                <w:rFonts w:ascii="Lucida Bright" w:hAnsi="Lucida Bright" w:cs="Calibri"/>
                <w:b/>
                <w:bCs/>
                <w:color w:val="000000"/>
                <w:sz w:val="14"/>
                <w:szCs w:val="14"/>
                <w:lang w:val="es-ES"/>
              </w:rPr>
            </w:pPr>
            <w:r w:rsidRPr="006F550B">
              <w:rPr>
                <w:rFonts w:ascii="Lucida Bright" w:hAnsi="Lucida Bright" w:cs="Calibri"/>
                <w:b/>
                <w:bCs/>
                <w:color w:val="000000"/>
                <w:sz w:val="14"/>
                <w:szCs w:val="14"/>
                <w:lang w:val="es-ES"/>
              </w:rPr>
              <w:t>9.38</w:t>
            </w:r>
            <w:r w:rsidR="00EB035D">
              <w:rPr>
                <w:rFonts w:ascii="Lucida Bright" w:hAnsi="Lucida Bright" w:cs="Calibri"/>
                <w:b/>
                <w:bCs/>
                <w:color w:val="000000"/>
                <w:sz w:val="14"/>
                <w:szCs w:val="14"/>
                <w:lang w:val="es-ES"/>
              </w:rPr>
              <w:t>4</w:t>
            </w:r>
            <w:r w:rsidRPr="006F550B">
              <w:rPr>
                <w:rFonts w:ascii="Lucida Bright" w:hAnsi="Lucida Bright" w:cs="Calibri"/>
                <w:b/>
                <w:bCs/>
                <w:color w:val="000000"/>
                <w:sz w:val="14"/>
                <w:szCs w:val="14"/>
                <w:lang w:val="es-ES"/>
              </w:rPr>
              <w:t>.</w:t>
            </w:r>
            <w:r w:rsidR="00EB035D">
              <w:rPr>
                <w:rFonts w:ascii="Lucida Bright" w:hAnsi="Lucida Bright" w:cs="Calibri"/>
                <w:b/>
                <w:bCs/>
                <w:color w:val="000000"/>
                <w:sz w:val="14"/>
                <w:szCs w:val="14"/>
                <w:lang w:val="es-ES"/>
              </w:rPr>
              <w:t>503</w:t>
            </w:r>
            <w:r w:rsidRPr="006F550B">
              <w:rPr>
                <w:rFonts w:ascii="Lucida Bright" w:hAnsi="Lucida Bright" w:cs="Calibri"/>
                <w:b/>
                <w:bCs/>
                <w:color w:val="000000"/>
                <w:sz w:val="14"/>
                <w:szCs w:val="14"/>
                <w:lang w:val="es-ES"/>
              </w:rPr>
              <w:t>,</w:t>
            </w:r>
            <w:r w:rsidR="00EB035D">
              <w:rPr>
                <w:rFonts w:ascii="Lucida Bright" w:hAnsi="Lucida Bright" w:cs="Calibri"/>
                <w:b/>
                <w:bCs/>
                <w:color w:val="000000"/>
                <w:sz w:val="14"/>
                <w:szCs w:val="14"/>
                <w:lang w:val="es-ES"/>
              </w:rPr>
              <w:t>51</w:t>
            </w:r>
          </w:p>
        </w:tc>
      </w:tr>
    </w:tbl>
    <w:p w:rsidR="00300BDF" w:rsidRDefault="00300BDF" w:rsidP="002019D4">
      <w:pPr>
        <w:tabs>
          <w:tab w:val="right" w:pos="8364"/>
        </w:tabs>
        <w:ind w:left="567"/>
        <w:jc w:val="both"/>
        <w:rPr>
          <w:bCs/>
        </w:rPr>
      </w:pPr>
    </w:p>
    <w:p w:rsidR="00AD6BAC" w:rsidRDefault="00AD6BAC" w:rsidP="002019D4">
      <w:pPr>
        <w:tabs>
          <w:tab w:val="right" w:pos="8364"/>
        </w:tabs>
        <w:ind w:left="567"/>
        <w:jc w:val="both"/>
        <w:rPr>
          <w:bCs/>
        </w:rPr>
      </w:pPr>
    </w:p>
    <w:p w:rsidR="006B4182" w:rsidRPr="00AD6BAC" w:rsidRDefault="00192EA6" w:rsidP="002019D4">
      <w:pPr>
        <w:tabs>
          <w:tab w:val="right" w:pos="8364"/>
        </w:tabs>
        <w:ind w:left="567"/>
        <w:jc w:val="both"/>
        <w:rPr>
          <w:rFonts w:ascii="NewBaskerville" w:hAnsi="NewBaskerville"/>
          <w:bCs/>
        </w:rPr>
      </w:pPr>
      <w:r w:rsidRPr="00AD6BAC">
        <w:rPr>
          <w:rFonts w:ascii="NewBaskerville" w:hAnsi="NewBaskerville"/>
          <w:bCs/>
        </w:rPr>
        <w:t xml:space="preserve">b.3) </w:t>
      </w:r>
      <w:r w:rsidR="003F0772" w:rsidRPr="00AD6BAC">
        <w:rPr>
          <w:rFonts w:ascii="NewBaskerville" w:hAnsi="NewBaskerville"/>
          <w:bCs/>
        </w:rPr>
        <w:t>Subvenciones de explotación</w:t>
      </w:r>
    </w:p>
    <w:p w:rsidR="003F0772" w:rsidRPr="00846803" w:rsidRDefault="003F0772" w:rsidP="006B4182">
      <w:pPr>
        <w:tabs>
          <w:tab w:val="right" w:pos="8364"/>
        </w:tabs>
        <w:ind w:left="360"/>
        <w:jc w:val="both"/>
        <w:rPr>
          <w:bCs/>
        </w:rPr>
      </w:pPr>
      <w:r w:rsidRPr="00846803">
        <w:rPr>
          <w:bCs/>
        </w:rPr>
        <w:t xml:space="preserve"> </w:t>
      </w:r>
    </w:p>
    <w:p w:rsidR="00781D42" w:rsidRDefault="00AE1189" w:rsidP="00781D42">
      <w:pPr>
        <w:tabs>
          <w:tab w:val="right" w:pos="8364"/>
        </w:tabs>
        <w:ind w:firstLine="567"/>
        <w:jc w:val="both"/>
        <w:rPr>
          <w:rFonts w:ascii="NewBaskerville" w:hAnsi="NewBaskerville"/>
          <w:bCs/>
        </w:rPr>
      </w:pPr>
      <w:r>
        <w:rPr>
          <w:rFonts w:ascii="NewBaskerville" w:hAnsi="NewBaskerville"/>
          <w:bCs/>
        </w:rPr>
        <w:t>La APB como destinataria</w:t>
      </w:r>
      <w:r w:rsidR="007148D9">
        <w:rPr>
          <w:rFonts w:ascii="NewBaskerville" w:hAnsi="NewBaskerville"/>
          <w:bCs/>
        </w:rPr>
        <w:t xml:space="preserve"> del reparto del Fondo de Solidaridad de la Unión Europea por el gasto para mitigar los efectos provocados por la pandemia de COVID-19, </w:t>
      </w:r>
      <w:r w:rsidR="003E4A98">
        <w:rPr>
          <w:rFonts w:ascii="NewBaskerville" w:hAnsi="NewBaskerville"/>
          <w:bCs/>
        </w:rPr>
        <w:t xml:space="preserve">cuyo beneficiario fue el </w:t>
      </w:r>
      <w:r w:rsidR="00DD448C">
        <w:rPr>
          <w:rFonts w:ascii="NewBaskerville" w:hAnsi="NewBaskerville"/>
          <w:bCs/>
        </w:rPr>
        <w:t>Organismo</w:t>
      </w:r>
      <w:r w:rsidR="003E4A98">
        <w:rPr>
          <w:rFonts w:ascii="NewBaskerville" w:hAnsi="NewBaskerville"/>
          <w:bCs/>
        </w:rPr>
        <w:t xml:space="preserve"> Público de Puertos del Estado, ha percibido la cantidad de 137.191,05 euros. </w:t>
      </w:r>
      <w:r w:rsidR="007148D9">
        <w:rPr>
          <w:rFonts w:ascii="NewBaskerville" w:hAnsi="NewBaskerville"/>
          <w:bCs/>
        </w:rPr>
        <w:t xml:space="preserve"> </w:t>
      </w:r>
    </w:p>
    <w:p w:rsidR="00904CFE" w:rsidRDefault="00904CFE" w:rsidP="00CB0A46">
      <w:pPr>
        <w:tabs>
          <w:tab w:val="right" w:pos="8364"/>
        </w:tabs>
        <w:ind w:firstLine="567"/>
        <w:jc w:val="both"/>
        <w:rPr>
          <w:rFonts w:ascii="NewBaskerville" w:hAnsi="NewBaskerville"/>
          <w:bCs/>
        </w:rPr>
      </w:pPr>
      <w:r>
        <w:rPr>
          <w:rFonts w:ascii="NewBaskerville" w:hAnsi="NewBaskerville"/>
          <w:bCs/>
        </w:rPr>
        <w:t xml:space="preserve">La cantidad se corresponde a la adquisición a Puertos del Estado de mascarillas anti COVID, en el marco de las órdenes ministeriales TMA/2063/2020 y TMA/292/2020, quedando excluidas aquellas por las que la APB recibió algún pago por </w:t>
      </w:r>
      <w:proofErr w:type="spellStart"/>
      <w:r>
        <w:rPr>
          <w:rFonts w:ascii="NewBaskerville" w:hAnsi="NewBaskerville"/>
          <w:bCs/>
        </w:rPr>
        <w:t>refacturación</w:t>
      </w:r>
      <w:proofErr w:type="spellEnd"/>
      <w:r>
        <w:rPr>
          <w:rFonts w:ascii="NewBaskerville" w:hAnsi="NewBaskerville"/>
          <w:bCs/>
        </w:rPr>
        <w:t xml:space="preserve"> correspondiente a esta operación.</w:t>
      </w:r>
    </w:p>
    <w:p w:rsidR="003D5B03" w:rsidRDefault="00AE1189" w:rsidP="00CB0A46">
      <w:pPr>
        <w:tabs>
          <w:tab w:val="right" w:pos="8364"/>
        </w:tabs>
        <w:ind w:firstLine="567"/>
        <w:jc w:val="both"/>
        <w:rPr>
          <w:b/>
          <w:bCs/>
        </w:rPr>
      </w:pPr>
      <w:r>
        <w:rPr>
          <w:rFonts w:ascii="NewBaskerville" w:hAnsi="NewBaskerville"/>
          <w:bCs/>
        </w:rPr>
        <w:lastRenderedPageBreak/>
        <w:t>La cantidad</w:t>
      </w:r>
      <w:r w:rsidR="00904CFE">
        <w:rPr>
          <w:rFonts w:ascii="NewBaskerville" w:hAnsi="NewBaskerville"/>
          <w:bCs/>
        </w:rPr>
        <w:t xml:space="preserve"> percibida</w:t>
      </w:r>
      <w:r w:rsidR="00781D42">
        <w:rPr>
          <w:rFonts w:ascii="NewBaskerville" w:hAnsi="NewBaskerville"/>
          <w:bCs/>
        </w:rPr>
        <w:t xml:space="preserve"> </w:t>
      </w:r>
      <w:r w:rsidR="001552D3">
        <w:rPr>
          <w:rFonts w:ascii="NewBaskerville" w:hAnsi="NewBaskerville"/>
          <w:bCs/>
        </w:rPr>
        <w:t xml:space="preserve">se </w:t>
      </w:r>
      <w:r w:rsidR="00904CFE">
        <w:rPr>
          <w:rFonts w:ascii="NewBaskerville" w:hAnsi="NewBaskerville"/>
          <w:bCs/>
        </w:rPr>
        <w:t xml:space="preserve">ha </w:t>
      </w:r>
      <w:r w:rsidR="001552D3">
        <w:rPr>
          <w:rFonts w:ascii="NewBaskerville" w:hAnsi="NewBaskerville"/>
          <w:bCs/>
        </w:rPr>
        <w:t>clasifica</w:t>
      </w:r>
      <w:r w:rsidR="00904CFE">
        <w:rPr>
          <w:rFonts w:ascii="NewBaskerville" w:hAnsi="NewBaskerville"/>
          <w:bCs/>
        </w:rPr>
        <w:t>do</w:t>
      </w:r>
      <w:r w:rsidR="001552D3">
        <w:rPr>
          <w:rFonts w:ascii="NewBaskerville" w:hAnsi="NewBaskerville"/>
          <w:bCs/>
        </w:rPr>
        <w:t xml:space="preserve"> como</w:t>
      </w:r>
      <w:r w:rsidR="00904CFE">
        <w:rPr>
          <w:rFonts w:ascii="NewBaskerville" w:hAnsi="NewBaskerville"/>
          <w:bCs/>
        </w:rPr>
        <w:t xml:space="preserve"> subvención a la explotación </w:t>
      </w:r>
      <w:r w:rsidR="00CB0A46">
        <w:rPr>
          <w:rFonts w:ascii="NewBaskerville" w:hAnsi="NewBaskerville"/>
          <w:bCs/>
        </w:rPr>
        <w:t>y</w:t>
      </w:r>
      <w:r w:rsidR="00904CFE">
        <w:rPr>
          <w:rFonts w:ascii="NewBaskerville" w:hAnsi="NewBaskerville"/>
          <w:bCs/>
        </w:rPr>
        <w:t xml:space="preserve"> se ha registrado</w:t>
      </w:r>
      <w:r w:rsidR="00CB0A46">
        <w:rPr>
          <w:rFonts w:ascii="NewBaskerville" w:hAnsi="NewBaskerville"/>
          <w:bCs/>
        </w:rPr>
        <w:t xml:space="preserve"> en el epígrafe </w:t>
      </w:r>
      <w:r w:rsidR="00CB0A46">
        <w:rPr>
          <w:rFonts w:ascii="NewBaskerville" w:hAnsi="NewBaskerville"/>
          <w:b/>
          <w:bCs/>
        </w:rPr>
        <w:t>5.b) Subvenciones de explotación incorporadas al resultado del ejercicio.</w:t>
      </w:r>
      <w:r w:rsidR="00CB0A46">
        <w:rPr>
          <w:rFonts w:ascii="NewBaskerville" w:hAnsi="NewBaskerville"/>
          <w:bCs/>
        </w:rPr>
        <w:t xml:space="preserve"> En el ejercicio 202</w:t>
      </w:r>
      <w:r w:rsidR="007148D9">
        <w:rPr>
          <w:rFonts w:ascii="NewBaskerville" w:hAnsi="NewBaskerville"/>
          <w:bCs/>
        </w:rPr>
        <w:t xml:space="preserve">2 </w:t>
      </w:r>
      <w:r w:rsidR="00CB0A46">
        <w:rPr>
          <w:rFonts w:ascii="NewBaskerville" w:hAnsi="NewBaskerville"/>
          <w:bCs/>
        </w:rPr>
        <w:t>se recibieron subvenciones a la explotación</w:t>
      </w:r>
      <w:r w:rsidR="007148D9">
        <w:rPr>
          <w:rFonts w:ascii="NewBaskerville" w:hAnsi="NewBaskerville"/>
          <w:bCs/>
        </w:rPr>
        <w:t xml:space="preserve"> por valor de 2.109.285,97 euros</w:t>
      </w:r>
      <w:r w:rsidR="00CB0A46">
        <w:rPr>
          <w:rFonts w:ascii="NewBaskerville" w:hAnsi="NewBaskerville"/>
          <w:bCs/>
        </w:rPr>
        <w:t>.</w:t>
      </w:r>
    </w:p>
    <w:p w:rsidR="003D5B03" w:rsidRPr="003D5B03" w:rsidRDefault="003D5B03">
      <w:pPr>
        <w:tabs>
          <w:tab w:val="right" w:pos="8364"/>
        </w:tabs>
        <w:ind w:left="851" w:hanging="851"/>
        <w:jc w:val="both"/>
        <w:rPr>
          <w:bCs/>
        </w:rPr>
      </w:pPr>
    </w:p>
    <w:p w:rsidR="003D5B03" w:rsidRPr="00CB0A46" w:rsidRDefault="003D5B03">
      <w:pPr>
        <w:tabs>
          <w:tab w:val="right" w:pos="8364"/>
        </w:tabs>
        <w:ind w:left="851" w:hanging="851"/>
        <w:jc w:val="both"/>
        <w:rPr>
          <w:rFonts w:ascii="NewBaskerville" w:hAnsi="NewBaskerville"/>
          <w:b/>
          <w:bCs/>
        </w:rPr>
      </w:pPr>
    </w:p>
    <w:p w:rsidR="00087381" w:rsidRDefault="00A861CC" w:rsidP="002019D4">
      <w:pPr>
        <w:tabs>
          <w:tab w:val="right" w:pos="8364"/>
        </w:tabs>
        <w:ind w:left="567"/>
        <w:jc w:val="both"/>
        <w:rPr>
          <w:rFonts w:ascii="NewBaskerville" w:hAnsi="NewBaskerville"/>
          <w:bCs/>
        </w:rPr>
      </w:pPr>
      <w:r>
        <w:rPr>
          <w:rFonts w:ascii="NewBaskerville" w:hAnsi="NewBaskerville"/>
          <w:bCs/>
        </w:rPr>
        <w:t>b.4</w:t>
      </w:r>
      <w:r w:rsidR="00192EA6" w:rsidRPr="00CB0A46">
        <w:rPr>
          <w:rFonts w:ascii="NewBaskerville" w:hAnsi="NewBaskerville"/>
          <w:bCs/>
        </w:rPr>
        <w:t>)</w:t>
      </w:r>
      <w:r w:rsidR="00730D95" w:rsidRPr="00CB0A46">
        <w:rPr>
          <w:rFonts w:ascii="NewBaskerville" w:hAnsi="NewBaskerville"/>
          <w:bCs/>
        </w:rPr>
        <w:t xml:space="preserve"> </w:t>
      </w:r>
      <w:r w:rsidR="00087381" w:rsidRPr="00CB0A46">
        <w:rPr>
          <w:rFonts w:ascii="NewBaskerville" w:hAnsi="NewBaskerville"/>
          <w:bCs/>
        </w:rPr>
        <w:t>Ingresos financieros</w:t>
      </w:r>
    </w:p>
    <w:p w:rsidR="00A05591" w:rsidRPr="00CB0A46" w:rsidRDefault="00A05591" w:rsidP="002019D4">
      <w:pPr>
        <w:tabs>
          <w:tab w:val="right" w:pos="8364"/>
        </w:tabs>
        <w:ind w:left="567"/>
        <w:jc w:val="both"/>
        <w:rPr>
          <w:rFonts w:ascii="NewBaskerville" w:hAnsi="NewBaskerville"/>
          <w:bCs/>
        </w:rPr>
      </w:pPr>
    </w:p>
    <w:tbl>
      <w:tblPr>
        <w:tblW w:w="5000" w:type="pct"/>
        <w:tblCellMar>
          <w:left w:w="70" w:type="dxa"/>
          <w:right w:w="70" w:type="dxa"/>
        </w:tblCellMar>
        <w:tblLook w:val="04A0" w:firstRow="1" w:lastRow="0" w:firstColumn="1" w:lastColumn="0" w:noHBand="0" w:noVBand="1"/>
      </w:tblPr>
      <w:tblGrid>
        <w:gridCol w:w="4216"/>
        <w:gridCol w:w="489"/>
        <w:gridCol w:w="489"/>
        <w:gridCol w:w="546"/>
        <w:gridCol w:w="1452"/>
        <w:gridCol w:w="1452"/>
      </w:tblGrid>
      <w:tr w:rsidR="00A05591" w:rsidRPr="00A05591" w:rsidTr="00A05591">
        <w:trPr>
          <w:trHeight w:val="300"/>
        </w:trPr>
        <w:tc>
          <w:tcPr>
            <w:tcW w:w="3319"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A05591" w:rsidRPr="00A05591" w:rsidRDefault="00A05591" w:rsidP="00A05591">
            <w:pPr>
              <w:jc w:val="center"/>
              <w:rPr>
                <w:rFonts w:ascii="Lucida Bright" w:hAnsi="Lucida Bright" w:cs="Calibri"/>
                <w:b/>
                <w:bCs/>
                <w:color w:val="000000"/>
                <w:sz w:val="14"/>
                <w:szCs w:val="14"/>
                <w:lang w:val="es-ES"/>
              </w:rPr>
            </w:pPr>
            <w:r w:rsidRPr="00A05591">
              <w:rPr>
                <w:rFonts w:ascii="Lucida Bright" w:hAnsi="Lucida Bright" w:cs="Calibri"/>
                <w:b/>
                <w:bCs/>
                <w:color w:val="000000"/>
                <w:sz w:val="14"/>
                <w:szCs w:val="14"/>
                <w:lang w:val="es-ES"/>
              </w:rPr>
              <w:t>Concepto</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A05591" w:rsidRPr="00A05591" w:rsidRDefault="00A05591" w:rsidP="00A05591">
            <w:pPr>
              <w:jc w:val="center"/>
              <w:rPr>
                <w:rFonts w:ascii="Lucida Bright" w:hAnsi="Lucida Bright" w:cs="Calibri"/>
                <w:b/>
                <w:bCs/>
                <w:color w:val="000000"/>
                <w:sz w:val="14"/>
                <w:szCs w:val="14"/>
                <w:lang w:val="es-ES"/>
              </w:rPr>
            </w:pPr>
            <w:r w:rsidRPr="00A05591">
              <w:rPr>
                <w:rFonts w:ascii="Lucida Bright" w:hAnsi="Lucida Bright" w:cs="Calibri"/>
                <w:b/>
                <w:bCs/>
                <w:color w:val="000000"/>
                <w:sz w:val="14"/>
                <w:szCs w:val="14"/>
                <w:lang w:val="es-ES"/>
              </w:rPr>
              <w:t>2023</w:t>
            </w:r>
          </w:p>
        </w:tc>
        <w:tc>
          <w:tcPr>
            <w:tcW w:w="840" w:type="pct"/>
            <w:tcBorders>
              <w:top w:val="single" w:sz="4" w:space="0" w:color="auto"/>
              <w:left w:val="nil"/>
              <w:bottom w:val="single" w:sz="4" w:space="0" w:color="auto"/>
              <w:right w:val="single" w:sz="4" w:space="0" w:color="auto"/>
            </w:tcBorders>
            <w:shd w:val="clear" w:color="000000" w:fill="CCFFCC"/>
            <w:noWrap/>
            <w:vAlign w:val="bottom"/>
            <w:hideMark/>
          </w:tcPr>
          <w:p w:rsidR="00A05591" w:rsidRPr="00A05591" w:rsidRDefault="00A05591" w:rsidP="00A05591">
            <w:pPr>
              <w:jc w:val="center"/>
              <w:rPr>
                <w:rFonts w:ascii="Lucida Bright" w:hAnsi="Lucida Bright" w:cs="Calibri"/>
                <w:b/>
                <w:bCs/>
                <w:color w:val="000000"/>
                <w:sz w:val="14"/>
                <w:szCs w:val="14"/>
                <w:lang w:val="es-ES"/>
              </w:rPr>
            </w:pPr>
            <w:r w:rsidRPr="00A05591">
              <w:rPr>
                <w:rFonts w:ascii="Lucida Bright" w:hAnsi="Lucida Bright" w:cs="Calibri"/>
                <w:b/>
                <w:bCs/>
                <w:color w:val="000000"/>
                <w:sz w:val="14"/>
                <w:szCs w:val="14"/>
                <w:lang w:val="es-ES"/>
              </w:rPr>
              <w:t>2022</w:t>
            </w:r>
          </w:p>
        </w:tc>
      </w:tr>
      <w:tr w:rsidR="00A05591" w:rsidRPr="00A05591" w:rsidTr="00A05591">
        <w:trPr>
          <w:trHeight w:val="300"/>
        </w:trPr>
        <w:tc>
          <w:tcPr>
            <w:tcW w:w="2721" w:type="pct"/>
            <w:gridSpan w:val="2"/>
            <w:tcBorders>
              <w:top w:val="single" w:sz="4" w:space="0" w:color="auto"/>
              <w:left w:val="single" w:sz="4" w:space="0" w:color="auto"/>
              <w:bottom w:val="single" w:sz="4" w:space="0" w:color="auto"/>
              <w:right w:val="nil"/>
            </w:tcBorders>
            <w:shd w:val="clear" w:color="auto" w:fill="auto"/>
            <w:noWrap/>
            <w:vAlign w:val="bottom"/>
            <w:hideMark/>
          </w:tcPr>
          <w:p w:rsidR="00A05591" w:rsidRPr="00A05591" w:rsidRDefault="00A05591" w:rsidP="00A05591">
            <w:pPr>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 xml:space="preserve">Intereses de demora  </w:t>
            </w:r>
          </w:p>
        </w:tc>
        <w:tc>
          <w:tcPr>
            <w:tcW w:w="283" w:type="pct"/>
            <w:tcBorders>
              <w:top w:val="nil"/>
              <w:left w:val="nil"/>
              <w:bottom w:val="single" w:sz="4" w:space="0" w:color="auto"/>
              <w:right w:val="nil"/>
            </w:tcBorders>
            <w:shd w:val="clear" w:color="auto" w:fill="auto"/>
            <w:noWrap/>
            <w:vAlign w:val="bottom"/>
            <w:hideMark/>
          </w:tcPr>
          <w:p w:rsidR="00A05591" w:rsidRPr="00A05591" w:rsidRDefault="00A05591" w:rsidP="00A05591">
            <w:pPr>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A05591" w:rsidRPr="00A05591" w:rsidRDefault="00A05591" w:rsidP="00A05591">
            <w:pPr>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A05591" w:rsidRPr="00A05591" w:rsidRDefault="00A05591" w:rsidP="00A05591">
            <w:pPr>
              <w:jc w:val="right"/>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32.418,01</w:t>
            </w:r>
          </w:p>
        </w:tc>
        <w:tc>
          <w:tcPr>
            <w:tcW w:w="840" w:type="pct"/>
            <w:tcBorders>
              <w:top w:val="nil"/>
              <w:left w:val="nil"/>
              <w:bottom w:val="single" w:sz="4" w:space="0" w:color="auto"/>
              <w:right w:val="single" w:sz="4" w:space="0" w:color="auto"/>
            </w:tcBorders>
            <w:shd w:val="clear" w:color="auto" w:fill="auto"/>
            <w:noWrap/>
            <w:vAlign w:val="bottom"/>
            <w:hideMark/>
          </w:tcPr>
          <w:p w:rsidR="00A05591" w:rsidRPr="00A05591" w:rsidRDefault="00A05591" w:rsidP="00A05591">
            <w:pPr>
              <w:jc w:val="right"/>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193.199,91</w:t>
            </w:r>
          </w:p>
        </w:tc>
      </w:tr>
      <w:tr w:rsidR="00A05591" w:rsidRPr="00A05591" w:rsidTr="00A05591">
        <w:trPr>
          <w:trHeight w:val="300"/>
        </w:trPr>
        <w:tc>
          <w:tcPr>
            <w:tcW w:w="3004" w:type="pct"/>
            <w:gridSpan w:val="3"/>
            <w:tcBorders>
              <w:top w:val="single" w:sz="4" w:space="0" w:color="auto"/>
              <w:left w:val="single" w:sz="4" w:space="0" w:color="auto"/>
              <w:bottom w:val="single" w:sz="4" w:space="0" w:color="auto"/>
              <w:right w:val="nil"/>
            </w:tcBorders>
            <w:shd w:val="clear" w:color="auto" w:fill="auto"/>
            <w:noWrap/>
            <w:vAlign w:val="bottom"/>
            <w:hideMark/>
          </w:tcPr>
          <w:p w:rsidR="00A05591" w:rsidRPr="00A05591" w:rsidRDefault="00A05591" w:rsidP="00A05591">
            <w:pPr>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Intereses de cuentas corrientes e inversiones financieras</w:t>
            </w:r>
          </w:p>
        </w:tc>
        <w:tc>
          <w:tcPr>
            <w:tcW w:w="316" w:type="pct"/>
            <w:tcBorders>
              <w:top w:val="nil"/>
              <w:left w:val="nil"/>
              <w:bottom w:val="single" w:sz="4" w:space="0" w:color="auto"/>
              <w:right w:val="single" w:sz="4" w:space="0" w:color="auto"/>
            </w:tcBorders>
            <w:shd w:val="clear" w:color="auto" w:fill="auto"/>
            <w:noWrap/>
            <w:vAlign w:val="bottom"/>
            <w:hideMark/>
          </w:tcPr>
          <w:p w:rsidR="00A05591" w:rsidRPr="00A05591" w:rsidRDefault="00A05591" w:rsidP="00A05591">
            <w:pPr>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A05591" w:rsidRPr="00A05591" w:rsidRDefault="00A05591" w:rsidP="00A05591">
            <w:pPr>
              <w:jc w:val="right"/>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4.964.370,78</w:t>
            </w:r>
          </w:p>
        </w:tc>
        <w:tc>
          <w:tcPr>
            <w:tcW w:w="840" w:type="pct"/>
            <w:tcBorders>
              <w:top w:val="nil"/>
              <w:left w:val="nil"/>
              <w:bottom w:val="single" w:sz="4" w:space="0" w:color="auto"/>
              <w:right w:val="single" w:sz="4" w:space="0" w:color="auto"/>
            </w:tcBorders>
            <w:shd w:val="clear" w:color="auto" w:fill="auto"/>
            <w:noWrap/>
            <w:vAlign w:val="bottom"/>
            <w:hideMark/>
          </w:tcPr>
          <w:p w:rsidR="00A05591" w:rsidRPr="00A05591" w:rsidRDefault="00A05591" w:rsidP="00A05591">
            <w:pPr>
              <w:jc w:val="right"/>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15.114,85</w:t>
            </w:r>
          </w:p>
        </w:tc>
      </w:tr>
      <w:tr w:rsidR="00A05591" w:rsidRPr="00A05591" w:rsidTr="00A05591">
        <w:trPr>
          <w:trHeight w:val="300"/>
        </w:trPr>
        <w:tc>
          <w:tcPr>
            <w:tcW w:w="2438" w:type="pct"/>
            <w:tcBorders>
              <w:top w:val="nil"/>
              <w:left w:val="single" w:sz="4" w:space="0" w:color="auto"/>
              <w:bottom w:val="single" w:sz="4" w:space="0" w:color="auto"/>
              <w:right w:val="nil"/>
            </w:tcBorders>
            <w:shd w:val="clear" w:color="auto" w:fill="auto"/>
            <w:noWrap/>
            <w:vAlign w:val="bottom"/>
            <w:hideMark/>
          </w:tcPr>
          <w:p w:rsidR="00A05591" w:rsidRPr="00A05591" w:rsidRDefault="00A05591" w:rsidP="00A05591">
            <w:pPr>
              <w:rPr>
                <w:rFonts w:ascii="Lucida Bright" w:hAnsi="Lucida Bright" w:cs="Calibri"/>
                <w:b/>
                <w:bCs/>
                <w:color w:val="000000"/>
                <w:sz w:val="14"/>
                <w:szCs w:val="14"/>
                <w:lang w:val="es-ES"/>
              </w:rPr>
            </w:pPr>
            <w:r w:rsidRPr="00A05591">
              <w:rPr>
                <w:rFonts w:ascii="Lucida Bright" w:hAnsi="Lucida Bright" w:cs="Calibri"/>
                <w:b/>
                <w:bCs/>
                <w:color w:val="000000"/>
                <w:sz w:val="14"/>
                <w:szCs w:val="14"/>
                <w:lang w:val="es-ES"/>
              </w:rPr>
              <w:t>Total</w:t>
            </w:r>
          </w:p>
        </w:tc>
        <w:tc>
          <w:tcPr>
            <w:tcW w:w="283" w:type="pct"/>
            <w:tcBorders>
              <w:top w:val="nil"/>
              <w:left w:val="nil"/>
              <w:bottom w:val="single" w:sz="4" w:space="0" w:color="auto"/>
              <w:right w:val="nil"/>
            </w:tcBorders>
            <w:shd w:val="clear" w:color="auto" w:fill="auto"/>
            <w:noWrap/>
            <w:vAlign w:val="bottom"/>
            <w:hideMark/>
          </w:tcPr>
          <w:p w:rsidR="00A05591" w:rsidRPr="00A05591" w:rsidRDefault="00A05591" w:rsidP="00A05591">
            <w:pPr>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 </w:t>
            </w:r>
          </w:p>
        </w:tc>
        <w:tc>
          <w:tcPr>
            <w:tcW w:w="283" w:type="pct"/>
            <w:tcBorders>
              <w:top w:val="nil"/>
              <w:left w:val="nil"/>
              <w:bottom w:val="single" w:sz="4" w:space="0" w:color="auto"/>
              <w:right w:val="nil"/>
            </w:tcBorders>
            <w:shd w:val="clear" w:color="auto" w:fill="auto"/>
            <w:noWrap/>
            <w:vAlign w:val="bottom"/>
            <w:hideMark/>
          </w:tcPr>
          <w:p w:rsidR="00A05591" w:rsidRPr="00A05591" w:rsidRDefault="00A05591" w:rsidP="00A05591">
            <w:pPr>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 </w:t>
            </w:r>
          </w:p>
        </w:tc>
        <w:tc>
          <w:tcPr>
            <w:tcW w:w="316" w:type="pct"/>
            <w:tcBorders>
              <w:top w:val="nil"/>
              <w:left w:val="nil"/>
              <w:bottom w:val="single" w:sz="4" w:space="0" w:color="auto"/>
              <w:right w:val="single" w:sz="4" w:space="0" w:color="auto"/>
            </w:tcBorders>
            <w:shd w:val="clear" w:color="auto" w:fill="auto"/>
            <w:noWrap/>
            <w:vAlign w:val="bottom"/>
            <w:hideMark/>
          </w:tcPr>
          <w:p w:rsidR="00A05591" w:rsidRPr="00A05591" w:rsidRDefault="00A05591" w:rsidP="00A05591">
            <w:pPr>
              <w:rPr>
                <w:rFonts w:ascii="Lucida Bright" w:hAnsi="Lucida Bright" w:cs="Calibri"/>
                <w:color w:val="000000"/>
                <w:sz w:val="14"/>
                <w:szCs w:val="14"/>
                <w:lang w:val="es-ES"/>
              </w:rPr>
            </w:pPr>
            <w:r w:rsidRPr="00A05591">
              <w:rPr>
                <w:rFonts w:ascii="Lucida Bright" w:hAnsi="Lucida Bright" w:cs="Calibri"/>
                <w:color w:val="000000"/>
                <w:sz w:val="14"/>
                <w:szCs w:val="14"/>
                <w:lang w:val="es-ES"/>
              </w:rPr>
              <w:t> </w:t>
            </w:r>
          </w:p>
        </w:tc>
        <w:tc>
          <w:tcPr>
            <w:tcW w:w="840" w:type="pct"/>
            <w:tcBorders>
              <w:top w:val="nil"/>
              <w:left w:val="single" w:sz="4" w:space="0" w:color="auto"/>
              <w:bottom w:val="single" w:sz="4" w:space="0" w:color="auto"/>
              <w:right w:val="single" w:sz="4" w:space="0" w:color="auto"/>
            </w:tcBorders>
            <w:shd w:val="clear" w:color="auto" w:fill="auto"/>
            <w:noWrap/>
            <w:vAlign w:val="bottom"/>
            <w:hideMark/>
          </w:tcPr>
          <w:p w:rsidR="00A05591" w:rsidRPr="00A05591" w:rsidRDefault="00A05591" w:rsidP="00A05591">
            <w:pPr>
              <w:jc w:val="right"/>
              <w:rPr>
                <w:rFonts w:ascii="Lucida Bright" w:hAnsi="Lucida Bright" w:cs="Calibri"/>
                <w:b/>
                <w:bCs/>
                <w:color w:val="000000"/>
                <w:sz w:val="14"/>
                <w:szCs w:val="14"/>
                <w:lang w:val="es-ES"/>
              </w:rPr>
            </w:pPr>
            <w:r w:rsidRPr="00A05591">
              <w:rPr>
                <w:rFonts w:ascii="Lucida Bright" w:hAnsi="Lucida Bright" w:cs="Calibri"/>
                <w:b/>
                <w:bCs/>
                <w:color w:val="000000"/>
                <w:sz w:val="14"/>
                <w:szCs w:val="14"/>
                <w:lang w:val="es-ES"/>
              </w:rPr>
              <w:t>4.996.788,79</w:t>
            </w:r>
          </w:p>
        </w:tc>
        <w:tc>
          <w:tcPr>
            <w:tcW w:w="840" w:type="pct"/>
            <w:tcBorders>
              <w:top w:val="nil"/>
              <w:left w:val="nil"/>
              <w:bottom w:val="single" w:sz="4" w:space="0" w:color="auto"/>
              <w:right w:val="single" w:sz="4" w:space="0" w:color="auto"/>
            </w:tcBorders>
            <w:shd w:val="clear" w:color="auto" w:fill="auto"/>
            <w:noWrap/>
            <w:vAlign w:val="bottom"/>
            <w:hideMark/>
          </w:tcPr>
          <w:p w:rsidR="00A05591" w:rsidRPr="00A05591" w:rsidRDefault="00A05591" w:rsidP="00A05591">
            <w:pPr>
              <w:jc w:val="right"/>
              <w:rPr>
                <w:rFonts w:ascii="Lucida Bright" w:hAnsi="Lucida Bright" w:cs="Calibri"/>
                <w:b/>
                <w:bCs/>
                <w:color w:val="000000"/>
                <w:sz w:val="14"/>
                <w:szCs w:val="14"/>
                <w:lang w:val="es-ES"/>
              </w:rPr>
            </w:pPr>
            <w:r w:rsidRPr="00A05591">
              <w:rPr>
                <w:rFonts w:ascii="Lucida Bright" w:hAnsi="Lucida Bright" w:cs="Calibri"/>
                <w:b/>
                <w:bCs/>
                <w:color w:val="000000"/>
                <w:sz w:val="14"/>
                <w:szCs w:val="14"/>
                <w:lang w:val="es-ES"/>
              </w:rPr>
              <w:t>208.314,76</w:t>
            </w:r>
          </w:p>
        </w:tc>
      </w:tr>
    </w:tbl>
    <w:p w:rsidR="00E70917" w:rsidRPr="00846803" w:rsidRDefault="00E70917" w:rsidP="0009572E">
      <w:pPr>
        <w:tabs>
          <w:tab w:val="right" w:pos="8364"/>
        </w:tabs>
        <w:jc w:val="both"/>
        <w:rPr>
          <w:bCs/>
        </w:rPr>
      </w:pPr>
    </w:p>
    <w:p w:rsidR="004A041C" w:rsidRPr="00EB4317" w:rsidRDefault="004A041C" w:rsidP="00DE5AD0">
      <w:pPr>
        <w:tabs>
          <w:tab w:val="right" w:pos="8364"/>
        </w:tabs>
        <w:jc w:val="both"/>
        <w:rPr>
          <w:bCs/>
        </w:rPr>
      </w:pPr>
    </w:p>
    <w:p w:rsidR="007D153C" w:rsidRDefault="007D153C" w:rsidP="002019D4">
      <w:pPr>
        <w:tabs>
          <w:tab w:val="right" w:pos="8364"/>
        </w:tabs>
        <w:ind w:left="567" w:hanging="567"/>
        <w:jc w:val="both"/>
        <w:rPr>
          <w:b/>
          <w:bCs/>
          <w:sz w:val="22"/>
        </w:rPr>
      </w:pPr>
    </w:p>
    <w:p w:rsidR="00EF6B46" w:rsidRPr="00B51BDD" w:rsidRDefault="002019D4" w:rsidP="002019D4">
      <w:pPr>
        <w:tabs>
          <w:tab w:val="right" w:pos="8364"/>
        </w:tabs>
        <w:ind w:left="567" w:hanging="567"/>
        <w:jc w:val="both"/>
        <w:rPr>
          <w:rFonts w:ascii="NewBaskerville" w:hAnsi="NewBaskerville"/>
          <w:b/>
          <w:bCs/>
          <w:sz w:val="22"/>
        </w:rPr>
      </w:pPr>
      <w:r w:rsidRPr="00B51BDD">
        <w:rPr>
          <w:rFonts w:ascii="NewBaskerville" w:hAnsi="NewBaskerville"/>
          <w:b/>
          <w:bCs/>
          <w:sz w:val="22"/>
        </w:rPr>
        <w:t xml:space="preserve">c) </w:t>
      </w:r>
      <w:r w:rsidR="00EF6B46" w:rsidRPr="00B51BDD">
        <w:rPr>
          <w:rFonts w:ascii="NewBaskerville" w:hAnsi="NewBaskerville"/>
          <w:b/>
          <w:bCs/>
          <w:sz w:val="22"/>
        </w:rPr>
        <w:t xml:space="preserve">Fondo de compensación </w:t>
      </w:r>
      <w:proofErr w:type="spellStart"/>
      <w:r w:rsidR="00EF6B46" w:rsidRPr="00B51BDD">
        <w:rPr>
          <w:rFonts w:ascii="NewBaskerville" w:hAnsi="NewBaskerville"/>
          <w:b/>
          <w:bCs/>
          <w:sz w:val="22"/>
        </w:rPr>
        <w:t>Interportuario</w:t>
      </w:r>
      <w:proofErr w:type="spellEnd"/>
      <w:r w:rsidR="00EF6B46" w:rsidRPr="00B51BDD">
        <w:rPr>
          <w:rFonts w:ascii="NewBaskerville" w:hAnsi="NewBaskerville"/>
          <w:b/>
          <w:bCs/>
          <w:sz w:val="22"/>
        </w:rPr>
        <w:t xml:space="preserve"> </w:t>
      </w:r>
      <w:r w:rsidR="00D54A29">
        <w:rPr>
          <w:rFonts w:ascii="NewBaskerville" w:hAnsi="NewBaskerville"/>
          <w:b/>
          <w:bCs/>
          <w:sz w:val="22"/>
        </w:rPr>
        <w:t>(F.C.I.)</w:t>
      </w:r>
    </w:p>
    <w:p w:rsidR="00130FA3" w:rsidRPr="00EB4317" w:rsidRDefault="00130FA3" w:rsidP="00130FA3">
      <w:pPr>
        <w:ind w:left="567"/>
        <w:jc w:val="both"/>
      </w:pPr>
    </w:p>
    <w:p w:rsidR="009941EF" w:rsidRPr="00B51BDD" w:rsidRDefault="005539B0" w:rsidP="005539B0">
      <w:pPr>
        <w:tabs>
          <w:tab w:val="left" w:pos="567"/>
          <w:tab w:val="right" w:pos="8364"/>
        </w:tabs>
        <w:jc w:val="both"/>
        <w:rPr>
          <w:rFonts w:ascii="NewBaskerville" w:hAnsi="NewBaskerville"/>
        </w:rPr>
      </w:pPr>
      <w:r w:rsidRPr="00B51BDD">
        <w:rPr>
          <w:rFonts w:ascii="NewBaskerville" w:hAnsi="NewBaskerville"/>
        </w:rPr>
        <w:tab/>
        <w:t>En el ejercicio 202</w:t>
      </w:r>
      <w:r w:rsidR="00021A30">
        <w:rPr>
          <w:rFonts w:ascii="NewBaskerville" w:hAnsi="NewBaskerville"/>
        </w:rPr>
        <w:t>3</w:t>
      </w:r>
      <w:r w:rsidRPr="00B51BDD">
        <w:rPr>
          <w:rFonts w:ascii="NewBaskerville" w:hAnsi="NewBaskerville"/>
        </w:rPr>
        <w:t xml:space="preserve"> se ha aportado </w:t>
      </w:r>
      <w:r w:rsidR="00D54A29">
        <w:rPr>
          <w:rFonts w:ascii="NewBaskerville" w:hAnsi="NewBaskerville"/>
        </w:rPr>
        <w:t>1.</w:t>
      </w:r>
      <w:r w:rsidR="00021A30">
        <w:rPr>
          <w:rFonts w:ascii="NewBaskerville" w:hAnsi="NewBaskerville"/>
        </w:rPr>
        <w:t>458</w:t>
      </w:r>
      <w:r w:rsidR="00D54A29">
        <w:rPr>
          <w:rFonts w:ascii="NewBaskerville" w:hAnsi="NewBaskerville"/>
        </w:rPr>
        <w:t>.000,00</w:t>
      </w:r>
      <w:r w:rsidR="00130FA3" w:rsidRPr="00B51BDD">
        <w:rPr>
          <w:rFonts w:ascii="NewBaskerville" w:hAnsi="NewBaskerville"/>
        </w:rPr>
        <w:t xml:space="preserve"> </w:t>
      </w:r>
      <w:r w:rsidRPr="00B51BDD">
        <w:t>€</w:t>
      </w:r>
      <w:r w:rsidRPr="00B51BDD">
        <w:rPr>
          <w:rFonts w:ascii="NewBaskerville" w:hAnsi="NewBaskerville"/>
        </w:rPr>
        <w:t xml:space="preserve"> al F.C.I. y se ha recibido </w:t>
      </w:r>
      <w:r w:rsidR="00D54A29">
        <w:rPr>
          <w:rFonts w:ascii="NewBaskerville" w:hAnsi="NewBaskerville"/>
        </w:rPr>
        <w:t>1.</w:t>
      </w:r>
      <w:r w:rsidR="00021A30">
        <w:rPr>
          <w:rFonts w:ascii="NewBaskerville" w:hAnsi="NewBaskerville"/>
        </w:rPr>
        <w:t>432</w:t>
      </w:r>
      <w:r w:rsidRPr="00B51BDD">
        <w:rPr>
          <w:rFonts w:ascii="NewBaskerville" w:hAnsi="NewBaskerville"/>
        </w:rPr>
        <w:t>.000</w:t>
      </w:r>
      <w:r w:rsidR="00D54A29">
        <w:rPr>
          <w:rFonts w:ascii="NewBaskerville" w:hAnsi="NewBaskerville"/>
        </w:rPr>
        <w:t>,00</w:t>
      </w:r>
      <w:r w:rsidRPr="00B51BDD">
        <w:rPr>
          <w:rFonts w:ascii="NewBaskerville" w:hAnsi="NewBaskerville"/>
        </w:rPr>
        <w:t xml:space="preserve"> </w:t>
      </w:r>
      <w:r w:rsidRPr="00B51BDD">
        <w:t>€</w:t>
      </w:r>
      <w:r w:rsidRPr="00B51BDD">
        <w:rPr>
          <w:rFonts w:ascii="NewBaskerville" w:hAnsi="NewBaskerville"/>
        </w:rPr>
        <w:t>.</w:t>
      </w:r>
      <w:r w:rsidR="00D54A29">
        <w:rPr>
          <w:rFonts w:ascii="NewBaskerville" w:hAnsi="NewBaskerville"/>
        </w:rPr>
        <w:t xml:space="preserve"> </w:t>
      </w:r>
      <w:r w:rsidR="00130FA3" w:rsidRPr="00B51BDD">
        <w:rPr>
          <w:rFonts w:ascii="NewBaskerville" w:hAnsi="NewBaskerville"/>
        </w:rPr>
        <w:t>En el ejerci</w:t>
      </w:r>
      <w:r w:rsidR="003131F1" w:rsidRPr="00B51BDD">
        <w:rPr>
          <w:rFonts w:ascii="NewBaskerville" w:hAnsi="NewBaskerville"/>
        </w:rPr>
        <w:t>ci</w:t>
      </w:r>
      <w:r w:rsidR="00021A30">
        <w:rPr>
          <w:rFonts w:ascii="NewBaskerville" w:hAnsi="NewBaskerville"/>
        </w:rPr>
        <w:t>o 2022</w:t>
      </w:r>
      <w:r w:rsidRPr="00B51BDD">
        <w:rPr>
          <w:rFonts w:ascii="NewBaskerville" w:hAnsi="NewBaskerville"/>
        </w:rPr>
        <w:t xml:space="preserve"> se aportó</w:t>
      </w:r>
      <w:r w:rsidR="00130FA3" w:rsidRPr="00B51BDD">
        <w:rPr>
          <w:rFonts w:ascii="NewBaskerville" w:hAnsi="NewBaskerville"/>
        </w:rPr>
        <w:t xml:space="preserve"> </w:t>
      </w:r>
      <w:r w:rsidR="00021A30">
        <w:rPr>
          <w:rFonts w:ascii="NewBaskerville" w:hAnsi="NewBaskerville"/>
        </w:rPr>
        <w:t>1.303</w:t>
      </w:r>
      <w:r w:rsidR="0053692E" w:rsidRPr="00B51BDD">
        <w:rPr>
          <w:rFonts w:ascii="NewBaskerville" w:hAnsi="NewBaskerville"/>
        </w:rPr>
        <w:t>.000</w:t>
      </w:r>
      <w:r w:rsidR="00D54A29">
        <w:rPr>
          <w:rFonts w:ascii="NewBaskerville" w:hAnsi="NewBaskerville"/>
        </w:rPr>
        <w:t>,00</w:t>
      </w:r>
      <w:r w:rsidRPr="00B51BDD">
        <w:rPr>
          <w:rFonts w:ascii="NewBaskerville" w:hAnsi="NewBaskerville"/>
        </w:rPr>
        <w:t xml:space="preserve"> </w:t>
      </w:r>
      <w:r w:rsidRPr="00B51BDD">
        <w:t>€</w:t>
      </w:r>
      <w:r w:rsidRPr="00B51BDD">
        <w:rPr>
          <w:rFonts w:ascii="NewBaskerville" w:hAnsi="NewBaskerville"/>
        </w:rPr>
        <w:t xml:space="preserve"> al F.C.I. y se recibi</w:t>
      </w:r>
      <w:r w:rsidR="00AE1189">
        <w:rPr>
          <w:rFonts w:ascii="NewBaskerville" w:hAnsi="NewBaskerville"/>
        </w:rPr>
        <w:t>ó</w:t>
      </w:r>
      <w:r w:rsidR="007D7867" w:rsidRPr="00B51BDD">
        <w:rPr>
          <w:rFonts w:ascii="NewBaskerville" w:hAnsi="NewBaskerville"/>
        </w:rPr>
        <w:t xml:space="preserve"> </w:t>
      </w:r>
      <w:r w:rsidR="00021A30">
        <w:rPr>
          <w:rFonts w:ascii="NewBaskerville" w:hAnsi="NewBaskerville"/>
        </w:rPr>
        <w:t>1.025</w:t>
      </w:r>
      <w:r w:rsidR="0053692E" w:rsidRPr="00B51BDD">
        <w:rPr>
          <w:rFonts w:ascii="NewBaskerville" w:hAnsi="NewBaskerville"/>
        </w:rPr>
        <w:t>.000</w:t>
      </w:r>
      <w:r w:rsidR="00D54A29">
        <w:rPr>
          <w:rFonts w:ascii="NewBaskerville" w:hAnsi="NewBaskerville"/>
        </w:rPr>
        <w:t>,00</w:t>
      </w:r>
      <w:r w:rsidR="00100DA5" w:rsidRPr="00B51BDD">
        <w:rPr>
          <w:rFonts w:ascii="NewBaskerville" w:hAnsi="NewBaskerville"/>
        </w:rPr>
        <w:t xml:space="preserve"> </w:t>
      </w:r>
      <w:r w:rsidR="00D40231" w:rsidRPr="00B51BDD">
        <w:t>€</w:t>
      </w:r>
      <w:r w:rsidR="00D40231" w:rsidRPr="00B51BDD">
        <w:rPr>
          <w:rFonts w:ascii="NewBaskerville" w:hAnsi="NewBaskerville"/>
        </w:rPr>
        <w:t xml:space="preserve">. </w:t>
      </w:r>
    </w:p>
    <w:p w:rsidR="00605444" w:rsidRPr="00EB4317" w:rsidRDefault="00605444" w:rsidP="004B5382">
      <w:pPr>
        <w:tabs>
          <w:tab w:val="right" w:pos="8364"/>
        </w:tabs>
        <w:jc w:val="both"/>
        <w:rPr>
          <w:b/>
          <w:bCs/>
        </w:rPr>
      </w:pPr>
    </w:p>
    <w:p w:rsidR="008A1987" w:rsidRPr="00EB4317" w:rsidRDefault="008A1987" w:rsidP="00EF6B46">
      <w:pPr>
        <w:tabs>
          <w:tab w:val="right" w:pos="8364"/>
        </w:tabs>
        <w:ind w:left="567" w:hanging="567"/>
        <w:jc w:val="both"/>
        <w:rPr>
          <w:b/>
          <w:bCs/>
        </w:rPr>
      </w:pPr>
    </w:p>
    <w:p w:rsidR="002D2A8D" w:rsidRDefault="002D2A8D" w:rsidP="00EF6B46">
      <w:pPr>
        <w:tabs>
          <w:tab w:val="right" w:pos="8364"/>
        </w:tabs>
        <w:ind w:left="567" w:hanging="567"/>
        <w:jc w:val="both"/>
        <w:rPr>
          <w:b/>
          <w:bCs/>
        </w:rPr>
      </w:pPr>
    </w:p>
    <w:p w:rsidR="00EF6B46" w:rsidRPr="00D54A29" w:rsidRDefault="00EF6B46" w:rsidP="00EF6B46">
      <w:pPr>
        <w:tabs>
          <w:tab w:val="right" w:pos="8364"/>
        </w:tabs>
        <w:ind w:left="567" w:hanging="567"/>
        <w:jc w:val="both"/>
        <w:rPr>
          <w:rFonts w:ascii="NewBaskerville" w:hAnsi="NewBaskerville"/>
          <w:b/>
          <w:bCs/>
          <w:sz w:val="24"/>
          <w:szCs w:val="24"/>
        </w:rPr>
      </w:pPr>
      <w:r w:rsidRPr="00D54A29">
        <w:rPr>
          <w:rFonts w:ascii="NewBaskerville" w:hAnsi="NewBaskerville"/>
          <w:b/>
          <w:bCs/>
          <w:sz w:val="24"/>
          <w:szCs w:val="24"/>
        </w:rPr>
        <w:t>1</w:t>
      </w:r>
      <w:r w:rsidR="00A00693" w:rsidRPr="00D54A29">
        <w:rPr>
          <w:rFonts w:ascii="NewBaskerville" w:hAnsi="NewBaskerville"/>
          <w:b/>
          <w:bCs/>
          <w:sz w:val="24"/>
          <w:szCs w:val="24"/>
        </w:rPr>
        <w:t>5</w:t>
      </w:r>
      <w:r w:rsidR="002019D4" w:rsidRPr="00D54A29">
        <w:rPr>
          <w:rFonts w:ascii="NewBaskerville" w:hAnsi="NewBaskerville"/>
          <w:b/>
          <w:bCs/>
          <w:sz w:val="24"/>
          <w:szCs w:val="24"/>
        </w:rPr>
        <w:t xml:space="preserve">. </w:t>
      </w:r>
      <w:r w:rsidRPr="00D54A29">
        <w:rPr>
          <w:rFonts w:ascii="NewBaskerville" w:hAnsi="NewBaskerville"/>
          <w:b/>
          <w:bCs/>
          <w:sz w:val="24"/>
          <w:szCs w:val="24"/>
        </w:rPr>
        <w:t>Detalle de la cifra de negocios de los puertos que pertenecen a esta Autoridad Portuaria</w:t>
      </w:r>
    </w:p>
    <w:p w:rsidR="00E70917" w:rsidRDefault="00E70917" w:rsidP="00EF6B46">
      <w:pPr>
        <w:tabs>
          <w:tab w:val="right" w:pos="8364"/>
        </w:tabs>
        <w:ind w:left="567" w:hanging="567"/>
        <w:jc w:val="both"/>
        <w:rPr>
          <w:b/>
          <w:bCs/>
        </w:rPr>
      </w:pPr>
    </w:p>
    <w:tbl>
      <w:tblPr>
        <w:tblW w:w="5000" w:type="pct"/>
        <w:tblCellMar>
          <w:left w:w="70" w:type="dxa"/>
          <w:right w:w="70" w:type="dxa"/>
        </w:tblCellMar>
        <w:tblLook w:val="04A0" w:firstRow="1" w:lastRow="0" w:firstColumn="1" w:lastColumn="0" w:noHBand="0" w:noVBand="1"/>
      </w:tblPr>
      <w:tblGrid>
        <w:gridCol w:w="1376"/>
        <w:gridCol w:w="1376"/>
        <w:gridCol w:w="1376"/>
        <w:gridCol w:w="940"/>
        <w:gridCol w:w="1864"/>
        <w:gridCol w:w="1712"/>
      </w:tblGrid>
      <w:tr w:rsidR="00395199" w:rsidRPr="00395199" w:rsidTr="00395199">
        <w:trPr>
          <w:trHeight w:val="300"/>
        </w:trPr>
        <w:tc>
          <w:tcPr>
            <w:tcW w:w="796" w:type="pct"/>
            <w:tcBorders>
              <w:top w:val="nil"/>
              <w:left w:val="nil"/>
              <w:bottom w:val="nil"/>
              <w:right w:val="nil"/>
            </w:tcBorders>
            <w:shd w:val="clear" w:color="auto" w:fill="auto"/>
            <w:noWrap/>
            <w:vAlign w:val="bottom"/>
            <w:hideMark/>
          </w:tcPr>
          <w:p w:rsidR="00395199" w:rsidRPr="00395199" w:rsidRDefault="00395199" w:rsidP="00395199">
            <w:pPr>
              <w:rPr>
                <w:rFonts w:ascii="Calibri" w:hAnsi="Calibri" w:cs="Calibri"/>
                <w:color w:val="000000"/>
                <w:sz w:val="22"/>
                <w:szCs w:val="22"/>
                <w:lang w:val="es-ES"/>
              </w:rPr>
            </w:pPr>
          </w:p>
        </w:tc>
        <w:tc>
          <w:tcPr>
            <w:tcW w:w="796" w:type="pct"/>
            <w:tcBorders>
              <w:top w:val="nil"/>
              <w:left w:val="nil"/>
              <w:bottom w:val="nil"/>
              <w:right w:val="nil"/>
            </w:tcBorders>
            <w:shd w:val="clear" w:color="auto" w:fill="auto"/>
            <w:noWrap/>
            <w:vAlign w:val="bottom"/>
            <w:hideMark/>
          </w:tcPr>
          <w:p w:rsidR="00395199" w:rsidRPr="00395199" w:rsidRDefault="00395199" w:rsidP="00395199">
            <w:pPr>
              <w:rPr>
                <w:rFonts w:ascii="Calibri" w:hAnsi="Calibri" w:cs="Calibri"/>
                <w:color w:val="000000"/>
                <w:sz w:val="22"/>
                <w:szCs w:val="22"/>
                <w:lang w:val="es-ES"/>
              </w:rPr>
            </w:pPr>
          </w:p>
        </w:tc>
        <w:tc>
          <w:tcPr>
            <w:tcW w:w="796" w:type="pct"/>
            <w:tcBorders>
              <w:top w:val="nil"/>
              <w:left w:val="nil"/>
              <w:bottom w:val="nil"/>
              <w:right w:val="nil"/>
            </w:tcBorders>
            <w:shd w:val="clear" w:color="auto" w:fill="auto"/>
            <w:noWrap/>
            <w:vAlign w:val="bottom"/>
            <w:hideMark/>
          </w:tcPr>
          <w:p w:rsidR="00395199" w:rsidRPr="00395199" w:rsidRDefault="00395199" w:rsidP="00395199">
            <w:pPr>
              <w:rPr>
                <w:rFonts w:ascii="Calibri" w:hAnsi="Calibri" w:cs="Calibri"/>
                <w:color w:val="000000"/>
                <w:sz w:val="22"/>
                <w:szCs w:val="22"/>
                <w:lang w:val="es-ES"/>
              </w:rPr>
            </w:pPr>
          </w:p>
        </w:tc>
        <w:tc>
          <w:tcPr>
            <w:tcW w:w="544" w:type="pct"/>
            <w:tcBorders>
              <w:top w:val="nil"/>
              <w:left w:val="nil"/>
              <w:bottom w:val="nil"/>
              <w:right w:val="nil"/>
            </w:tcBorders>
            <w:shd w:val="clear" w:color="auto" w:fill="auto"/>
            <w:noWrap/>
            <w:vAlign w:val="bottom"/>
            <w:hideMark/>
          </w:tcPr>
          <w:p w:rsidR="00395199" w:rsidRPr="00395199" w:rsidRDefault="00395199" w:rsidP="00395199">
            <w:pPr>
              <w:rPr>
                <w:rFonts w:ascii="Calibri" w:hAnsi="Calibri" w:cs="Calibri"/>
                <w:color w:val="000000"/>
                <w:sz w:val="22"/>
                <w:szCs w:val="22"/>
                <w:lang w:val="es-ES"/>
              </w:rPr>
            </w:pPr>
          </w:p>
        </w:tc>
        <w:tc>
          <w:tcPr>
            <w:tcW w:w="2069" w:type="pct"/>
            <w:gridSpan w:val="2"/>
            <w:tcBorders>
              <w:top w:val="single" w:sz="4" w:space="0" w:color="auto"/>
              <w:left w:val="single" w:sz="4" w:space="0" w:color="auto"/>
              <w:bottom w:val="single" w:sz="4" w:space="0" w:color="auto"/>
              <w:right w:val="single" w:sz="4" w:space="0" w:color="000000"/>
            </w:tcBorders>
            <w:shd w:val="clear" w:color="000000" w:fill="CCFFCC"/>
            <w:vAlign w:val="bottom"/>
            <w:hideMark/>
          </w:tcPr>
          <w:p w:rsidR="00395199" w:rsidRPr="00395199" w:rsidRDefault="00395199" w:rsidP="00395199">
            <w:pPr>
              <w:jc w:val="cente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Importe Neto de la Cifra de Negocios</w:t>
            </w:r>
          </w:p>
        </w:tc>
      </w:tr>
      <w:tr w:rsidR="00395199" w:rsidRPr="00395199" w:rsidTr="00395199">
        <w:trPr>
          <w:trHeight w:val="300"/>
        </w:trPr>
        <w:tc>
          <w:tcPr>
            <w:tcW w:w="2931" w:type="pct"/>
            <w:gridSpan w:val="4"/>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395199" w:rsidRPr="00395199" w:rsidRDefault="00395199" w:rsidP="00395199">
            <w:pPr>
              <w:jc w:val="cente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Puertos</w:t>
            </w:r>
          </w:p>
        </w:tc>
        <w:tc>
          <w:tcPr>
            <w:tcW w:w="1078" w:type="pct"/>
            <w:tcBorders>
              <w:top w:val="nil"/>
              <w:left w:val="nil"/>
              <w:bottom w:val="single" w:sz="4" w:space="0" w:color="auto"/>
              <w:right w:val="single" w:sz="4" w:space="0" w:color="auto"/>
            </w:tcBorders>
            <w:shd w:val="clear" w:color="000000" w:fill="CCFFCC"/>
            <w:noWrap/>
            <w:vAlign w:val="bottom"/>
            <w:hideMark/>
          </w:tcPr>
          <w:p w:rsidR="00395199" w:rsidRPr="00395199" w:rsidRDefault="00395199" w:rsidP="00395199">
            <w:pPr>
              <w:jc w:val="cente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2023</w:t>
            </w:r>
          </w:p>
        </w:tc>
        <w:tc>
          <w:tcPr>
            <w:tcW w:w="991" w:type="pct"/>
            <w:tcBorders>
              <w:top w:val="nil"/>
              <w:left w:val="nil"/>
              <w:bottom w:val="single" w:sz="4" w:space="0" w:color="auto"/>
              <w:right w:val="single" w:sz="4" w:space="0" w:color="auto"/>
            </w:tcBorders>
            <w:shd w:val="clear" w:color="000000" w:fill="CCFFCC"/>
            <w:noWrap/>
            <w:vAlign w:val="bottom"/>
            <w:hideMark/>
          </w:tcPr>
          <w:p w:rsidR="00395199" w:rsidRPr="00395199" w:rsidRDefault="00395199" w:rsidP="00395199">
            <w:pPr>
              <w:jc w:val="cente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2022</w:t>
            </w:r>
          </w:p>
        </w:tc>
      </w:tr>
      <w:tr w:rsidR="00395199" w:rsidRPr="00395199" w:rsidTr="00395199">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Puerto de Palma</w:t>
            </w:r>
          </w:p>
        </w:tc>
        <w:tc>
          <w:tcPr>
            <w:tcW w:w="1078"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55.073.570,75</w:t>
            </w:r>
          </w:p>
        </w:tc>
        <w:tc>
          <w:tcPr>
            <w:tcW w:w="991"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48.800.408,04</w:t>
            </w:r>
          </w:p>
        </w:tc>
      </w:tr>
      <w:tr w:rsidR="00395199" w:rsidRPr="00395199" w:rsidTr="00395199">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xml:space="preserve">Puerto de </w:t>
            </w:r>
            <w:proofErr w:type="spellStart"/>
            <w:r w:rsidRPr="00395199">
              <w:rPr>
                <w:rFonts w:ascii="Lucida Bright" w:hAnsi="Lucida Bright" w:cs="Calibri"/>
                <w:color w:val="000000"/>
                <w:sz w:val="14"/>
                <w:szCs w:val="14"/>
                <w:lang w:val="es-ES"/>
              </w:rPr>
              <w:t>Eivissa</w:t>
            </w:r>
            <w:proofErr w:type="spellEnd"/>
            <w:r w:rsidRPr="00395199">
              <w:rPr>
                <w:rFonts w:ascii="Lucida Bright" w:hAnsi="Lucida Bright" w:cs="Calibri"/>
                <w:color w:val="000000"/>
                <w:sz w:val="14"/>
                <w:szCs w:val="14"/>
                <w:lang w:val="es-ES"/>
              </w:rPr>
              <w:t xml:space="preserve"> - Ibiza</w:t>
            </w:r>
          </w:p>
        </w:tc>
        <w:tc>
          <w:tcPr>
            <w:tcW w:w="1078"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33.865.117,63</w:t>
            </w:r>
          </w:p>
        </w:tc>
        <w:tc>
          <w:tcPr>
            <w:tcW w:w="991"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25.626.626,39</w:t>
            </w:r>
          </w:p>
        </w:tc>
      </w:tr>
      <w:tr w:rsidR="00395199" w:rsidRPr="00395199" w:rsidTr="00395199">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xml:space="preserve">Puerto de La </w:t>
            </w:r>
            <w:proofErr w:type="spellStart"/>
            <w:r w:rsidRPr="00395199">
              <w:rPr>
                <w:rFonts w:ascii="Lucida Bright" w:hAnsi="Lucida Bright" w:cs="Calibri"/>
                <w:color w:val="000000"/>
                <w:sz w:val="14"/>
                <w:szCs w:val="14"/>
                <w:lang w:val="es-ES"/>
              </w:rPr>
              <w:t>Savina</w:t>
            </w:r>
            <w:proofErr w:type="spellEnd"/>
          </w:p>
        </w:tc>
        <w:tc>
          <w:tcPr>
            <w:tcW w:w="1078"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4.672.808,25</w:t>
            </w:r>
          </w:p>
        </w:tc>
        <w:tc>
          <w:tcPr>
            <w:tcW w:w="991"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3.738.699,74</w:t>
            </w:r>
          </w:p>
        </w:tc>
      </w:tr>
      <w:tr w:rsidR="00395199" w:rsidRPr="00395199" w:rsidTr="00395199">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xml:space="preserve">Puerto de </w:t>
            </w:r>
            <w:proofErr w:type="spellStart"/>
            <w:r w:rsidRPr="00395199">
              <w:rPr>
                <w:rFonts w:ascii="Lucida Bright" w:hAnsi="Lucida Bright" w:cs="Calibri"/>
                <w:color w:val="000000"/>
                <w:sz w:val="14"/>
                <w:szCs w:val="14"/>
                <w:lang w:val="es-ES"/>
              </w:rPr>
              <w:t>Maó</w:t>
            </w:r>
            <w:proofErr w:type="spellEnd"/>
            <w:r w:rsidRPr="00395199">
              <w:rPr>
                <w:rFonts w:ascii="Lucida Bright" w:hAnsi="Lucida Bright" w:cs="Calibri"/>
                <w:color w:val="000000"/>
                <w:sz w:val="14"/>
                <w:szCs w:val="14"/>
                <w:lang w:val="es-ES"/>
              </w:rPr>
              <w:t xml:space="preserve"> - Mahón</w:t>
            </w:r>
          </w:p>
        </w:tc>
        <w:tc>
          <w:tcPr>
            <w:tcW w:w="1078"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4.998.525,36</w:t>
            </w:r>
          </w:p>
        </w:tc>
        <w:tc>
          <w:tcPr>
            <w:tcW w:w="991"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3.414.023,54</w:t>
            </w:r>
          </w:p>
        </w:tc>
      </w:tr>
      <w:tr w:rsidR="00395199" w:rsidRPr="00395199" w:rsidTr="00395199">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xml:space="preserve">Puerto de </w:t>
            </w:r>
            <w:proofErr w:type="spellStart"/>
            <w:r w:rsidRPr="00395199">
              <w:rPr>
                <w:rFonts w:ascii="Lucida Bright" w:hAnsi="Lucida Bright" w:cs="Calibri"/>
                <w:color w:val="000000"/>
                <w:sz w:val="14"/>
                <w:szCs w:val="14"/>
                <w:lang w:val="es-ES"/>
              </w:rPr>
              <w:t>Alcúdia</w:t>
            </w:r>
            <w:proofErr w:type="spellEnd"/>
          </w:p>
        </w:tc>
        <w:tc>
          <w:tcPr>
            <w:tcW w:w="1078"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6.570.075,72</w:t>
            </w:r>
          </w:p>
        </w:tc>
        <w:tc>
          <w:tcPr>
            <w:tcW w:w="991"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5.221.660,71</w:t>
            </w:r>
          </w:p>
        </w:tc>
      </w:tr>
      <w:tr w:rsidR="00395199" w:rsidRPr="00395199" w:rsidTr="00395199">
        <w:trPr>
          <w:trHeight w:val="300"/>
        </w:trPr>
        <w:tc>
          <w:tcPr>
            <w:tcW w:w="293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Total</w:t>
            </w:r>
          </w:p>
        </w:tc>
        <w:tc>
          <w:tcPr>
            <w:tcW w:w="1078"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105.180.097,71</w:t>
            </w:r>
          </w:p>
        </w:tc>
        <w:tc>
          <w:tcPr>
            <w:tcW w:w="991"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86.801.418,42</w:t>
            </w:r>
          </w:p>
        </w:tc>
      </w:tr>
    </w:tbl>
    <w:p w:rsidR="00E70917" w:rsidRDefault="00E70917" w:rsidP="002019D4">
      <w:pPr>
        <w:tabs>
          <w:tab w:val="right" w:pos="8364"/>
        </w:tabs>
        <w:ind w:left="567" w:firstLine="284"/>
        <w:jc w:val="both"/>
        <w:rPr>
          <w:b/>
          <w:bCs/>
          <w:sz w:val="32"/>
          <w:szCs w:val="32"/>
        </w:rPr>
      </w:pPr>
      <w:r>
        <w:rPr>
          <w:b/>
          <w:bCs/>
          <w:sz w:val="32"/>
          <w:szCs w:val="32"/>
        </w:rPr>
        <w:tab/>
      </w:r>
    </w:p>
    <w:p w:rsidR="004451E3" w:rsidRDefault="004451E3" w:rsidP="008D534C">
      <w:pPr>
        <w:tabs>
          <w:tab w:val="right" w:pos="8364"/>
        </w:tabs>
        <w:jc w:val="both"/>
        <w:rPr>
          <w:b/>
          <w:bCs/>
          <w:sz w:val="24"/>
          <w:szCs w:val="24"/>
        </w:rPr>
      </w:pPr>
    </w:p>
    <w:p w:rsidR="003A5FF5" w:rsidRPr="00D54A29" w:rsidRDefault="003A5FF5" w:rsidP="008D534C">
      <w:pPr>
        <w:tabs>
          <w:tab w:val="right" w:pos="8364"/>
        </w:tabs>
        <w:jc w:val="both"/>
        <w:rPr>
          <w:rFonts w:ascii="NewBaskerville" w:hAnsi="NewBaskerville"/>
          <w:bCs/>
          <w:sz w:val="24"/>
          <w:szCs w:val="24"/>
          <w:u w:val="single"/>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AE1189" w:rsidRDefault="00AE1189"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533ECB" w:rsidRDefault="00533ECB" w:rsidP="00EF6B46">
      <w:pPr>
        <w:tabs>
          <w:tab w:val="right" w:pos="8364"/>
        </w:tabs>
        <w:ind w:left="567" w:hanging="567"/>
        <w:jc w:val="both"/>
        <w:rPr>
          <w:rFonts w:ascii="NewBaskerville" w:hAnsi="NewBaskerville"/>
          <w:b/>
          <w:bCs/>
          <w:sz w:val="24"/>
          <w:szCs w:val="24"/>
        </w:rPr>
      </w:pPr>
    </w:p>
    <w:p w:rsidR="00EF6B46" w:rsidRPr="00D54A29" w:rsidRDefault="00EF6B46" w:rsidP="00EF6B46">
      <w:pPr>
        <w:tabs>
          <w:tab w:val="right" w:pos="8364"/>
        </w:tabs>
        <w:ind w:left="567" w:hanging="567"/>
        <w:jc w:val="both"/>
        <w:rPr>
          <w:rFonts w:ascii="NewBaskerville" w:hAnsi="NewBaskerville"/>
          <w:b/>
          <w:bCs/>
          <w:sz w:val="24"/>
          <w:szCs w:val="24"/>
        </w:rPr>
      </w:pPr>
      <w:r w:rsidRPr="00D54A29">
        <w:rPr>
          <w:rFonts w:ascii="NewBaskerville" w:hAnsi="NewBaskerville"/>
          <w:b/>
          <w:bCs/>
          <w:sz w:val="24"/>
          <w:szCs w:val="24"/>
        </w:rPr>
        <w:lastRenderedPageBreak/>
        <w:t>1</w:t>
      </w:r>
      <w:r w:rsidR="00A00693" w:rsidRPr="00D54A29">
        <w:rPr>
          <w:rFonts w:ascii="NewBaskerville" w:hAnsi="NewBaskerville"/>
          <w:b/>
          <w:bCs/>
          <w:sz w:val="24"/>
          <w:szCs w:val="24"/>
        </w:rPr>
        <w:t>6</w:t>
      </w:r>
      <w:r w:rsidR="002019D4" w:rsidRPr="00D54A29">
        <w:rPr>
          <w:rFonts w:ascii="NewBaskerville" w:hAnsi="NewBaskerville"/>
          <w:b/>
          <w:bCs/>
          <w:sz w:val="24"/>
          <w:szCs w:val="24"/>
        </w:rPr>
        <w:t xml:space="preserve">. </w:t>
      </w:r>
      <w:r w:rsidRPr="00D54A29">
        <w:rPr>
          <w:rFonts w:ascii="NewBaskerville" w:hAnsi="NewBaskerville"/>
          <w:b/>
          <w:bCs/>
          <w:sz w:val="24"/>
          <w:szCs w:val="24"/>
        </w:rPr>
        <w:t>Número de empleados</w:t>
      </w:r>
    </w:p>
    <w:p w:rsidR="00EF6B46" w:rsidRPr="00EB4317" w:rsidRDefault="00EF6B46" w:rsidP="00EF6B46">
      <w:pPr>
        <w:tabs>
          <w:tab w:val="right" w:pos="8364"/>
        </w:tabs>
        <w:jc w:val="both"/>
        <w:rPr>
          <w:bCs/>
          <w:u w:val="single"/>
        </w:rPr>
      </w:pPr>
    </w:p>
    <w:p w:rsidR="00050985" w:rsidRDefault="00EF6B46" w:rsidP="00EF6B46">
      <w:pPr>
        <w:pStyle w:val="Sangra3detindependiente"/>
        <w:tabs>
          <w:tab w:val="clear" w:pos="5671"/>
          <w:tab w:val="clear" w:pos="7797"/>
          <w:tab w:val="right" w:pos="3403"/>
        </w:tabs>
        <w:spacing w:before="120"/>
        <w:rPr>
          <w:rFonts w:ascii="NewBaskerville" w:hAnsi="NewBaskerville"/>
          <w:bCs/>
          <w:sz w:val="20"/>
          <w:szCs w:val="20"/>
        </w:rPr>
      </w:pPr>
      <w:r w:rsidRPr="00D54A29">
        <w:rPr>
          <w:rFonts w:ascii="NewBaskerville" w:hAnsi="NewBaskerville"/>
          <w:bCs/>
          <w:sz w:val="20"/>
          <w:szCs w:val="20"/>
        </w:rPr>
        <w:t>El número medio de personas em</w:t>
      </w:r>
      <w:r w:rsidR="001164D2" w:rsidRPr="00D54A29">
        <w:rPr>
          <w:rFonts w:ascii="NewBaskerville" w:hAnsi="NewBaskerville"/>
          <w:bCs/>
          <w:sz w:val="20"/>
          <w:szCs w:val="20"/>
        </w:rPr>
        <w:t>p</w:t>
      </w:r>
      <w:r w:rsidR="0061314C" w:rsidRPr="00D54A29">
        <w:rPr>
          <w:rFonts w:ascii="NewBaskerville" w:hAnsi="NewBaskerville"/>
          <w:bCs/>
          <w:sz w:val="20"/>
          <w:szCs w:val="20"/>
        </w:rPr>
        <w:t>leadas durante el ejercicio 202</w:t>
      </w:r>
      <w:r w:rsidR="006C734D">
        <w:rPr>
          <w:rFonts w:ascii="NewBaskerville" w:hAnsi="NewBaskerville"/>
          <w:bCs/>
          <w:sz w:val="20"/>
          <w:szCs w:val="20"/>
        </w:rPr>
        <w:t>3</w:t>
      </w:r>
      <w:r w:rsidRPr="00D54A29">
        <w:rPr>
          <w:rFonts w:ascii="NewBaskerville" w:hAnsi="NewBaskerville"/>
          <w:bCs/>
          <w:sz w:val="20"/>
          <w:szCs w:val="20"/>
        </w:rPr>
        <w:t xml:space="preserve"> ha sido de </w:t>
      </w:r>
      <w:r w:rsidR="009E5B5A" w:rsidRPr="00D54A29">
        <w:rPr>
          <w:rFonts w:ascii="NewBaskerville" w:hAnsi="NewBaskerville"/>
          <w:bCs/>
          <w:sz w:val="20"/>
          <w:szCs w:val="20"/>
        </w:rPr>
        <w:t>3</w:t>
      </w:r>
      <w:r w:rsidR="006C734D">
        <w:rPr>
          <w:rFonts w:ascii="NewBaskerville" w:hAnsi="NewBaskerville"/>
          <w:bCs/>
          <w:sz w:val="20"/>
          <w:szCs w:val="20"/>
        </w:rPr>
        <w:t>1</w:t>
      </w:r>
      <w:r w:rsidR="00F311C1">
        <w:rPr>
          <w:rFonts w:ascii="NewBaskerville" w:hAnsi="NewBaskerville"/>
          <w:bCs/>
          <w:sz w:val="20"/>
          <w:szCs w:val="20"/>
        </w:rPr>
        <w:t>2</w:t>
      </w:r>
      <w:r w:rsidR="009E5B5A" w:rsidRPr="00D54A29">
        <w:rPr>
          <w:rFonts w:ascii="NewBaskerville" w:hAnsi="NewBaskerville"/>
          <w:bCs/>
          <w:sz w:val="20"/>
          <w:szCs w:val="20"/>
        </w:rPr>
        <w:t xml:space="preserve"> </w:t>
      </w:r>
      <w:r w:rsidRPr="00D54A29">
        <w:rPr>
          <w:rFonts w:ascii="NewBaskerville" w:hAnsi="NewBaskerville"/>
          <w:bCs/>
          <w:sz w:val="20"/>
          <w:szCs w:val="20"/>
        </w:rPr>
        <w:t>traba</w:t>
      </w:r>
      <w:r w:rsidR="0061314C" w:rsidRPr="00D54A29">
        <w:rPr>
          <w:rFonts w:ascii="NewBaskerville" w:hAnsi="NewBaskerville"/>
          <w:bCs/>
          <w:sz w:val="20"/>
          <w:szCs w:val="20"/>
        </w:rPr>
        <w:t>ja</w:t>
      </w:r>
      <w:r w:rsidR="009E5B5A" w:rsidRPr="00D54A29">
        <w:rPr>
          <w:rFonts w:ascii="NewBaskerville" w:hAnsi="NewBaskerville"/>
          <w:bCs/>
          <w:sz w:val="20"/>
          <w:szCs w:val="20"/>
        </w:rPr>
        <w:t>dores</w:t>
      </w:r>
      <w:r w:rsidR="0061314C" w:rsidRPr="00D54A29">
        <w:rPr>
          <w:rFonts w:ascii="NewBaskerville" w:hAnsi="NewBaskerville"/>
          <w:bCs/>
          <w:sz w:val="20"/>
          <w:szCs w:val="20"/>
        </w:rPr>
        <w:t xml:space="preserve"> y para el ejercicio 202</w:t>
      </w:r>
      <w:r w:rsidR="006C734D">
        <w:rPr>
          <w:rFonts w:ascii="NewBaskerville" w:hAnsi="NewBaskerville"/>
          <w:bCs/>
          <w:sz w:val="20"/>
          <w:szCs w:val="20"/>
        </w:rPr>
        <w:t>2</w:t>
      </w:r>
      <w:r w:rsidR="00782DC7" w:rsidRPr="00D54A29">
        <w:rPr>
          <w:rFonts w:ascii="NewBaskerville" w:hAnsi="NewBaskerville"/>
          <w:bCs/>
          <w:sz w:val="20"/>
          <w:szCs w:val="20"/>
        </w:rPr>
        <w:t xml:space="preserve"> </w:t>
      </w:r>
      <w:r w:rsidR="008155BC" w:rsidRPr="00D54A29">
        <w:rPr>
          <w:rFonts w:ascii="NewBaskerville" w:hAnsi="NewBaskerville"/>
          <w:bCs/>
          <w:sz w:val="20"/>
          <w:szCs w:val="20"/>
        </w:rPr>
        <w:t>fue</w:t>
      </w:r>
      <w:r w:rsidR="00782DC7" w:rsidRPr="00D54A29">
        <w:rPr>
          <w:rFonts w:ascii="NewBaskerville" w:hAnsi="NewBaskerville"/>
          <w:bCs/>
          <w:sz w:val="20"/>
          <w:szCs w:val="20"/>
        </w:rPr>
        <w:t xml:space="preserve"> de 3</w:t>
      </w:r>
      <w:r w:rsidR="006C734D">
        <w:rPr>
          <w:rFonts w:ascii="NewBaskerville" w:hAnsi="NewBaskerville"/>
          <w:bCs/>
          <w:sz w:val="20"/>
          <w:szCs w:val="20"/>
        </w:rPr>
        <w:t>02</w:t>
      </w:r>
      <w:r w:rsidRPr="00D54A29">
        <w:rPr>
          <w:rFonts w:ascii="NewBaskerville" w:hAnsi="NewBaskerville"/>
          <w:bCs/>
          <w:sz w:val="20"/>
          <w:szCs w:val="20"/>
        </w:rPr>
        <w:t xml:space="preserve"> trabajadores.</w:t>
      </w:r>
    </w:p>
    <w:tbl>
      <w:tblPr>
        <w:tblW w:w="5180" w:type="dxa"/>
        <w:tblInd w:w="60" w:type="dxa"/>
        <w:tblCellMar>
          <w:left w:w="70" w:type="dxa"/>
          <w:right w:w="70" w:type="dxa"/>
        </w:tblCellMar>
        <w:tblLook w:val="04A0" w:firstRow="1" w:lastRow="0" w:firstColumn="1" w:lastColumn="0" w:noHBand="0" w:noVBand="1"/>
      </w:tblPr>
      <w:tblGrid>
        <w:gridCol w:w="2780"/>
        <w:gridCol w:w="1200"/>
        <w:gridCol w:w="1200"/>
      </w:tblGrid>
      <w:tr w:rsidR="006C734D" w:rsidRPr="006C734D" w:rsidTr="006C734D">
        <w:trPr>
          <w:trHeight w:val="315"/>
        </w:trPr>
        <w:tc>
          <w:tcPr>
            <w:tcW w:w="2780" w:type="dxa"/>
            <w:tcBorders>
              <w:top w:val="single" w:sz="8" w:space="0" w:color="auto"/>
              <w:left w:val="single" w:sz="8" w:space="0" w:color="auto"/>
              <w:bottom w:val="single" w:sz="8" w:space="0" w:color="auto"/>
              <w:right w:val="single" w:sz="8" w:space="0" w:color="000000"/>
            </w:tcBorders>
            <w:shd w:val="clear" w:color="000000" w:fill="CCFFCC"/>
            <w:noWrap/>
            <w:vAlign w:val="center"/>
            <w:hideMark/>
          </w:tcPr>
          <w:p w:rsidR="006C734D" w:rsidRPr="006C734D" w:rsidRDefault="006C734D" w:rsidP="006C734D">
            <w:pPr>
              <w:jc w:val="center"/>
              <w:rPr>
                <w:rFonts w:ascii="NewBaskerville" w:hAnsi="NewBaskerville" w:cs="Calibri"/>
                <w:b/>
                <w:bCs/>
                <w:color w:val="000000"/>
                <w:sz w:val="18"/>
                <w:szCs w:val="18"/>
                <w:lang w:val="es-ES"/>
              </w:rPr>
            </w:pPr>
            <w:r w:rsidRPr="006C734D">
              <w:rPr>
                <w:rFonts w:ascii="NewBaskerville" w:hAnsi="NewBaskerville" w:cs="Calibri"/>
                <w:b/>
                <w:bCs/>
                <w:color w:val="000000"/>
                <w:sz w:val="18"/>
                <w:szCs w:val="18"/>
                <w:lang w:val="es-ES"/>
              </w:rPr>
              <w:t>Plantilla media</w:t>
            </w:r>
          </w:p>
        </w:tc>
        <w:tc>
          <w:tcPr>
            <w:tcW w:w="1200" w:type="dxa"/>
            <w:tcBorders>
              <w:top w:val="single" w:sz="8" w:space="0" w:color="auto"/>
              <w:left w:val="nil"/>
              <w:bottom w:val="single" w:sz="8" w:space="0" w:color="auto"/>
              <w:right w:val="single" w:sz="8" w:space="0" w:color="auto"/>
            </w:tcBorders>
            <w:shd w:val="clear" w:color="000000" w:fill="CCFFCC"/>
            <w:noWrap/>
            <w:vAlign w:val="center"/>
            <w:hideMark/>
          </w:tcPr>
          <w:p w:rsidR="006C734D" w:rsidRPr="006C734D" w:rsidRDefault="006C734D" w:rsidP="006C734D">
            <w:pPr>
              <w:jc w:val="center"/>
              <w:rPr>
                <w:rFonts w:ascii="NewBaskerville" w:hAnsi="NewBaskerville" w:cs="Calibri"/>
                <w:b/>
                <w:bCs/>
                <w:color w:val="000000"/>
                <w:sz w:val="18"/>
                <w:szCs w:val="18"/>
                <w:lang w:val="es-ES"/>
              </w:rPr>
            </w:pPr>
            <w:r w:rsidRPr="006C734D">
              <w:rPr>
                <w:rFonts w:ascii="NewBaskerville" w:hAnsi="NewBaskerville" w:cs="Calibri"/>
                <w:b/>
                <w:bCs/>
                <w:color w:val="000000"/>
                <w:sz w:val="18"/>
                <w:szCs w:val="18"/>
                <w:lang w:val="es-ES"/>
              </w:rPr>
              <w:t>2023</w:t>
            </w:r>
          </w:p>
        </w:tc>
        <w:tc>
          <w:tcPr>
            <w:tcW w:w="1200" w:type="dxa"/>
            <w:tcBorders>
              <w:top w:val="single" w:sz="8" w:space="0" w:color="auto"/>
              <w:left w:val="nil"/>
              <w:bottom w:val="single" w:sz="8" w:space="0" w:color="auto"/>
              <w:right w:val="single" w:sz="8" w:space="0" w:color="auto"/>
            </w:tcBorders>
            <w:shd w:val="clear" w:color="000000" w:fill="CCFFCC"/>
            <w:noWrap/>
            <w:vAlign w:val="center"/>
            <w:hideMark/>
          </w:tcPr>
          <w:p w:rsidR="006C734D" w:rsidRPr="006C734D" w:rsidRDefault="006C734D" w:rsidP="006C734D">
            <w:pPr>
              <w:jc w:val="center"/>
              <w:rPr>
                <w:rFonts w:ascii="NewBaskerville" w:hAnsi="NewBaskerville" w:cs="Calibri"/>
                <w:b/>
                <w:bCs/>
                <w:color w:val="000000"/>
                <w:sz w:val="18"/>
                <w:szCs w:val="18"/>
                <w:lang w:val="es-ES"/>
              </w:rPr>
            </w:pPr>
            <w:r w:rsidRPr="006C734D">
              <w:rPr>
                <w:rFonts w:ascii="NewBaskerville" w:hAnsi="NewBaskerville" w:cs="Calibri"/>
                <w:b/>
                <w:bCs/>
                <w:color w:val="000000"/>
                <w:sz w:val="18"/>
                <w:szCs w:val="18"/>
                <w:lang w:val="es-ES"/>
              </w:rPr>
              <w:t>2022</w:t>
            </w:r>
          </w:p>
        </w:tc>
      </w:tr>
      <w:tr w:rsidR="006C734D" w:rsidRPr="006C734D" w:rsidTr="006C734D">
        <w:trPr>
          <w:trHeight w:val="315"/>
        </w:trPr>
        <w:tc>
          <w:tcPr>
            <w:tcW w:w="2780" w:type="dxa"/>
            <w:tcBorders>
              <w:top w:val="nil"/>
              <w:left w:val="single" w:sz="8" w:space="0" w:color="auto"/>
              <w:bottom w:val="single" w:sz="4" w:space="0" w:color="auto"/>
              <w:right w:val="single" w:sz="4" w:space="0" w:color="auto"/>
            </w:tcBorders>
            <w:shd w:val="clear" w:color="auto" w:fill="auto"/>
            <w:noWrap/>
            <w:vAlign w:val="center"/>
            <w:hideMark/>
          </w:tcPr>
          <w:p w:rsidR="006C734D" w:rsidRPr="006C734D" w:rsidRDefault="006C734D" w:rsidP="006C734D">
            <w:pP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Hombres:</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231</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226</w:t>
            </w:r>
          </w:p>
        </w:tc>
      </w:tr>
      <w:tr w:rsidR="006C734D" w:rsidRPr="006C734D" w:rsidTr="006C734D">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C734D" w:rsidRPr="006C734D" w:rsidRDefault="006C734D" w:rsidP="006C734D">
            <w:pP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 Fijos</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207</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165</w:t>
            </w:r>
          </w:p>
        </w:tc>
      </w:tr>
      <w:tr w:rsidR="006C734D" w:rsidRPr="006C734D" w:rsidTr="006C734D">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C734D" w:rsidRPr="006C734D" w:rsidRDefault="006C734D" w:rsidP="006C734D">
            <w:pP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-Temporales</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24</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61</w:t>
            </w:r>
          </w:p>
        </w:tc>
      </w:tr>
      <w:tr w:rsidR="006C734D" w:rsidRPr="006C734D" w:rsidTr="006C734D">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C734D" w:rsidRPr="006C734D" w:rsidRDefault="006C734D" w:rsidP="006C734D">
            <w:pP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Mujeres:</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81</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76</w:t>
            </w:r>
          </w:p>
        </w:tc>
      </w:tr>
      <w:tr w:rsidR="006C734D" w:rsidRPr="006C734D" w:rsidTr="006C734D">
        <w:trPr>
          <w:trHeight w:val="345"/>
        </w:trPr>
        <w:tc>
          <w:tcPr>
            <w:tcW w:w="2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C734D" w:rsidRPr="006C734D" w:rsidRDefault="006C734D" w:rsidP="006C734D">
            <w:pP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-Fijas</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74</w:t>
            </w:r>
          </w:p>
        </w:tc>
        <w:tc>
          <w:tcPr>
            <w:tcW w:w="1200" w:type="dxa"/>
            <w:tcBorders>
              <w:top w:val="nil"/>
              <w:left w:val="nil"/>
              <w:bottom w:val="single" w:sz="4"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53</w:t>
            </w:r>
          </w:p>
        </w:tc>
      </w:tr>
      <w:tr w:rsidR="006C734D" w:rsidRPr="006C734D" w:rsidTr="006C734D">
        <w:trPr>
          <w:trHeight w:val="315"/>
        </w:trPr>
        <w:tc>
          <w:tcPr>
            <w:tcW w:w="2780" w:type="dxa"/>
            <w:tcBorders>
              <w:top w:val="single" w:sz="4" w:space="0" w:color="auto"/>
              <w:left w:val="single" w:sz="8" w:space="0" w:color="auto"/>
              <w:bottom w:val="nil"/>
              <w:right w:val="single" w:sz="4" w:space="0" w:color="auto"/>
            </w:tcBorders>
            <w:shd w:val="clear" w:color="auto" w:fill="auto"/>
            <w:noWrap/>
            <w:vAlign w:val="center"/>
            <w:hideMark/>
          </w:tcPr>
          <w:p w:rsidR="006C734D" w:rsidRPr="006C734D" w:rsidRDefault="006C734D" w:rsidP="006C734D">
            <w:pP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-Temporales</w:t>
            </w:r>
          </w:p>
        </w:tc>
        <w:tc>
          <w:tcPr>
            <w:tcW w:w="1200" w:type="dxa"/>
            <w:tcBorders>
              <w:top w:val="nil"/>
              <w:left w:val="nil"/>
              <w:bottom w:val="nil"/>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7</w:t>
            </w:r>
          </w:p>
        </w:tc>
        <w:tc>
          <w:tcPr>
            <w:tcW w:w="1200" w:type="dxa"/>
            <w:tcBorders>
              <w:top w:val="nil"/>
              <w:left w:val="nil"/>
              <w:bottom w:val="nil"/>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color w:val="000000"/>
                <w:sz w:val="18"/>
                <w:szCs w:val="18"/>
                <w:lang w:val="es-ES"/>
              </w:rPr>
            </w:pPr>
            <w:r w:rsidRPr="006C734D">
              <w:rPr>
                <w:rFonts w:ascii="NewBaskerville" w:hAnsi="NewBaskerville" w:cs="Calibri"/>
                <w:color w:val="000000"/>
                <w:sz w:val="18"/>
                <w:szCs w:val="18"/>
                <w:lang w:val="es-ES"/>
              </w:rPr>
              <w:t>23</w:t>
            </w:r>
          </w:p>
        </w:tc>
      </w:tr>
      <w:tr w:rsidR="006C734D" w:rsidRPr="006C734D" w:rsidTr="006C734D">
        <w:trPr>
          <w:trHeight w:val="315"/>
        </w:trPr>
        <w:tc>
          <w:tcPr>
            <w:tcW w:w="2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C734D" w:rsidRPr="006C734D" w:rsidRDefault="006C734D" w:rsidP="006C734D">
            <w:pPr>
              <w:rPr>
                <w:rFonts w:ascii="NewBaskerville" w:hAnsi="NewBaskerville" w:cs="Calibri"/>
                <w:b/>
                <w:bCs/>
                <w:color w:val="000000"/>
                <w:sz w:val="18"/>
                <w:szCs w:val="18"/>
                <w:lang w:val="es-ES"/>
              </w:rPr>
            </w:pPr>
            <w:r w:rsidRPr="006C734D">
              <w:rPr>
                <w:rFonts w:ascii="NewBaskerville" w:hAnsi="NewBaskerville" w:cs="Calibri"/>
                <w:b/>
                <w:bCs/>
                <w:color w:val="000000"/>
                <w:sz w:val="18"/>
                <w:szCs w:val="18"/>
                <w:lang w:val="es-ES"/>
              </w:rPr>
              <w:t>Total</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b/>
                <w:bCs/>
                <w:color w:val="000000"/>
                <w:sz w:val="18"/>
                <w:szCs w:val="18"/>
                <w:lang w:val="es-ES"/>
              </w:rPr>
            </w:pPr>
            <w:r w:rsidRPr="006C734D">
              <w:rPr>
                <w:rFonts w:ascii="NewBaskerville" w:hAnsi="NewBaskerville" w:cs="Calibri"/>
                <w:b/>
                <w:bCs/>
                <w:color w:val="000000"/>
                <w:sz w:val="18"/>
                <w:szCs w:val="18"/>
                <w:lang w:val="es-ES"/>
              </w:rPr>
              <w:t>312</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6C734D" w:rsidRPr="006C734D" w:rsidRDefault="006C734D" w:rsidP="006C734D">
            <w:pPr>
              <w:jc w:val="center"/>
              <w:rPr>
                <w:rFonts w:ascii="NewBaskerville" w:hAnsi="NewBaskerville" w:cs="Calibri"/>
                <w:b/>
                <w:bCs/>
                <w:color w:val="000000"/>
                <w:sz w:val="18"/>
                <w:szCs w:val="18"/>
                <w:lang w:val="es-ES"/>
              </w:rPr>
            </w:pPr>
            <w:r w:rsidRPr="006C734D">
              <w:rPr>
                <w:rFonts w:ascii="NewBaskerville" w:hAnsi="NewBaskerville" w:cs="Calibri"/>
                <w:b/>
                <w:bCs/>
                <w:color w:val="000000"/>
                <w:sz w:val="18"/>
                <w:szCs w:val="18"/>
                <w:lang w:val="es-ES"/>
              </w:rPr>
              <w:t>302</w:t>
            </w:r>
          </w:p>
        </w:tc>
      </w:tr>
    </w:tbl>
    <w:p w:rsidR="00050985" w:rsidRDefault="00050985" w:rsidP="00EF6B46">
      <w:pPr>
        <w:pStyle w:val="Sangra3detindependiente"/>
        <w:tabs>
          <w:tab w:val="clear" w:pos="5671"/>
          <w:tab w:val="clear" w:pos="7797"/>
          <w:tab w:val="right" w:pos="3403"/>
        </w:tabs>
        <w:spacing w:before="120"/>
        <w:rPr>
          <w:rFonts w:ascii="NewBaskerville" w:hAnsi="NewBaskerville"/>
          <w:bCs/>
          <w:sz w:val="20"/>
          <w:szCs w:val="20"/>
        </w:rPr>
      </w:pPr>
    </w:p>
    <w:p w:rsidR="00050985" w:rsidRPr="00D54A29" w:rsidRDefault="00050985" w:rsidP="00EF6B46">
      <w:pPr>
        <w:pStyle w:val="Sangra3detindependiente"/>
        <w:tabs>
          <w:tab w:val="clear" w:pos="5671"/>
          <w:tab w:val="clear" w:pos="7797"/>
          <w:tab w:val="right" w:pos="3403"/>
        </w:tabs>
        <w:spacing w:before="120"/>
        <w:rPr>
          <w:rFonts w:ascii="NewBaskerville" w:hAnsi="NewBaskerville"/>
          <w:bCs/>
          <w:sz w:val="20"/>
          <w:szCs w:val="20"/>
        </w:rPr>
      </w:pPr>
    </w:p>
    <w:p w:rsidR="000D6E28" w:rsidRDefault="00EF6B46" w:rsidP="00570EBA">
      <w:pPr>
        <w:pStyle w:val="Sangra3detindependiente"/>
        <w:tabs>
          <w:tab w:val="clear" w:pos="5671"/>
          <w:tab w:val="clear" w:pos="7797"/>
          <w:tab w:val="right" w:pos="3403"/>
        </w:tabs>
        <w:spacing w:before="120"/>
        <w:rPr>
          <w:rFonts w:ascii="NewBaskerville" w:hAnsi="NewBaskerville"/>
          <w:bCs/>
          <w:sz w:val="20"/>
          <w:szCs w:val="20"/>
        </w:rPr>
      </w:pPr>
      <w:r w:rsidRPr="00D54A29">
        <w:rPr>
          <w:rFonts w:ascii="NewBaskerville" w:hAnsi="NewBaskerville"/>
          <w:bCs/>
          <w:sz w:val="20"/>
          <w:szCs w:val="20"/>
        </w:rPr>
        <w:t>El desglose por sexos y categorías de la plantilla al cierre de los ejercicios 20</w:t>
      </w:r>
      <w:r w:rsidR="0061314C" w:rsidRPr="00D54A29">
        <w:rPr>
          <w:rFonts w:ascii="NewBaskerville" w:hAnsi="NewBaskerville"/>
          <w:bCs/>
          <w:sz w:val="20"/>
          <w:szCs w:val="20"/>
        </w:rPr>
        <w:t>2</w:t>
      </w:r>
      <w:r w:rsidR="006C734D">
        <w:rPr>
          <w:rFonts w:ascii="NewBaskerville" w:hAnsi="NewBaskerville"/>
          <w:bCs/>
          <w:sz w:val="20"/>
          <w:szCs w:val="20"/>
        </w:rPr>
        <w:t>3</w:t>
      </w:r>
      <w:r w:rsidR="0061314C" w:rsidRPr="00D54A29">
        <w:rPr>
          <w:rFonts w:ascii="NewBaskerville" w:hAnsi="NewBaskerville"/>
          <w:bCs/>
          <w:sz w:val="20"/>
          <w:szCs w:val="20"/>
        </w:rPr>
        <w:t xml:space="preserve"> y 202</w:t>
      </w:r>
      <w:r w:rsidR="006C734D">
        <w:rPr>
          <w:rFonts w:ascii="NewBaskerville" w:hAnsi="NewBaskerville"/>
          <w:bCs/>
          <w:sz w:val="20"/>
          <w:szCs w:val="20"/>
        </w:rPr>
        <w:t>2</w:t>
      </w:r>
      <w:r w:rsidR="008C2E68" w:rsidRPr="00D54A29">
        <w:rPr>
          <w:rFonts w:ascii="NewBaskerville" w:hAnsi="NewBaskerville"/>
          <w:bCs/>
          <w:sz w:val="20"/>
          <w:szCs w:val="20"/>
        </w:rPr>
        <w:t xml:space="preserve"> es el siguiente:</w:t>
      </w:r>
    </w:p>
    <w:p w:rsidR="0058608E" w:rsidRDefault="0058608E" w:rsidP="00570EBA">
      <w:pPr>
        <w:pStyle w:val="Sangra3detindependiente"/>
        <w:tabs>
          <w:tab w:val="clear" w:pos="5671"/>
          <w:tab w:val="clear" w:pos="7797"/>
          <w:tab w:val="right" w:pos="3403"/>
        </w:tabs>
        <w:spacing w:before="120"/>
        <w:rPr>
          <w:rFonts w:ascii="NewBaskerville" w:hAnsi="NewBaskerville"/>
          <w:bCs/>
          <w:sz w:val="20"/>
          <w:szCs w:val="20"/>
        </w:rPr>
      </w:pPr>
    </w:p>
    <w:tbl>
      <w:tblPr>
        <w:tblW w:w="8200" w:type="dxa"/>
        <w:tblInd w:w="70" w:type="dxa"/>
        <w:tblCellMar>
          <w:left w:w="70" w:type="dxa"/>
          <w:right w:w="70" w:type="dxa"/>
        </w:tblCellMar>
        <w:tblLook w:val="04A0" w:firstRow="1" w:lastRow="0" w:firstColumn="1" w:lastColumn="0" w:noHBand="0" w:noVBand="1"/>
      </w:tblPr>
      <w:tblGrid>
        <w:gridCol w:w="1216"/>
        <w:gridCol w:w="1216"/>
        <w:gridCol w:w="1216"/>
        <w:gridCol w:w="2191"/>
        <w:gridCol w:w="2361"/>
      </w:tblGrid>
      <w:tr w:rsidR="0058608E" w:rsidRPr="0058608E" w:rsidTr="0058608E">
        <w:trPr>
          <w:trHeight w:val="315"/>
        </w:trPr>
        <w:tc>
          <w:tcPr>
            <w:tcW w:w="1216" w:type="dxa"/>
            <w:tcBorders>
              <w:top w:val="nil"/>
              <w:left w:val="nil"/>
              <w:bottom w:val="nil"/>
              <w:right w:val="nil"/>
            </w:tcBorders>
            <w:shd w:val="clear" w:color="auto" w:fill="auto"/>
            <w:noWrap/>
            <w:vAlign w:val="bottom"/>
            <w:hideMark/>
          </w:tcPr>
          <w:p w:rsidR="0058608E" w:rsidRPr="0058608E" w:rsidRDefault="0058608E" w:rsidP="0058608E">
            <w:pPr>
              <w:rPr>
                <w:rFonts w:ascii="Calibri" w:hAnsi="Calibri" w:cs="Calibri"/>
                <w:color w:val="000000"/>
                <w:sz w:val="22"/>
                <w:szCs w:val="22"/>
                <w:lang w:val="es-ES"/>
              </w:rPr>
            </w:pPr>
          </w:p>
        </w:tc>
        <w:tc>
          <w:tcPr>
            <w:tcW w:w="1216" w:type="dxa"/>
            <w:tcBorders>
              <w:top w:val="nil"/>
              <w:left w:val="nil"/>
              <w:bottom w:val="nil"/>
              <w:right w:val="nil"/>
            </w:tcBorders>
            <w:shd w:val="clear" w:color="auto" w:fill="auto"/>
            <w:noWrap/>
            <w:vAlign w:val="bottom"/>
            <w:hideMark/>
          </w:tcPr>
          <w:p w:rsidR="0058608E" w:rsidRPr="0058608E" w:rsidRDefault="0058608E" w:rsidP="0058608E">
            <w:pPr>
              <w:rPr>
                <w:rFonts w:ascii="Calibri" w:hAnsi="Calibri" w:cs="Calibri"/>
                <w:color w:val="000000"/>
                <w:sz w:val="22"/>
                <w:szCs w:val="22"/>
                <w:lang w:val="es-ES"/>
              </w:rPr>
            </w:pPr>
          </w:p>
        </w:tc>
        <w:tc>
          <w:tcPr>
            <w:tcW w:w="1216" w:type="dxa"/>
            <w:tcBorders>
              <w:top w:val="nil"/>
              <w:left w:val="nil"/>
              <w:bottom w:val="nil"/>
              <w:right w:val="nil"/>
            </w:tcBorders>
            <w:shd w:val="clear" w:color="auto" w:fill="auto"/>
            <w:noWrap/>
            <w:vAlign w:val="bottom"/>
            <w:hideMark/>
          </w:tcPr>
          <w:p w:rsidR="0058608E" w:rsidRPr="0058608E" w:rsidRDefault="0058608E" w:rsidP="0058608E">
            <w:pPr>
              <w:rPr>
                <w:rFonts w:ascii="Calibri" w:hAnsi="Calibri" w:cs="Calibri"/>
                <w:color w:val="000000"/>
                <w:sz w:val="22"/>
                <w:szCs w:val="22"/>
                <w:lang w:val="es-ES"/>
              </w:rPr>
            </w:pPr>
          </w:p>
        </w:tc>
        <w:tc>
          <w:tcPr>
            <w:tcW w:w="4552" w:type="dxa"/>
            <w:gridSpan w:val="2"/>
            <w:tcBorders>
              <w:top w:val="single" w:sz="8" w:space="0" w:color="auto"/>
              <w:left w:val="single" w:sz="8" w:space="0" w:color="auto"/>
              <w:bottom w:val="nil"/>
              <w:right w:val="single" w:sz="4" w:space="0" w:color="auto"/>
            </w:tcBorders>
            <w:shd w:val="clear" w:color="000000" w:fill="CCFFCC"/>
            <w:noWrap/>
            <w:vAlign w:val="bottom"/>
            <w:hideMark/>
          </w:tcPr>
          <w:p w:rsidR="0058608E" w:rsidRPr="0058608E" w:rsidRDefault="0058608E" w:rsidP="0058608E">
            <w:pPr>
              <w:jc w:val="center"/>
              <w:rPr>
                <w:rFonts w:ascii="NewBaskerville" w:hAnsi="NewBaskerville" w:cs="Calibri"/>
                <w:b/>
                <w:bCs/>
                <w:color w:val="000000"/>
                <w:sz w:val="18"/>
                <w:szCs w:val="18"/>
                <w:lang w:val="es-ES"/>
              </w:rPr>
            </w:pPr>
            <w:r w:rsidRPr="0058608E">
              <w:rPr>
                <w:rFonts w:ascii="NewBaskerville" w:hAnsi="NewBaskerville" w:cs="Calibri"/>
                <w:b/>
                <w:bCs/>
                <w:color w:val="000000"/>
                <w:sz w:val="18"/>
                <w:szCs w:val="18"/>
                <w:lang w:val="es-ES"/>
              </w:rPr>
              <w:t>2023</w:t>
            </w:r>
          </w:p>
        </w:tc>
      </w:tr>
      <w:tr w:rsidR="0058608E" w:rsidRPr="0058608E" w:rsidTr="0058608E">
        <w:trPr>
          <w:trHeight w:val="315"/>
        </w:trPr>
        <w:tc>
          <w:tcPr>
            <w:tcW w:w="3648" w:type="dxa"/>
            <w:gridSpan w:val="3"/>
            <w:tcBorders>
              <w:top w:val="single" w:sz="8" w:space="0" w:color="auto"/>
              <w:left w:val="single" w:sz="8" w:space="0" w:color="auto"/>
              <w:bottom w:val="single" w:sz="8" w:space="0" w:color="auto"/>
              <w:right w:val="single" w:sz="4" w:space="0" w:color="000000"/>
            </w:tcBorders>
            <w:shd w:val="clear" w:color="000000" w:fill="CCFFCC"/>
            <w:vAlign w:val="center"/>
            <w:hideMark/>
          </w:tcPr>
          <w:p w:rsidR="0058608E" w:rsidRPr="0058608E" w:rsidRDefault="0058608E" w:rsidP="0058608E">
            <w:pPr>
              <w:jc w:val="center"/>
              <w:rPr>
                <w:rFonts w:ascii="NewBaskerville" w:hAnsi="NewBaskerville" w:cs="Calibri"/>
                <w:b/>
                <w:bCs/>
                <w:sz w:val="18"/>
                <w:szCs w:val="18"/>
                <w:lang w:val="es-ES"/>
              </w:rPr>
            </w:pPr>
            <w:r w:rsidRPr="0058608E">
              <w:rPr>
                <w:rFonts w:ascii="NewBaskerville" w:hAnsi="NewBaskerville" w:cs="Calibri"/>
                <w:b/>
                <w:bCs/>
                <w:sz w:val="18"/>
                <w:szCs w:val="18"/>
                <w:lang w:val="es-ES"/>
              </w:rPr>
              <w:t>Categoría</w:t>
            </w:r>
          </w:p>
        </w:tc>
        <w:tc>
          <w:tcPr>
            <w:tcW w:w="2191" w:type="dxa"/>
            <w:tcBorders>
              <w:top w:val="single" w:sz="8" w:space="0" w:color="auto"/>
              <w:left w:val="nil"/>
              <w:bottom w:val="single" w:sz="8" w:space="0" w:color="auto"/>
              <w:right w:val="single" w:sz="4" w:space="0" w:color="auto"/>
            </w:tcBorders>
            <w:shd w:val="clear" w:color="000000" w:fill="CCFFCC"/>
            <w:vAlign w:val="center"/>
            <w:hideMark/>
          </w:tcPr>
          <w:p w:rsidR="0058608E" w:rsidRPr="0058608E" w:rsidRDefault="0058608E" w:rsidP="0058608E">
            <w:pPr>
              <w:jc w:val="center"/>
              <w:rPr>
                <w:rFonts w:ascii="NewBaskerville" w:hAnsi="NewBaskerville" w:cs="Calibri"/>
                <w:b/>
                <w:bCs/>
                <w:sz w:val="18"/>
                <w:szCs w:val="18"/>
                <w:lang w:val="es-ES"/>
              </w:rPr>
            </w:pPr>
            <w:r w:rsidRPr="0058608E">
              <w:rPr>
                <w:rFonts w:ascii="NewBaskerville" w:hAnsi="NewBaskerville" w:cs="Calibri"/>
                <w:b/>
                <w:bCs/>
                <w:sz w:val="18"/>
                <w:szCs w:val="18"/>
                <w:lang w:val="es-ES"/>
              </w:rPr>
              <w:t>Hombres</w:t>
            </w:r>
          </w:p>
        </w:tc>
        <w:tc>
          <w:tcPr>
            <w:tcW w:w="2361" w:type="dxa"/>
            <w:tcBorders>
              <w:top w:val="single" w:sz="8" w:space="0" w:color="auto"/>
              <w:left w:val="single" w:sz="4" w:space="0" w:color="auto"/>
              <w:bottom w:val="single" w:sz="8" w:space="0" w:color="auto"/>
              <w:right w:val="single" w:sz="8" w:space="0" w:color="000000"/>
            </w:tcBorders>
            <w:shd w:val="clear" w:color="000000" w:fill="CCFFCC"/>
            <w:vAlign w:val="center"/>
            <w:hideMark/>
          </w:tcPr>
          <w:p w:rsidR="0058608E" w:rsidRPr="0058608E" w:rsidRDefault="0058608E" w:rsidP="0058608E">
            <w:pPr>
              <w:jc w:val="center"/>
              <w:rPr>
                <w:rFonts w:ascii="NewBaskerville" w:hAnsi="NewBaskerville" w:cs="Calibri"/>
                <w:b/>
                <w:bCs/>
                <w:color w:val="000000"/>
                <w:sz w:val="18"/>
                <w:szCs w:val="18"/>
                <w:lang w:val="es-ES"/>
              </w:rPr>
            </w:pPr>
            <w:r w:rsidRPr="0058608E">
              <w:rPr>
                <w:rFonts w:ascii="NewBaskerville" w:hAnsi="NewBaskerville" w:cs="Calibri"/>
                <w:b/>
                <w:bCs/>
                <w:color w:val="000000"/>
                <w:sz w:val="18"/>
                <w:szCs w:val="18"/>
                <w:lang w:val="es-ES"/>
              </w:rPr>
              <w:t>Mujeres</w:t>
            </w:r>
          </w:p>
        </w:tc>
      </w:tr>
      <w:tr w:rsidR="0058608E" w:rsidRPr="0058608E" w:rsidTr="0058608E">
        <w:trPr>
          <w:trHeight w:val="300"/>
        </w:trPr>
        <w:tc>
          <w:tcPr>
            <w:tcW w:w="3648" w:type="dxa"/>
            <w:gridSpan w:val="3"/>
            <w:tcBorders>
              <w:top w:val="nil"/>
              <w:left w:val="single" w:sz="8" w:space="0" w:color="auto"/>
              <w:bottom w:val="single" w:sz="4" w:space="0" w:color="000000"/>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Altos cargos y Fuera de Convenio</w:t>
            </w:r>
          </w:p>
        </w:tc>
        <w:tc>
          <w:tcPr>
            <w:tcW w:w="2191" w:type="dxa"/>
            <w:tcBorders>
              <w:top w:val="nil"/>
              <w:left w:val="nil"/>
              <w:bottom w:val="single" w:sz="4" w:space="0" w:color="000000"/>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21</w:t>
            </w:r>
          </w:p>
        </w:tc>
        <w:tc>
          <w:tcPr>
            <w:tcW w:w="2361" w:type="dxa"/>
            <w:tcBorders>
              <w:top w:val="nil"/>
              <w:left w:val="single" w:sz="4" w:space="0" w:color="auto"/>
              <w:bottom w:val="single" w:sz="4" w:space="0" w:color="000000"/>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5</w:t>
            </w:r>
          </w:p>
        </w:tc>
      </w:tr>
      <w:tr w:rsidR="0058608E" w:rsidRPr="0058608E" w:rsidTr="0058608E">
        <w:trPr>
          <w:trHeight w:val="300"/>
        </w:trPr>
        <w:tc>
          <w:tcPr>
            <w:tcW w:w="3648"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Responsables</w:t>
            </w:r>
          </w:p>
        </w:tc>
        <w:tc>
          <w:tcPr>
            <w:tcW w:w="2191" w:type="dxa"/>
            <w:tcBorders>
              <w:top w:val="single" w:sz="4" w:space="0" w:color="000000"/>
              <w:left w:val="nil"/>
              <w:bottom w:val="single" w:sz="4" w:space="0" w:color="000000"/>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28</w:t>
            </w:r>
          </w:p>
        </w:tc>
        <w:tc>
          <w:tcPr>
            <w:tcW w:w="2361"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16</w:t>
            </w:r>
          </w:p>
        </w:tc>
      </w:tr>
      <w:tr w:rsidR="0058608E" w:rsidRPr="0058608E" w:rsidTr="0058608E">
        <w:trPr>
          <w:trHeight w:val="300"/>
        </w:trPr>
        <w:tc>
          <w:tcPr>
            <w:tcW w:w="3648"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Técnicos</w:t>
            </w:r>
          </w:p>
        </w:tc>
        <w:tc>
          <w:tcPr>
            <w:tcW w:w="2191" w:type="dxa"/>
            <w:tcBorders>
              <w:top w:val="single" w:sz="4" w:space="0" w:color="000000"/>
              <w:left w:val="nil"/>
              <w:bottom w:val="single" w:sz="4" w:space="0" w:color="000000"/>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43</w:t>
            </w:r>
          </w:p>
        </w:tc>
        <w:tc>
          <w:tcPr>
            <w:tcW w:w="2361"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24</w:t>
            </w:r>
          </w:p>
        </w:tc>
      </w:tr>
      <w:tr w:rsidR="0058608E" w:rsidRPr="0058608E" w:rsidTr="0058608E">
        <w:trPr>
          <w:trHeight w:val="300"/>
        </w:trPr>
        <w:tc>
          <w:tcPr>
            <w:tcW w:w="3648"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Jefes de Equipo</w:t>
            </w:r>
          </w:p>
        </w:tc>
        <w:tc>
          <w:tcPr>
            <w:tcW w:w="2191" w:type="dxa"/>
            <w:tcBorders>
              <w:top w:val="single" w:sz="4" w:space="0" w:color="000000"/>
              <w:left w:val="nil"/>
              <w:bottom w:val="single" w:sz="4" w:space="0" w:color="000000"/>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18</w:t>
            </w:r>
          </w:p>
        </w:tc>
        <w:tc>
          <w:tcPr>
            <w:tcW w:w="2361"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1</w:t>
            </w:r>
          </w:p>
        </w:tc>
      </w:tr>
      <w:tr w:rsidR="0058608E" w:rsidRPr="0058608E" w:rsidTr="0058608E">
        <w:trPr>
          <w:trHeight w:val="315"/>
        </w:trPr>
        <w:tc>
          <w:tcPr>
            <w:tcW w:w="3648" w:type="dxa"/>
            <w:gridSpan w:val="3"/>
            <w:tcBorders>
              <w:top w:val="single" w:sz="4" w:space="0" w:color="000000"/>
              <w:left w:val="single" w:sz="8" w:space="0" w:color="auto"/>
              <w:bottom w:val="nil"/>
              <w:right w:val="single" w:sz="4" w:space="0" w:color="000000"/>
            </w:tcBorders>
            <w:shd w:val="clear" w:color="auto" w:fill="auto"/>
            <w:vAlign w:val="center"/>
            <w:hideMark/>
          </w:tcPr>
          <w:p w:rsidR="0058608E" w:rsidRPr="0058608E" w:rsidRDefault="0058608E" w:rsidP="0058608E">
            <w:pPr>
              <w:rPr>
                <w:rFonts w:ascii="NewBaskerville" w:hAnsi="NewBaskerville" w:cs="Calibri"/>
                <w:sz w:val="18"/>
                <w:szCs w:val="18"/>
                <w:lang w:val="es-ES"/>
              </w:rPr>
            </w:pPr>
            <w:r w:rsidRPr="0058608E">
              <w:rPr>
                <w:rFonts w:ascii="NewBaskerville" w:hAnsi="NewBaskerville" w:cs="Calibri"/>
                <w:sz w:val="18"/>
                <w:szCs w:val="18"/>
                <w:lang w:val="es-ES"/>
              </w:rPr>
              <w:t>Policía Portuaria, administrativos, oficiales</w:t>
            </w:r>
          </w:p>
        </w:tc>
        <w:tc>
          <w:tcPr>
            <w:tcW w:w="2191" w:type="dxa"/>
            <w:tcBorders>
              <w:top w:val="single" w:sz="4" w:space="0" w:color="000000"/>
              <w:left w:val="nil"/>
              <w:bottom w:val="nil"/>
              <w:right w:val="nil"/>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125</w:t>
            </w:r>
          </w:p>
        </w:tc>
        <w:tc>
          <w:tcPr>
            <w:tcW w:w="2361" w:type="dxa"/>
            <w:tcBorders>
              <w:top w:val="single" w:sz="4" w:space="0" w:color="000000"/>
              <w:left w:val="single" w:sz="4" w:space="0" w:color="auto"/>
              <w:bottom w:val="nil"/>
              <w:right w:val="single" w:sz="8" w:space="0" w:color="000000"/>
            </w:tcBorders>
            <w:shd w:val="clear" w:color="auto" w:fill="auto"/>
            <w:noWrap/>
            <w:vAlign w:val="center"/>
            <w:hideMark/>
          </w:tcPr>
          <w:p w:rsidR="0058608E" w:rsidRPr="0058608E" w:rsidRDefault="0058608E" w:rsidP="0058608E">
            <w:pPr>
              <w:jc w:val="center"/>
              <w:rPr>
                <w:rFonts w:ascii="NewBaskerville" w:hAnsi="NewBaskerville" w:cs="Calibri"/>
                <w:color w:val="000000"/>
                <w:sz w:val="18"/>
                <w:szCs w:val="18"/>
                <w:lang w:val="es-ES"/>
              </w:rPr>
            </w:pPr>
            <w:r w:rsidRPr="0058608E">
              <w:rPr>
                <w:rFonts w:ascii="NewBaskerville" w:hAnsi="NewBaskerville" w:cs="Calibri"/>
                <w:color w:val="000000"/>
                <w:sz w:val="18"/>
                <w:szCs w:val="18"/>
                <w:lang w:val="es-ES"/>
              </w:rPr>
              <w:t>43</w:t>
            </w:r>
          </w:p>
        </w:tc>
      </w:tr>
      <w:tr w:rsidR="0058608E" w:rsidRPr="0058608E" w:rsidTr="0058608E">
        <w:trPr>
          <w:trHeight w:val="315"/>
        </w:trPr>
        <w:tc>
          <w:tcPr>
            <w:tcW w:w="3648" w:type="dxa"/>
            <w:gridSpan w:val="3"/>
            <w:tcBorders>
              <w:top w:val="single" w:sz="8" w:space="0" w:color="auto"/>
              <w:left w:val="single" w:sz="8" w:space="0" w:color="auto"/>
              <w:bottom w:val="single" w:sz="8" w:space="0" w:color="auto"/>
              <w:right w:val="single" w:sz="4" w:space="0" w:color="000000"/>
            </w:tcBorders>
            <w:shd w:val="clear" w:color="auto" w:fill="auto"/>
            <w:hideMark/>
          </w:tcPr>
          <w:p w:rsidR="0058608E" w:rsidRPr="0058608E" w:rsidRDefault="0058608E" w:rsidP="0058608E">
            <w:pPr>
              <w:rPr>
                <w:rFonts w:ascii="NewBaskerville" w:hAnsi="NewBaskerville" w:cs="Calibri"/>
                <w:b/>
                <w:bCs/>
                <w:sz w:val="18"/>
                <w:szCs w:val="18"/>
                <w:lang w:val="es-ES"/>
              </w:rPr>
            </w:pPr>
            <w:r w:rsidRPr="0058608E">
              <w:rPr>
                <w:rFonts w:ascii="NewBaskerville" w:hAnsi="NewBaskerville" w:cs="Calibri"/>
                <w:b/>
                <w:bCs/>
                <w:sz w:val="18"/>
                <w:szCs w:val="18"/>
                <w:lang w:val="es-ES"/>
              </w:rPr>
              <w:t>TOTAL</w:t>
            </w:r>
          </w:p>
        </w:tc>
        <w:tc>
          <w:tcPr>
            <w:tcW w:w="2191" w:type="dxa"/>
            <w:tcBorders>
              <w:top w:val="single" w:sz="8" w:space="0" w:color="auto"/>
              <w:left w:val="nil"/>
              <w:bottom w:val="single" w:sz="8" w:space="0" w:color="auto"/>
              <w:right w:val="nil"/>
            </w:tcBorders>
            <w:shd w:val="clear" w:color="000000" w:fill="FFFFFF"/>
            <w:noWrap/>
            <w:vAlign w:val="center"/>
            <w:hideMark/>
          </w:tcPr>
          <w:p w:rsidR="0058608E" w:rsidRPr="0058608E" w:rsidRDefault="0058608E" w:rsidP="0058608E">
            <w:pPr>
              <w:jc w:val="center"/>
              <w:rPr>
                <w:rFonts w:ascii="NewBaskerville" w:hAnsi="NewBaskerville" w:cs="Calibri"/>
                <w:b/>
                <w:bCs/>
                <w:color w:val="000000"/>
                <w:sz w:val="18"/>
                <w:szCs w:val="18"/>
                <w:lang w:val="es-ES"/>
              </w:rPr>
            </w:pPr>
            <w:r w:rsidRPr="0058608E">
              <w:rPr>
                <w:rFonts w:ascii="NewBaskerville" w:hAnsi="NewBaskerville" w:cs="Calibri"/>
                <w:b/>
                <w:bCs/>
                <w:color w:val="000000"/>
                <w:sz w:val="18"/>
                <w:szCs w:val="18"/>
                <w:lang w:val="es-ES"/>
              </w:rPr>
              <w:t>235</w:t>
            </w:r>
          </w:p>
        </w:tc>
        <w:tc>
          <w:tcPr>
            <w:tcW w:w="2361" w:type="dxa"/>
            <w:tcBorders>
              <w:top w:val="single" w:sz="8" w:space="0" w:color="auto"/>
              <w:left w:val="single" w:sz="4" w:space="0" w:color="auto"/>
              <w:bottom w:val="single" w:sz="8" w:space="0" w:color="auto"/>
              <w:right w:val="single" w:sz="8" w:space="0" w:color="000000"/>
            </w:tcBorders>
            <w:shd w:val="clear" w:color="000000" w:fill="FFFFFF"/>
            <w:noWrap/>
            <w:vAlign w:val="center"/>
            <w:hideMark/>
          </w:tcPr>
          <w:p w:rsidR="0058608E" w:rsidRPr="0058608E" w:rsidRDefault="0058608E" w:rsidP="0058608E">
            <w:pPr>
              <w:jc w:val="center"/>
              <w:rPr>
                <w:rFonts w:ascii="NewBaskerville" w:hAnsi="NewBaskerville" w:cs="Calibri"/>
                <w:b/>
                <w:bCs/>
                <w:color w:val="000000"/>
                <w:sz w:val="18"/>
                <w:szCs w:val="18"/>
                <w:lang w:val="es-ES"/>
              </w:rPr>
            </w:pPr>
            <w:r w:rsidRPr="0058608E">
              <w:rPr>
                <w:rFonts w:ascii="NewBaskerville" w:hAnsi="NewBaskerville" w:cs="Calibri"/>
                <w:b/>
                <w:bCs/>
                <w:color w:val="000000"/>
                <w:sz w:val="18"/>
                <w:szCs w:val="18"/>
                <w:lang w:val="es-ES"/>
              </w:rPr>
              <w:t>89</w:t>
            </w:r>
          </w:p>
        </w:tc>
      </w:tr>
    </w:tbl>
    <w:p w:rsidR="0058608E" w:rsidRDefault="0058608E" w:rsidP="00570EBA">
      <w:pPr>
        <w:pStyle w:val="Sangra3detindependiente"/>
        <w:tabs>
          <w:tab w:val="clear" w:pos="5671"/>
          <w:tab w:val="clear" w:pos="7797"/>
          <w:tab w:val="right" w:pos="3403"/>
        </w:tabs>
        <w:spacing w:before="120"/>
        <w:rPr>
          <w:rFonts w:ascii="NewBaskerville" w:hAnsi="NewBaskerville"/>
          <w:bCs/>
          <w:sz w:val="20"/>
          <w:szCs w:val="20"/>
        </w:rPr>
      </w:pPr>
    </w:p>
    <w:p w:rsidR="0058608E" w:rsidRPr="00D54A29" w:rsidRDefault="0058608E" w:rsidP="00570EBA">
      <w:pPr>
        <w:pStyle w:val="Sangra3detindependiente"/>
        <w:tabs>
          <w:tab w:val="clear" w:pos="5671"/>
          <w:tab w:val="clear" w:pos="7797"/>
          <w:tab w:val="right" w:pos="3403"/>
        </w:tabs>
        <w:spacing w:before="120"/>
        <w:rPr>
          <w:rFonts w:ascii="NewBaskerville" w:hAnsi="NewBaskerville"/>
          <w:bCs/>
          <w:sz w:val="20"/>
          <w:szCs w:val="20"/>
        </w:rPr>
      </w:pPr>
    </w:p>
    <w:tbl>
      <w:tblPr>
        <w:tblW w:w="8200" w:type="dxa"/>
        <w:tblInd w:w="70" w:type="dxa"/>
        <w:tblCellMar>
          <w:left w:w="70" w:type="dxa"/>
          <w:right w:w="70" w:type="dxa"/>
        </w:tblCellMar>
        <w:tblLook w:val="04A0" w:firstRow="1" w:lastRow="0" w:firstColumn="1" w:lastColumn="0" w:noHBand="0" w:noVBand="1"/>
      </w:tblPr>
      <w:tblGrid>
        <w:gridCol w:w="1200"/>
        <w:gridCol w:w="1200"/>
        <w:gridCol w:w="1200"/>
        <w:gridCol w:w="2200"/>
        <w:gridCol w:w="2400"/>
      </w:tblGrid>
      <w:tr w:rsidR="00423C1D" w:rsidRPr="00423C1D" w:rsidTr="00423C1D">
        <w:trPr>
          <w:trHeight w:val="315"/>
        </w:trPr>
        <w:tc>
          <w:tcPr>
            <w:tcW w:w="1200" w:type="dxa"/>
            <w:tcBorders>
              <w:top w:val="nil"/>
              <w:left w:val="nil"/>
              <w:bottom w:val="nil"/>
              <w:right w:val="nil"/>
            </w:tcBorders>
            <w:shd w:val="clear" w:color="auto" w:fill="auto"/>
            <w:noWrap/>
            <w:vAlign w:val="bottom"/>
            <w:hideMark/>
          </w:tcPr>
          <w:p w:rsidR="00423C1D" w:rsidRPr="00423C1D" w:rsidRDefault="00423C1D" w:rsidP="00423C1D">
            <w:pPr>
              <w:rPr>
                <w:rFonts w:ascii="Calibri" w:hAnsi="Calibri" w:cs="Calibri"/>
                <w:color w:val="000000"/>
                <w:sz w:val="22"/>
                <w:szCs w:val="22"/>
                <w:lang w:val="es-ES"/>
              </w:rPr>
            </w:pPr>
          </w:p>
        </w:tc>
        <w:tc>
          <w:tcPr>
            <w:tcW w:w="1200" w:type="dxa"/>
            <w:tcBorders>
              <w:top w:val="nil"/>
              <w:left w:val="nil"/>
              <w:bottom w:val="nil"/>
              <w:right w:val="nil"/>
            </w:tcBorders>
            <w:shd w:val="clear" w:color="auto" w:fill="auto"/>
            <w:noWrap/>
            <w:vAlign w:val="bottom"/>
            <w:hideMark/>
          </w:tcPr>
          <w:p w:rsidR="00423C1D" w:rsidRPr="00423C1D" w:rsidRDefault="00423C1D" w:rsidP="00423C1D">
            <w:pPr>
              <w:rPr>
                <w:rFonts w:ascii="Calibri" w:hAnsi="Calibri" w:cs="Calibri"/>
                <w:color w:val="000000"/>
                <w:sz w:val="22"/>
                <w:szCs w:val="22"/>
                <w:lang w:val="es-ES"/>
              </w:rPr>
            </w:pPr>
          </w:p>
        </w:tc>
        <w:tc>
          <w:tcPr>
            <w:tcW w:w="1200" w:type="dxa"/>
            <w:tcBorders>
              <w:top w:val="nil"/>
              <w:left w:val="nil"/>
              <w:bottom w:val="nil"/>
              <w:right w:val="nil"/>
            </w:tcBorders>
            <w:shd w:val="clear" w:color="auto" w:fill="auto"/>
            <w:noWrap/>
            <w:vAlign w:val="bottom"/>
            <w:hideMark/>
          </w:tcPr>
          <w:p w:rsidR="00423C1D" w:rsidRPr="00423C1D" w:rsidRDefault="00423C1D" w:rsidP="00423C1D">
            <w:pPr>
              <w:rPr>
                <w:rFonts w:ascii="Calibri" w:hAnsi="Calibri" w:cs="Calibri"/>
                <w:color w:val="000000"/>
                <w:sz w:val="22"/>
                <w:szCs w:val="22"/>
                <w:lang w:val="es-ES"/>
              </w:rPr>
            </w:pPr>
          </w:p>
        </w:tc>
        <w:tc>
          <w:tcPr>
            <w:tcW w:w="4600" w:type="dxa"/>
            <w:gridSpan w:val="2"/>
            <w:tcBorders>
              <w:top w:val="single" w:sz="8" w:space="0" w:color="auto"/>
              <w:left w:val="single" w:sz="8" w:space="0" w:color="auto"/>
              <w:bottom w:val="nil"/>
              <w:right w:val="single" w:sz="4" w:space="0" w:color="auto"/>
            </w:tcBorders>
            <w:shd w:val="clear" w:color="000000" w:fill="CCFFCC"/>
            <w:noWrap/>
            <w:vAlign w:val="bottom"/>
            <w:hideMark/>
          </w:tcPr>
          <w:p w:rsidR="00423C1D" w:rsidRPr="00423C1D" w:rsidRDefault="00423C1D" w:rsidP="00423C1D">
            <w:pPr>
              <w:jc w:val="center"/>
              <w:rPr>
                <w:rFonts w:ascii="NewBaskerville" w:hAnsi="NewBaskerville" w:cs="Calibri"/>
                <w:b/>
                <w:bCs/>
                <w:color w:val="000000"/>
                <w:sz w:val="18"/>
                <w:szCs w:val="18"/>
                <w:lang w:val="es-ES"/>
              </w:rPr>
            </w:pPr>
            <w:r w:rsidRPr="00423C1D">
              <w:rPr>
                <w:rFonts w:ascii="NewBaskerville" w:hAnsi="NewBaskerville" w:cs="Calibri"/>
                <w:b/>
                <w:bCs/>
                <w:color w:val="000000"/>
                <w:sz w:val="18"/>
                <w:szCs w:val="18"/>
                <w:lang w:val="es-ES"/>
              </w:rPr>
              <w:t>2022</w:t>
            </w:r>
          </w:p>
        </w:tc>
      </w:tr>
      <w:tr w:rsidR="00423C1D" w:rsidRPr="00423C1D" w:rsidTr="00423C1D">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CC"/>
            <w:vAlign w:val="center"/>
            <w:hideMark/>
          </w:tcPr>
          <w:p w:rsidR="00423C1D" w:rsidRPr="00423C1D" w:rsidRDefault="00423C1D" w:rsidP="00423C1D">
            <w:pPr>
              <w:jc w:val="center"/>
              <w:rPr>
                <w:rFonts w:ascii="NewBaskerville" w:hAnsi="NewBaskerville" w:cs="Calibri"/>
                <w:b/>
                <w:bCs/>
                <w:sz w:val="18"/>
                <w:szCs w:val="18"/>
                <w:lang w:val="es-ES"/>
              </w:rPr>
            </w:pPr>
            <w:r w:rsidRPr="00423C1D">
              <w:rPr>
                <w:rFonts w:ascii="NewBaskerville" w:hAnsi="NewBaskerville" w:cs="Calibri"/>
                <w:b/>
                <w:bCs/>
                <w:sz w:val="18"/>
                <w:szCs w:val="18"/>
                <w:lang w:val="es-ES"/>
              </w:rPr>
              <w:t>Categoría</w:t>
            </w:r>
          </w:p>
        </w:tc>
        <w:tc>
          <w:tcPr>
            <w:tcW w:w="2200" w:type="dxa"/>
            <w:tcBorders>
              <w:top w:val="single" w:sz="8" w:space="0" w:color="auto"/>
              <w:left w:val="nil"/>
              <w:bottom w:val="single" w:sz="8" w:space="0" w:color="auto"/>
              <w:right w:val="single" w:sz="4" w:space="0" w:color="auto"/>
            </w:tcBorders>
            <w:shd w:val="clear" w:color="000000" w:fill="CCFFCC"/>
            <w:vAlign w:val="center"/>
            <w:hideMark/>
          </w:tcPr>
          <w:p w:rsidR="00423C1D" w:rsidRPr="00423C1D" w:rsidRDefault="00423C1D" w:rsidP="00423C1D">
            <w:pPr>
              <w:jc w:val="center"/>
              <w:rPr>
                <w:rFonts w:ascii="NewBaskerville" w:hAnsi="NewBaskerville" w:cs="Calibri"/>
                <w:b/>
                <w:bCs/>
                <w:sz w:val="18"/>
                <w:szCs w:val="18"/>
                <w:lang w:val="es-ES"/>
              </w:rPr>
            </w:pPr>
            <w:r w:rsidRPr="00423C1D">
              <w:rPr>
                <w:rFonts w:ascii="NewBaskerville" w:hAnsi="NewBaskerville" w:cs="Calibri"/>
                <w:b/>
                <w:bCs/>
                <w:sz w:val="18"/>
                <w:szCs w:val="18"/>
                <w:lang w:val="es-ES"/>
              </w:rPr>
              <w:t>Hombres</w:t>
            </w:r>
          </w:p>
        </w:tc>
        <w:tc>
          <w:tcPr>
            <w:tcW w:w="2400" w:type="dxa"/>
            <w:tcBorders>
              <w:top w:val="single" w:sz="8" w:space="0" w:color="auto"/>
              <w:left w:val="single" w:sz="4" w:space="0" w:color="auto"/>
              <w:bottom w:val="single" w:sz="8" w:space="0" w:color="auto"/>
              <w:right w:val="single" w:sz="8" w:space="0" w:color="000000"/>
            </w:tcBorders>
            <w:shd w:val="clear" w:color="000000" w:fill="CCFFCC"/>
            <w:vAlign w:val="center"/>
            <w:hideMark/>
          </w:tcPr>
          <w:p w:rsidR="00423C1D" w:rsidRPr="00423C1D" w:rsidRDefault="00423C1D" w:rsidP="00423C1D">
            <w:pPr>
              <w:jc w:val="center"/>
              <w:rPr>
                <w:rFonts w:ascii="NewBaskerville" w:hAnsi="NewBaskerville" w:cs="Calibri"/>
                <w:b/>
                <w:bCs/>
                <w:color w:val="000000"/>
                <w:sz w:val="18"/>
                <w:szCs w:val="18"/>
                <w:lang w:val="es-ES"/>
              </w:rPr>
            </w:pPr>
            <w:r w:rsidRPr="00423C1D">
              <w:rPr>
                <w:rFonts w:ascii="NewBaskerville" w:hAnsi="NewBaskerville" w:cs="Calibri"/>
                <w:b/>
                <w:bCs/>
                <w:color w:val="000000"/>
                <w:sz w:val="18"/>
                <w:szCs w:val="18"/>
                <w:lang w:val="es-ES"/>
              </w:rPr>
              <w:t>Mujeres</w:t>
            </w:r>
          </w:p>
        </w:tc>
      </w:tr>
      <w:tr w:rsidR="00423C1D" w:rsidRPr="00423C1D" w:rsidTr="00423C1D">
        <w:trPr>
          <w:trHeight w:val="300"/>
        </w:trPr>
        <w:tc>
          <w:tcPr>
            <w:tcW w:w="3600" w:type="dxa"/>
            <w:gridSpan w:val="3"/>
            <w:tcBorders>
              <w:top w:val="nil"/>
              <w:left w:val="single" w:sz="8" w:space="0" w:color="auto"/>
              <w:bottom w:val="single" w:sz="4" w:space="0" w:color="000000"/>
              <w:right w:val="single" w:sz="4" w:space="0" w:color="000000"/>
            </w:tcBorders>
            <w:shd w:val="clear" w:color="auto" w:fill="auto"/>
            <w:vAlign w:val="center"/>
            <w:hideMark/>
          </w:tcPr>
          <w:p w:rsidR="00423C1D" w:rsidRPr="00423C1D" w:rsidRDefault="00423C1D" w:rsidP="00423C1D">
            <w:pPr>
              <w:rPr>
                <w:rFonts w:ascii="NewBaskerville" w:hAnsi="NewBaskerville" w:cs="Calibri"/>
                <w:sz w:val="18"/>
                <w:szCs w:val="18"/>
                <w:lang w:val="es-ES"/>
              </w:rPr>
            </w:pPr>
            <w:r w:rsidRPr="00423C1D">
              <w:rPr>
                <w:rFonts w:ascii="NewBaskerville" w:hAnsi="NewBaskerville" w:cs="Calibri"/>
                <w:sz w:val="18"/>
                <w:szCs w:val="18"/>
                <w:lang w:val="es-ES"/>
              </w:rPr>
              <w:t>Altos cargos y Fuera de Convenio</w:t>
            </w:r>
          </w:p>
        </w:tc>
        <w:tc>
          <w:tcPr>
            <w:tcW w:w="2200" w:type="dxa"/>
            <w:tcBorders>
              <w:top w:val="nil"/>
              <w:left w:val="nil"/>
              <w:bottom w:val="single" w:sz="4" w:space="0" w:color="000000"/>
              <w:right w:val="nil"/>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22</w:t>
            </w:r>
          </w:p>
        </w:tc>
        <w:tc>
          <w:tcPr>
            <w:tcW w:w="2400" w:type="dxa"/>
            <w:tcBorders>
              <w:top w:val="nil"/>
              <w:left w:val="single" w:sz="4" w:space="0" w:color="auto"/>
              <w:bottom w:val="single" w:sz="4" w:space="0" w:color="000000"/>
              <w:right w:val="single" w:sz="8" w:space="0" w:color="000000"/>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5</w:t>
            </w:r>
          </w:p>
        </w:tc>
      </w:tr>
      <w:tr w:rsidR="00423C1D" w:rsidRPr="00423C1D" w:rsidTr="00423C1D">
        <w:trPr>
          <w:trHeight w:val="300"/>
        </w:trPr>
        <w:tc>
          <w:tcPr>
            <w:tcW w:w="3600"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423C1D" w:rsidRPr="00423C1D" w:rsidRDefault="00423C1D" w:rsidP="00423C1D">
            <w:pPr>
              <w:rPr>
                <w:rFonts w:ascii="NewBaskerville" w:hAnsi="NewBaskerville" w:cs="Calibri"/>
                <w:sz w:val="18"/>
                <w:szCs w:val="18"/>
                <w:lang w:val="es-ES"/>
              </w:rPr>
            </w:pPr>
            <w:r w:rsidRPr="00423C1D">
              <w:rPr>
                <w:rFonts w:ascii="NewBaskerville" w:hAnsi="NewBaskerville" w:cs="Calibri"/>
                <w:sz w:val="18"/>
                <w:szCs w:val="18"/>
                <w:lang w:val="es-ES"/>
              </w:rPr>
              <w:t>Responsables</w:t>
            </w:r>
          </w:p>
        </w:tc>
        <w:tc>
          <w:tcPr>
            <w:tcW w:w="2200" w:type="dxa"/>
            <w:tcBorders>
              <w:top w:val="single" w:sz="4" w:space="0" w:color="000000"/>
              <w:left w:val="nil"/>
              <w:bottom w:val="single" w:sz="4" w:space="0" w:color="000000"/>
              <w:right w:val="nil"/>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20</w:t>
            </w:r>
          </w:p>
        </w:tc>
        <w:tc>
          <w:tcPr>
            <w:tcW w:w="2400"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8</w:t>
            </w:r>
          </w:p>
        </w:tc>
      </w:tr>
      <w:tr w:rsidR="00423C1D" w:rsidRPr="00423C1D" w:rsidTr="00423C1D">
        <w:trPr>
          <w:trHeight w:val="300"/>
        </w:trPr>
        <w:tc>
          <w:tcPr>
            <w:tcW w:w="3600"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423C1D" w:rsidRPr="00423C1D" w:rsidRDefault="00423C1D" w:rsidP="00423C1D">
            <w:pPr>
              <w:rPr>
                <w:rFonts w:ascii="NewBaskerville" w:hAnsi="NewBaskerville" w:cs="Calibri"/>
                <w:sz w:val="18"/>
                <w:szCs w:val="18"/>
                <w:lang w:val="es-ES"/>
              </w:rPr>
            </w:pPr>
            <w:r w:rsidRPr="00423C1D">
              <w:rPr>
                <w:rFonts w:ascii="NewBaskerville" w:hAnsi="NewBaskerville" w:cs="Calibri"/>
                <w:sz w:val="18"/>
                <w:szCs w:val="18"/>
                <w:lang w:val="es-ES"/>
              </w:rPr>
              <w:t>Técnicos</w:t>
            </w:r>
          </w:p>
        </w:tc>
        <w:tc>
          <w:tcPr>
            <w:tcW w:w="2200" w:type="dxa"/>
            <w:tcBorders>
              <w:top w:val="single" w:sz="4" w:space="0" w:color="000000"/>
              <w:left w:val="nil"/>
              <w:bottom w:val="single" w:sz="4" w:space="0" w:color="000000"/>
              <w:right w:val="nil"/>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46</w:t>
            </w:r>
          </w:p>
        </w:tc>
        <w:tc>
          <w:tcPr>
            <w:tcW w:w="2400"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28</w:t>
            </w:r>
          </w:p>
        </w:tc>
      </w:tr>
      <w:tr w:rsidR="00423C1D" w:rsidRPr="00423C1D" w:rsidTr="00423C1D">
        <w:trPr>
          <w:trHeight w:val="345"/>
        </w:trPr>
        <w:tc>
          <w:tcPr>
            <w:tcW w:w="3600" w:type="dxa"/>
            <w:gridSpan w:val="3"/>
            <w:tcBorders>
              <w:top w:val="single" w:sz="4" w:space="0" w:color="000000"/>
              <w:left w:val="single" w:sz="8" w:space="0" w:color="auto"/>
              <w:bottom w:val="single" w:sz="4" w:space="0" w:color="000000"/>
              <w:right w:val="single" w:sz="4" w:space="0" w:color="000000"/>
            </w:tcBorders>
            <w:shd w:val="clear" w:color="auto" w:fill="auto"/>
            <w:vAlign w:val="center"/>
            <w:hideMark/>
          </w:tcPr>
          <w:p w:rsidR="00423C1D" w:rsidRPr="00423C1D" w:rsidRDefault="00423C1D" w:rsidP="00423C1D">
            <w:pPr>
              <w:rPr>
                <w:rFonts w:ascii="NewBaskerville" w:hAnsi="NewBaskerville" w:cs="Calibri"/>
                <w:sz w:val="18"/>
                <w:szCs w:val="18"/>
                <w:lang w:val="es-ES"/>
              </w:rPr>
            </w:pPr>
            <w:r w:rsidRPr="00423C1D">
              <w:rPr>
                <w:rFonts w:ascii="NewBaskerville" w:hAnsi="NewBaskerville" w:cs="Calibri"/>
                <w:sz w:val="18"/>
                <w:szCs w:val="18"/>
                <w:lang w:val="es-ES"/>
              </w:rPr>
              <w:t>Jefes de Equipo</w:t>
            </w:r>
          </w:p>
        </w:tc>
        <w:tc>
          <w:tcPr>
            <w:tcW w:w="2200" w:type="dxa"/>
            <w:tcBorders>
              <w:top w:val="single" w:sz="4" w:space="0" w:color="000000"/>
              <w:left w:val="nil"/>
              <w:bottom w:val="single" w:sz="4" w:space="0" w:color="000000"/>
              <w:right w:val="nil"/>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20</w:t>
            </w:r>
          </w:p>
        </w:tc>
        <w:tc>
          <w:tcPr>
            <w:tcW w:w="2400" w:type="dxa"/>
            <w:tcBorders>
              <w:top w:val="single" w:sz="4" w:space="0" w:color="000000"/>
              <w:left w:val="single" w:sz="4" w:space="0" w:color="auto"/>
              <w:bottom w:val="single" w:sz="4" w:space="0" w:color="000000"/>
              <w:right w:val="single" w:sz="8" w:space="0" w:color="000000"/>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1</w:t>
            </w:r>
          </w:p>
        </w:tc>
      </w:tr>
      <w:tr w:rsidR="00423C1D" w:rsidRPr="00423C1D" w:rsidTr="00423C1D">
        <w:trPr>
          <w:trHeight w:val="315"/>
        </w:trPr>
        <w:tc>
          <w:tcPr>
            <w:tcW w:w="3600" w:type="dxa"/>
            <w:gridSpan w:val="3"/>
            <w:tcBorders>
              <w:top w:val="single" w:sz="4" w:space="0" w:color="000000"/>
              <w:left w:val="single" w:sz="8" w:space="0" w:color="auto"/>
              <w:bottom w:val="nil"/>
              <w:right w:val="single" w:sz="4" w:space="0" w:color="000000"/>
            </w:tcBorders>
            <w:shd w:val="clear" w:color="auto" w:fill="auto"/>
            <w:vAlign w:val="center"/>
            <w:hideMark/>
          </w:tcPr>
          <w:p w:rsidR="00423C1D" w:rsidRPr="00423C1D" w:rsidRDefault="00423C1D" w:rsidP="00423C1D">
            <w:pPr>
              <w:rPr>
                <w:rFonts w:ascii="NewBaskerville" w:hAnsi="NewBaskerville" w:cs="Calibri"/>
                <w:sz w:val="18"/>
                <w:szCs w:val="18"/>
                <w:lang w:val="es-ES"/>
              </w:rPr>
            </w:pPr>
            <w:r w:rsidRPr="00423C1D">
              <w:rPr>
                <w:rFonts w:ascii="NewBaskerville" w:hAnsi="NewBaskerville" w:cs="Calibri"/>
                <w:sz w:val="18"/>
                <w:szCs w:val="18"/>
                <w:lang w:val="es-ES"/>
              </w:rPr>
              <w:t>Policía Portuaria, administrativos, oficiales</w:t>
            </w:r>
          </w:p>
        </w:tc>
        <w:tc>
          <w:tcPr>
            <w:tcW w:w="2200" w:type="dxa"/>
            <w:tcBorders>
              <w:top w:val="single" w:sz="4" w:space="0" w:color="000000"/>
              <w:left w:val="nil"/>
              <w:bottom w:val="nil"/>
              <w:right w:val="nil"/>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114</w:t>
            </w:r>
          </w:p>
        </w:tc>
        <w:tc>
          <w:tcPr>
            <w:tcW w:w="2400" w:type="dxa"/>
            <w:tcBorders>
              <w:top w:val="single" w:sz="4" w:space="0" w:color="000000"/>
              <w:left w:val="single" w:sz="4" w:space="0" w:color="auto"/>
              <w:bottom w:val="nil"/>
              <w:right w:val="single" w:sz="8" w:space="0" w:color="000000"/>
            </w:tcBorders>
            <w:shd w:val="clear" w:color="auto" w:fill="auto"/>
            <w:noWrap/>
            <w:vAlign w:val="center"/>
            <w:hideMark/>
          </w:tcPr>
          <w:p w:rsidR="00423C1D" w:rsidRPr="00423C1D" w:rsidRDefault="00423C1D" w:rsidP="00423C1D">
            <w:pPr>
              <w:jc w:val="center"/>
              <w:rPr>
                <w:rFonts w:ascii="NewBaskerville" w:hAnsi="NewBaskerville" w:cs="Calibri"/>
                <w:color w:val="000000"/>
                <w:sz w:val="18"/>
                <w:szCs w:val="18"/>
                <w:lang w:val="es-ES"/>
              </w:rPr>
            </w:pPr>
            <w:r w:rsidRPr="00423C1D">
              <w:rPr>
                <w:rFonts w:ascii="NewBaskerville" w:hAnsi="NewBaskerville" w:cs="Calibri"/>
                <w:color w:val="000000"/>
                <w:sz w:val="18"/>
                <w:szCs w:val="18"/>
                <w:lang w:val="es-ES"/>
              </w:rPr>
              <w:t>28</w:t>
            </w:r>
          </w:p>
        </w:tc>
      </w:tr>
      <w:tr w:rsidR="00423C1D" w:rsidRPr="00423C1D" w:rsidTr="00423C1D">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hideMark/>
          </w:tcPr>
          <w:p w:rsidR="00423C1D" w:rsidRPr="00423C1D" w:rsidRDefault="00423C1D" w:rsidP="00423C1D">
            <w:pPr>
              <w:rPr>
                <w:rFonts w:ascii="NewBaskerville" w:hAnsi="NewBaskerville" w:cs="Calibri"/>
                <w:b/>
                <w:bCs/>
                <w:sz w:val="18"/>
                <w:szCs w:val="18"/>
                <w:lang w:val="es-ES"/>
              </w:rPr>
            </w:pPr>
            <w:r w:rsidRPr="00423C1D">
              <w:rPr>
                <w:rFonts w:ascii="NewBaskerville" w:hAnsi="NewBaskerville" w:cs="Calibri"/>
                <w:b/>
                <w:bCs/>
                <w:sz w:val="18"/>
                <w:szCs w:val="18"/>
                <w:lang w:val="es-ES"/>
              </w:rPr>
              <w:t>TOTAL</w:t>
            </w:r>
          </w:p>
        </w:tc>
        <w:tc>
          <w:tcPr>
            <w:tcW w:w="2200" w:type="dxa"/>
            <w:tcBorders>
              <w:top w:val="single" w:sz="8" w:space="0" w:color="auto"/>
              <w:left w:val="nil"/>
              <w:bottom w:val="single" w:sz="8" w:space="0" w:color="auto"/>
              <w:right w:val="nil"/>
            </w:tcBorders>
            <w:shd w:val="clear" w:color="000000" w:fill="FFFFFF"/>
            <w:noWrap/>
            <w:vAlign w:val="center"/>
            <w:hideMark/>
          </w:tcPr>
          <w:p w:rsidR="00423C1D" w:rsidRPr="00423C1D" w:rsidRDefault="00423C1D" w:rsidP="00423C1D">
            <w:pPr>
              <w:jc w:val="center"/>
              <w:rPr>
                <w:rFonts w:ascii="NewBaskerville" w:hAnsi="NewBaskerville" w:cs="Calibri"/>
                <w:b/>
                <w:bCs/>
                <w:color w:val="000000"/>
                <w:sz w:val="18"/>
                <w:szCs w:val="18"/>
                <w:lang w:val="es-ES"/>
              </w:rPr>
            </w:pPr>
            <w:r w:rsidRPr="00423C1D">
              <w:rPr>
                <w:rFonts w:ascii="NewBaskerville" w:hAnsi="NewBaskerville" w:cs="Calibri"/>
                <w:b/>
                <w:bCs/>
                <w:color w:val="000000"/>
                <w:sz w:val="18"/>
                <w:szCs w:val="18"/>
                <w:lang w:val="es-ES"/>
              </w:rPr>
              <w:t>221</w:t>
            </w:r>
          </w:p>
        </w:tc>
        <w:tc>
          <w:tcPr>
            <w:tcW w:w="2400" w:type="dxa"/>
            <w:tcBorders>
              <w:top w:val="single" w:sz="8" w:space="0" w:color="auto"/>
              <w:left w:val="single" w:sz="4" w:space="0" w:color="auto"/>
              <w:bottom w:val="single" w:sz="8" w:space="0" w:color="auto"/>
              <w:right w:val="single" w:sz="8" w:space="0" w:color="000000"/>
            </w:tcBorders>
            <w:shd w:val="clear" w:color="000000" w:fill="FFFFFF"/>
            <w:noWrap/>
            <w:vAlign w:val="center"/>
            <w:hideMark/>
          </w:tcPr>
          <w:p w:rsidR="00423C1D" w:rsidRPr="00423C1D" w:rsidRDefault="00423C1D" w:rsidP="00423C1D">
            <w:pPr>
              <w:jc w:val="center"/>
              <w:rPr>
                <w:rFonts w:ascii="NewBaskerville" w:hAnsi="NewBaskerville" w:cs="Calibri"/>
                <w:b/>
                <w:bCs/>
                <w:color w:val="000000"/>
                <w:sz w:val="18"/>
                <w:szCs w:val="18"/>
                <w:lang w:val="es-ES"/>
              </w:rPr>
            </w:pPr>
            <w:r w:rsidRPr="00423C1D">
              <w:rPr>
                <w:rFonts w:ascii="NewBaskerville" w:hAnsi="NewBaskerville" w:cs="Calibri"/>
                <w:b/>
                <w:bCs/>
                <w:color w:val="000000"/>
                <w:sz w:val="18"/>
                <w:szCs w:val="18"/>
                <w:lang w:val="es-ES"/>
              </w:rPr>
              <w:t>70</w:t>
            </w:r>
          </w:p>
        </w:tc>
      </w:tr>
    </w:tbl>
    <w:p w:rsidR="00431338" w:rsidRDefault="00431338" w:rsidP="00570EBA">
      <w:pPr>
        <w:pStyle w:val="Sangra3detindependiente"/>
        <w:tabs>
          <w:tab w:val="clear" w:pos="5671"/>
          <w:tab w:val="clear" w:pos="7797"/>
          <w:tab w:val="right" w:pos="3403"/>
        </w:tabs>
        <w:spacing w:before="120"/>
        <w:rPr>
          <w:bCs/>
          <w:sz w:val="20"/>
          <w:szCs w:val="20"/>
        </w:rPr>
      </w:pPr>
    </w:p>
    <w:p w:rsidR="00423C1D" w:rsidRDefault="00423C1D" w:rsidP="00570EBA">
      <w:pPr>
        <w:pStyle w:val="Sangra3detindependiente"/>
        <w:tabs>
          <w:tab w:val="clear" w:pos="5671"/>
          <w:tab w:val="clear" w:pos="7797"/>
          <w:tab w:val="right" w:pos="3403"/>
        </w:tabs>
        <w:spacing w:before="120"/>
        <w:rPr>
          <w:bCs/>
          <w:sz w:val="20"/>
          <w:szCs w:val="20"/>
        </w:rPr>
      </w:pPr>
    </w:p>
    <w:p w:rsidR="00245534" w:rsidRDefault="00245534" w:rsidP="00EF6B46">
      <w:pPr>
        <w:tabs>
          <w:tab w:val="right" w:pos="8364"/>
        </w:tabs>
        <w:ind w:firstLine="540"/>
        <w:jc w:val="both"/>
        <w:rPr>
          <w:bCs/>
          <w:sz w:val="24"/>
        </w:rPr>
      </w:pPr>
    </w:p>
    <w:p w:rsidR="001052A7" w:rsidRDefault="001052A7" w:rsidP="0081769D">
      <w:pPr>
        <w:tabs>
          <w:tab w:val="right" w:pos="8364"/>
        </w:tabs>
        <w:jc w:val="both"/>
        <w:rPr>
          <w:rFonts w:ascii="NewBaskerville" w:hAnsi="NewBaskerville"/>
          <w:b/>
          <w:bCs/>
          <w:sz w:val="24"/>
          <w:szCs w:val="24"/>
        </w:rPr>
      </w:pPr>
    </w:p>
    <w:p w:rsidR="0058608E" w:rsidRDefault="0058608E" w:rsidP="0081769D">
      <w:pPr>
        <w:tabs>
          <w:tab w:val="right" w:pos="8364"/>
        </w:tabs>
        <w:jc w:val="both"/>
        <w:rPr>
          <w:rFonts w:ascii="NewBaskerville" w:hAnsi="NewBaskerville"/>
          <w:b/>
          <w:bCs/>
          <w:sz w:val="24"/>
          <w:szCs w:val="24"/>
        </w:rPr>
      </w:pPr>
    </w:p>
    <w:p w:rsidR="00EF6B46" w:rsidRPr="004B5CEB" w:rsidRDefault="00EF6B46" w:rsidP="0081769D">
      <w:pPr>
        <w:tabs>
          <w:tab w:val="right" w:pos="8364"/>
        </w:tabs>
        <w:jc w:val="both"/>
        <w:rPr>
          <w:rFonts w:ascii="NewBaskerville" w:hAnsi="NewBaskerville"/>
          <w:b/>
          <w:bCs/>
          <w:sz w:val="24"/>
          <w:szCs w:val="24"/>
        </w:rPr>
      </w:pPr>
      <w:r w:rsidRPr="004B5CEB">
        <w:rPr>
          <w:rFonts w:ascii="NewBaskerville" w:hAnsi="NewBaskerville"/>
          <w:b/>
          <w:bCs/>
          <w:sz w:val="24"/>
          <w:szCs w:val="24"/>
        </w:rPr>
        <w:t>1</w:t>
      </w:r>
      <w:r w:rsidR="00A00693" w:rsidRPr="004B5CEB">
        <w:rPr>
          <w:rFonts w:ascii="NewBaskerville" w:hAnsi="NewBaskerville"/>
          <w:b/>
          <w:bCs/>
          <w:sz w:val="24"/>
          <w:szCs w:val="24"/>
        </w:rPr>
        <w:t>7</w:t>
      </w:r>
      <w:r w:rsidR="002019D4" w:rsidRPr="004B5CEB">
        <w:rPr>
          <w:rFonts w:ascii="NewBaskerville" w:hAnsi="NewBaskerville"/>
          <w:b/>
          <w:bCs/>
          <w:sz w:val="24"/>
          <w:szCs w:val="24"/>
        </w:rPr>
        <w:t xml:space="preserve">. </w:t>
      </w:r>
      <w:r w:rsidRPr="004B5CEB">
        <w:rPr>
          <w:rFonts w:ascii="NewBaskerville" w:hAnsi="NewBaskerville"/>
          <w:b/>
          <w:bCs/>
          <w:sz w:val="24"/>
          <w:szCs w:val="24"/>
        </w:rPr>
        <w:t>Remuneraciones de consejeros</w:t>
      </w:r>
    </w:p>
    <w:p w:rsidR="00EF6B46" w:rsidRPr="004B5CEB" w:rsidRDefault="00EF6B46" w:rsidP="008D534C">
      <w:pPr>
        <w:tabs>
          <w:tab w:val="right" w:pos="8364"/>
        </w:tabs>
        <w:jc w:val="both"/>
        <w:rPr>
          <w:rFonts w:ascii="NewBaskerville" w:hAnsi="NewBaskerville"/>
        </w:rPr>
      </w:pPr>
    </w:p>
    <w:p w:rsidR="00C43B1A" w:rsidRPr="004B5CEB" w:rsidRDefault="00EF6B46" w:rsidP="00C43B1A">
      <w:pPr>
        <w:tabs>
          <w:tab w:val="right" w:pos="8364"/>
        </w:tabs>
        <w:ind w:firstLine="567"/>
        <w:jc w:val="both"/>
        <w:rPr>
          <w:rFonts w:ascii="NewBaskerville" w:hAnsi="NewBaskerville"/>
        </w:rPr>
      </w:pPr>
      <w:r w:rsidRPr="004B5CEB">
        <w:rPr>
          <w:rFonts w:ascii="NewBaskerville" w:hAnsi="NewBaskerville"/>
        </w:rPr>
        <w:t xml:space="preserve">Los miembros del Consejo de Administración por acuerdo del mismo de día 13 de </w:t>
      </w:r>
      <w:r w:rsidR="00A861CC">
        <w:rPr>
          <w:rFonts w:ascii="NewBaskerville" w:hAnsi="NewBaskerville"/>
        </w:rPr>
        <w:t>d</w:t>
      </w:r>
      <w:r w:rsidRPr="004B5CEB">
        <w:rPr>
          <w:rFonts w:ascii="NewBaskerville" w:hAnsi="NewBaskerville"/>
        </w:rPr>
        <w:t>iciembre de 2001 cobran dietas por asis</w:t>
      </w:r>
      <w:r w:rsidR="001164D2" w:rsidRPr="004B5CEB">
        <w:rPr>
          <w:rFonts w:ascii="NewBaskerville" w:hAnsi="NewBaskerville"/>
        </w:rPr>
        <w:t>t</w:t>
      </w:r>
      <w:r w:rsidR="00D07CEE" w:rsidRPr="004B5CEB">
        <w:rPr>
          <w:rFonts w:ascii="NewBaskerville" w:hAnsi="NewBaskerville"/>
        </w:rPr>
        <w:t>encia. Durante el ejercicio 202</w:t>
      </w:r>
      <w:r w:rsidR="00395199">
        <w:rPr>
          <w:rFonts w:ascii="NewBaskerville" w:hAnsi="NewBaskerville"/>
        </w:rPr>
        <w:t>3</w:t>
      </w:r>
      <w:r w:rsidRPr="004B5CEB">
        <w:rPr>
          <w:rFonts w:ascii="NewBaskerville" w:hAnsi="NewBaskerville"/>
        </w:rPr>
        <w:t xml:space="preserve"> se han pagado </w:t>
      </w:r>
      <w:r w:rsidR="00D07CEE" w:rsidRPr="004B5CEB">
        <w:rPr>
          <w:rFonts w:ascii="NewBaskerville" w:hAnsi="NewBaskerville"/>
        </w:rPr>
        <w:t>1</w:t>
      </w:r>
      <w:r w:rsidR="00395199">
        <w:rPr>
          <w:rFonts w:ascii="NewBaskerville" w:hAnsi="NewBaskerville"/>
        </w:rPr>
        <w:t>61</w:t>
      </w:r>
      <w:r w:rsidR="00D07CEE" w:rsidRPr="004B5CEB">
        <w:rPr>
          <w:rFonts w:ascii="NewBaskerville" w:hAnsi="NewBaskerville"/>
        </w:rPr>
        <w:t>.</w:t>
      </w:r>
      <w:r w:rsidR="00395199">
        <w:rPr>
          <w:rFonts w:ascii="NewBaskerville" w:hAnsi="NewBaskerville"/>
        </w:rPr>
        <w:t>946,</w:t>
      </w:r>
      <w:r w:rsidR="00D125AB">
        <w:rPr>
          <w:rFonts w:ascii="NewBaskerville" w:hAnsi="NewBaskerville"/>
        </w:rPr>
        <w:t>1</w:t>
      </w:r>
      <w:r w:rsidR="00395199">
        <w:rPr>
          <w:rFonts w:ascii="NewBaskerville" w:hAnsi="NewBaskerville"/>
        </w:rPr>
        <w:t>4</w:t>
      </w:r>
      <w:r w:rsidR="00D07CEE" w:rsidRPr="004B5CEB">
        <w:rPr>
          <w:rFonts w:ascii="NewBaskerville" w:hAnsi="NewBaskerville"/>
        </w:rPr>
        <w:t xml:space="preserve"> euros (202</w:t>
      </w:r>
      <w:r w:rsidR="00395199">
        <w:rPr>
          <w:rFonts w:ascii="NewBaskerville" w:hAnsi="NewBaskerville"/>
        </w:rPr>
        <w:t>2</w:t>
      </w:r>
      <w:r w:rsidR="00C43B1A" w:rsidRPr="004B5CEB">
        <w:rPr>
          <w:rFonts w:ascii="NewBaskerville" w:hAnsi="NewBaskerville"/>
        </w:rPr>
        <w:t xml:space="preserve">: </w:t>
      </w:r>
      <w:r w:rsidR="00956562">
        <w:rPr>
          <w:rFonts w:ascii="NewBaskerville" w:hAnsi="NewBaskerville"/>
        </w:rPr>
        <w:t>1</w:t>
      </w:r>
      <w:r w:rsidR="00395199">
        <w:rPr>
          <w:rFonts w:ascii="NewBaskerville" w:hAnsi="NewBaskerville"/>
        </w:rPr>
        <w:t>58</w:t>
      </w:r>
      <w:r w:rsidR="00D07CEE" w:rsidRPr="004B5CEB">
        <w:rPr>
          <w:rFonts w:ascii="NewBaskerville" w:hAnsi="NewBaskerville"/>
          <w:color w:val="000000"/>
          <w:lang w:eastAsia="es-ES_tradnl"/>
        </w:rPr>
        <w:t>.</w:t>
      </w:r>
      <w:r w:rsidR="00395199">
        <w:rPr>
          <w:rFonts w:ascii="NewBaskerville" w:hAnsi="NewBaskerville"/>
          <w:color w:val="000000"/>
          <w:lang w:eastAsia="es-ES_tradnl"/>
        </w:rPr>
        <w:t>543</w:t>
      </w:r>
      <w:r w:rsidR="00D07CEE" w:rsidRPr="004B5CEB">
        <w:rPr>
          <w:rFonts w:ascii="NewBaskerville" w:hAnsi="NewBaskerville"/>
          <w:color w:val="000000"/>
          <w:lang w:eastAsia="es-ES_tradnl"/>
        </w:rPr>
        <w:t>,</w:t>
      </w:r>
      <w:r w:rsidR="00395199">
        <w:rPr>
          <w:rFonts w:ascii="NewBaskerville" w:hAnsi="NewBaskerville"/>
          <w:color w:val="000000"/>
          <w:lang w:eastAsia="es-ES_tradnl"/>
        </w:rPr>
        <w:t>10</w:t>
      </w:r>
      <w:r w:rsidR="00D07CEE" w:rsidRPr="004B5CEB">
        <w:rPr>
          <w:rFonts w:ascii="NewBaskerville" w:hAnsi="NewBaskerville"/>
          <w:color w:val="000000"/>
          <w:lang w:eastAsia="es-ES_tradnl"/>
        </w:rPr>
        <w:t xml:space="preserve"> e</w:t>
      </w:r>
      <w:r w:rsidR="00C43B1A" w:rsidRPr="004B5CEB">
        <w:rPr>
          <w:rFonts w:ascii="NewBaskerville" w:hAnsi="NewBaskerville"/>
        </w:rPr>
        <w:t>uros).</w:t>
      </w:r>
    </w:p>
    <w:p w:rsidR="00EF6B46" w:rsidRPr="004B5CEB" w:rsidRDefault="00EF6B46" w:rsidP="00C43B1A">
      <w:pPr>
        <w:tabs>
          <w:tab w:val="right" w:pos="8364"/>
        </w:tabs>
        <w:jc w:val="both"/>
        <w:rPr>
          <w:rFonts w:ascii="NewBaskerville" w:hAnsi="NewBaskerville"/>
        </w:rPr>
      </w:pPr>
    </w:p>
    <w:p w:rsidR="00EF6B46" w:rsidRPr="004B5CEB" w:rsidRDefault="00EF6B46" w:rsidP="00EF6B46">
      <w:pPr>
        <w:tabs>
          <w:tab w:val="right" w:pos="8364"/>
        </w:tabs>
        <w:ind w:firstLine="567"/>
        <w:jc w:val="both"/>
        <w:rPr>
          <w:rFonts w:ascii="NewBaskerville" w:hAnsi="NewBaskerville"/>
        </w:rPr>
      </w:pPr>
      <w:r w:rsidRPr="004B5CEB">
        <w:rPr>
          <w:rFonts w:ascii="NewBaskerville" w:hAnsi="NewBaskerville"/>
        </w:rPr>
        <w:t>Ninguno de los Consejeros de la Entidad ostenta participaciones en el capital social, ni ostenta cargo alguno en Sociedades con análogo o complementario objeto social</w:t>
      </w:r>
      <w:r w:rsidR="00B97531" w:rsidRPr="004B5CEB">
        <w:rPr>
          <w:rFonts w:ascii="NewBaskerville" w:hAnsi="NewBaskerville"/>
        </w:rPr>
        <w:t>.</w:t>
      </w:r>
      <w:r w:rsidRPr="004B5CEB">
        <w:rPr>
          <w:rFonts w:ascii="NewBaskerville" w:hAnsi="NewBaskerville"/>
        </w:rPr>
        <w:t xml:space="preserve"> </w:t>
      </w:r>
    </w:p>
    <w:p w:rsidR="008A1987" w:rsidRDefault="008A1987" w:rsidP="00EF6B46">
      <w:pPr>
        <w:tabs>
          <w:tab w:val="right" w:pos="8364"/>
        </w:tabs>
        <w:ind w:firstLine="567"/>
        <w:jc w:val="both"/>
      </w:pPr>
    </w:p>
    <w:p w:rsidR="00EF6B46" w:rsidRDefault="00EF6B46" w:rsidP="00EF6B46">
      <w:pPr>
        <w:tabs>
          <w:tab w:val="right" w:pos="8364"/>
        </w:tabs>
        <w:ind w:firstLine="567"/>
        <w:jc w:val="both"/>
        <w:rPr>
          <w:sz w:val="24"/>
        </w:rPr>
      </w:pPr>
    </w:p>
    <w:p w:rsidR="00050985" w:rsidRDefault="00050985" w:rsidP="00EF6B46">
      <w:pPr>
        <w:tabs>
          <w:tab w:val="right" w:pos="8364"/>
        </w:tabs>
        <w:ind w:firstLine="567"/>
        <w:jc w:val="both"/>
        <w:rPr>
          <w:sz w:val="24"/>
        </w:rPr>
      </w:pPr>
    </w:p>
    <w:p w:rsidR="00EF6B46" w:rsidRPr="00803B43" w:rsidRDefault="002E417C" w:rsidP="00EF6B46">
      <w:pPr>
        <w:tabs>
          <w:tab w:val="right" w:pos="8364"/>
        </w:tabs>
        <w:ind w:left="567" w:hanging="567"/>
        <w:jc w:val="both"/>
        <w:rPr>
          <w:rFonts w:ascii="NewBaskerville" w:hAnsi="NewBaskerville"/>
          <w:b/>
          <w:bCs/>
          <w:sz w:val="24"/>
          <w:szCs w:val="24"/>
        </w:rPr>
      </w:pPr>
      <w:r w:rsidRPr="00803B43">
        <w:rPr>
          <w:rFonts w:ascii="NewBaskerville" w:hAnsi="NewBaskerville"/>
          <w:b/>
          <w:bCs/>
          <w:sz w:val="24"/>
          <w:szCs w:val="24"/>
        </w:rPr>
        <w:t>18</w:t>
      </w:r>
      <w:r w:rsidR="002019D4" w:rsidRPr="00803B43">
        <w:rPr>
          <w:rFonts w:ascii="NewBaskerville" w:hAnsi="NewBaskerville"/>
          <w:b/>
          <w:bCs/>
          <w:sz w:val="24"/>
          <w:szCs w:val="24"/>
        </w:rPr>
        <w:t xml:space="preserve">. </w:t>
      </w:r>
      <w:r w:rsidR="00803B43">
        <w:rPr>
          <w:rFonts w:ascii="NewBaskerville" w:hAnsi="NewBaskerville"/>
          <w:b/>
          <w:bCs/>
          <w:sz w:val="24"/>
          <w:szCs w:val="24"/>
        </w:rPr>
        <w:t>Información sobre el período medio de pago a proveedores en operaciones comerciales.</w:t>
      </w:r>
    </w:p>
    <w:p w:rsidR="00EF6B46" w:rsidRDefault="00EF6B46" w:rsidP="00EF6B46">
      <w:pPr>
        <w:pStyle w:val="Textoindependiente"/>
        <w:keepLines/>
      </w:pPr>
    </w:p>
    <w:p w:rsidR="000D0B74" w:rsidRDefault="000214BB" w:rsidP="000214BB">
      <w:pPr>
        <w:pStyle w:val="Sangradetextonormal"/>
        <w:tabs>
          <w:tab w:val="clear" w:pos="8364"/>
          <w:tab w:val="right" w:pos="8222"/>
        </w:tabs>
        <w:rPr>
          <w:rFonts w:ascii="NewBaskerville" w:hAnsi="NewBaskerville"/>
          <w:sz w:val="20"/>
        </w:rPr>
      </w:pPr>
      <w:r w:rsidRPr="00803B43">
        <w:rPr>
          <w:rFonts w:ascii="NewBaskerville" w:hAnsi="NewBaskerville"/>
          <w:sz w:val="20"/>
        </w:rPr>
        <w:t xml:space="preserve">No existen aplazamientos de pago. Se detalla </w:t>
      </w:r>
      <w:r w:rsidR="00EF6B46" w:rsidRPr="00803B43">
        <w:rPr>
          <w:rFonts w:ascii="NewBaskerville" w:hAnsi="NewBaskerville"/>
          <w:sz w:val="20"/>
        </w:rPr>
        <w:t>l</w:t>
      </w:r>
      <w:r w:rsidRPr="00803B43">
        <w:rPr>
          <w:rFonts w:ascii="NewBaskerville" w:hAnsi="NewBaskerville"/>
          <w:sz w:val="20"/>
        </w:rPr>
        <w:t xml:space="preserve">a información </w:t>
      </w:r>
      <w:r w:rsidR="00EF6B46" w:rsidRPr="00803B43">
        <w:rPr>
          <w:rFonts w:ascii="NewBaskerville" w:hAnsi="NewBaskerville"/>
          <w:sz w:val="20"/>
        </w:rPr>
        <w:t>de pagos realizados a</w:t>
      </w:r>
      <w:r w:rsidRPr="00803B43">
        <w:rPr>
          <w:rFonts w:ascii="NewBaskerville" w:hAnsi="NewBaskerville"/>
          <w:sz w:val="20"/>
        </w:rPr>
        <w:t xml:space="preserve"> proveedores en operaciones comerciales en los</w:t>
      </w:r>
      <w:r w:rsidR="00EF6B46" w:rsidRPr="00803B43">
        <w:rPr>
          <w:rFonts w:ascii="NewBaskerville" w:hAnsi="NewBaskerville"/>
          <w:sz w:val="20"/>
        </w:rPr>
        <w:t xml:space="preserve"> ejercicio</w:t>
      </w:r>
      <w:r w:rsidRPr="00803B43">
        <w:rPr>
          <w:rFonts w:ascii="NewBaskerville" w:hAnsi="NewBaskerville"/>
          <w:sz w:val="20"/>
        </w:rPr>
        <w:t>s 202</w:t>
      </w:r>
      <w:r w:rsidR="00395199">
        <w:rPr>
          <w:rFonts w:ascii="NewBaskerville" w:hAnsi="NewBaskerville"/>
          <w:sz w:val="20"/>
        </w:rPr>
        <w:t>3</w:t>
      </w:r>
      <w:r w:rsidRPr="00803B43">
        <w:rPr>
          <w:rFonts w:ascii="NewBaskerville" w:hAnsi="NewBaskerville"/>
          <w:sz w:val="20"/>
        </w:rPr>
        <w:t xml:space="preserve"> y 202</w:t>
      </w:r>
      <w:r w:rsidR="00395199">
        <w:rPr>
          <w:rFonts w:ascii="NewBaskerville" w:hAnsi="NewBaskerville"/>
          <w:sz w:val="20"/>
        </w:rPr>
        <w:t>2</w:t>
      </w:r>
      <w:r w:rsidRPr="00803B43">
        <w:rPr>
          <w:rFonts w:ascii="NewBaskerville" w:hAnsi="NewBaskerville"/>
          <w:sz w:val="20"/>
        </w:rPr>
        <w:t>:</w:t>
      </w:r>
    </w:p>
    <w:p w:rsidR="00991EBD" w:rsidRDefault="00991EBD" w:rsidP="000214BB">
      <w:pPr>
        <w:pStyle w:val="Sangradetextonormal"/>
        <w:tabs>
          <w:tab w:val="clear" w:pos="8364"/>
          <w:tab w:val="right" w:pos="8222"/>
        </w:tabs>
        <w:rPr>
          <w:rFonts w:ascii="NewBaskerville" w:hAnsi="NewBaskerville"/>
          <w:sz w:val="20"/>
        </w:rPr>
      </w:pPr>
    </w:p>
    <w:tbl>
      <w:tblPr>
        <w:tblW w:w="5000" w:type="pct"/>
        <w:tblCellMar>
          <w:left w:w="70" w:type="dxa"/>
          <w:right w:w="70" w:type="dxa"/>
        </w:tblCellMar>
        <w:tblLook w:val="04A0" w:firstRow="1" w:lastRow="0" w:firstColumn="1" w:lastColumn="0" w:noHBand="0" w:noVBand="1"/>
      </w:tblPr>
      <w:tblGrid>
        <w:gridCol w:w="1415"/>
        <w:gridCol w:w="1416"/>
        <w:gridCol w:w="1195"/>
        <w:gridCol w:w="2341"/>
        <w:gridCol w:w="2277"/>
      </w:tblGrid>
      <w:tr w:rsidR="00395199" w:rsidRPr="00395199" w:rsidTr="00395199">
        <w:trPr>
          <w:trHeight w:val="465"/>
        </w:trPr>
        <w:tc>
          <w:tcPr>
            <w:tcW w:w="5000" w:type="pct"/>
            <w:gridSpan w:val="5"/>
            <w:tcBorders>
              <w:top w:val="nil"/>
              <w:left w:val="nil"/>
              <w:bottom w:val="nil"/>
              <w:right w:val="nil"/>
            </w:tcBorders>
            <w:shd w:val="clear" w:color="auto" w:fill="auto"/>
            <w:vAlign w:val="bottom"/>
            <w:hideMark/>
          </w:tcPr>
          <w:p w:rsidR="00395199" w:rsidRPr="00395199" w:rsidRDefault="00395199" w:rsidP="00395199">
            <w:pP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Información sobre el periodo medio de pago a proveedores en operaciones comerciales.</w:t>
            </w:r>
          </w:p>
        </w:tc>
      </w:tr>
      <w:tr w:rsidR="00395199" w:rsidRPr="00395199" w:rsidTr="00395199">
        <w:trPr>
          <w:trHeight w:val="240"/>
        </w:trPr>
        <w:tc>
          <w:tcPr>
            <w:tcW w:w="819" w:type="pct"/>
            <w:tcBorders>
              <w:top w:val="single" w:sz="8" w:space="0" w:color="auto"/>
              <w:left w:val="single" w:sz="8" w:space="0" w:color="auto"/>
              <w:bottom w:val="nil"/>
              <w:right w:val="nil"/>
            </w:tcBorders>
            <w:shd w:val="clear" w:color="000000" w:fill="CCFFCC"/>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w:t>
            </w:r>
          </w:p>
        </w:tc>
        <w:tc>
          <w:tcPr>
            <w:tcW w:w="819" w:type="pct"/>
            <w:tcBorders>
              <w:top w:val="single" w:sz="8" w:space="0" w:color="auto"/>
              <w:left w:val="nil"/>
              <w:bottom w:val="nil"/>
              <w:right w:val="nil"/>
            </w:tcBorders>
            <w:shd w:val="clear" w:color="000000" w:fill="CCFFCC"/>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w:t>
            </w:r>
          </w:p>
        </w:tc>
        <w:tc>
          <w:tcPr>
            <w:tcW w:w="691" w:type="pct"/>
            <w:tcBorders>
              <w:top w:val="single" w:sz="8" w:space="0" w:color="auto"/>
              <w:left w:val="nil"/>
              <w:bottom w:val="nil"/>
              <w:right w:val="nil"/>
            </w:tcBorders>
            <w:shd w:val="clear" w:color="000000" w:fill="CCFFCC"/>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w:t>
            </w:r>
          </w:p>
        </w:tc>
        <w:tc>
          <w:tcPr>
            <w:tcW w:w="1354" w:type="pct"/>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395199" w:rsidRPr="00395199" w:rsidRDefault="00395199" w:rsidP="00395199">
            <w:pPr>
              <w:jc w:val="cente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2023</w:t>
            </w:r>
          </w:p>
        </w:tc>
        <w:tc>
          <w:tcPr>
            <w:tcW w:w="1317" w:type="pct"/>
            <w:tcBorders>
              <w:top w:val="single" w:sz="8" w:space="0" w:color="auto"/>
              <w:left w:val="nil"/>
              <w:bottom w:val="single" w:sz="8" w:space="0" w:color="auto"/>
              <w:right w:val="single" w:sz="8" w:space="0" w:color="auto"/>
            </w:tcBorders>
            <w:shd w:val="clear" w:color="000000" w:fill="CCFFCC"/>
            <w:noWrap/>
            <w:vAlign w:val="bottom"/>
            <w:hideMark/>
          </w:tcPr>
          <w:p w:rsidR="00395199" w:rsidRPr="00395199" w:rsidRDefault="00395199" w:rsidP="00395199">
            <w:pPr>
              <w:jc w:val="cente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2022</w:t>
            </w:r>
          </w:p>
        </w:tc>
      </w:tr>
      <w:tr w:rsidR="00395199" w:rsidRPr="00395199" w:rsidTr="00395199">
        <w:trPr>
          <w:trHeight w:val="240"/>
        </w:trPr>
        <w:tc>
          <w:tcPr>
            <w:tcW w:w="819" w:type="pct"/>
            <w:tcBorders>
              <w:top w:val="nil"/>
              <w:left w:val="single" w:sz="8" w:space="0" w:color="auto"/>
              <w:bottom w:val="single" w:sz="8" w:space="0" w:color="auto"/>
              <w:right w:val="nil"/>
            </w:tcBorders>
            <w:shd w:val="clear" w:color="000000" w:fill="CCFFCC"/>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w:t>
            </w:r>
          </w:p>
        </w:tc>
        <w:tc>
          <w:tcPr>
            <w:tcW w:w="819" w:type="pct"/>
            <w:tcBorders>
              <w:top w:val="nil"/>
              <w:left w:val="nil"/>
              <w:bottom w:val="single" w:sz="8" w:space="0" w:color="auto"/>
              <w:right w:val="nil"/>
            </w:tcBorders>
            <w:shd w:val="clear" w:color="000000" w:fill="CCFFCC"/>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w:t>
            </w:r>
          </w:p>
        </w:tc>
        <w:tc>
          <w:tcPr>
            <w:tcW w:w="691" w:type="pct"/>
            <w:tcBorders>
              <w:top w:val="nil"/>
              <w:left w:val="nil"/>
              <w:bottom w:val="single" w:sz="8" w:space="0" w:color="auto"/>
              <w:right w:val="nil"/>
            </w:tcBorders>
            <w:shd w:val="clear" w:color="000000" w:fill="CCFFCC"/>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w:t>
            </w:r>
          </w:p>
        </w:tc>
        <w:tc>
          <w:tcPr>
            <w:tcW w:w="1354" w:type="pct"/>
            <w:tcBorders>
              <w:top w:val="nil"/>
              <w:left w:val="single" w:sz="8" w:space="0" w:color="auto"/>
              <w:bottom w:val="single" w:sz="8" w:space="0" w:color="auto"/>
              <w:right w:val="single" w:sz="8" w:space="0" w:color="auto"/>
            </w:tcBorders>
            <w:shd w:val="clear" w:color="000000" w:fill="CCFFCC"/>
            <w:noWrap/>
            <w:vAlign w:val="bottom"/>
            <w:hideMark/>
          </w:tcPr>
          <w:p w:rsidR="00395199" w:rsidRPr="00395199" w:rsidRDefault="00395199" w:rsidP="00395199">
            <w:pPr>
              <w:jc w:val="cente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Días</w:t>
            </w:r>
          </w:p>
        </w:tc>
        <w:tc>
          <w:tcPr>
            <w:tcW w:w="1317" w:type="pct"/>
            <w:tcBorders>
              <w:top w:val="nil"/>
              <w:left w:val="nil"/>
              <w:bottom w:val="single" w:sz="8" w:space="0" w:color="auto"/>
              <w:right w:val="single" w:sz="8" w:space="0" w:color="auto"/>
            </w:tcBorders>
            <w:shd w:val="clear" w:color="000000" w:fill="CCFFCC"/>
            <w:noWrap/>
            <w:vAlign w:val="bottom"/>
            <w:hideMark/>
          </w:tcPr>
          <w:p w:rsidR="00395199" w:rsidRPr="00395199" w:rsidRDefault="00395199" w:rsidP="00395199">
            <w:pPr>
              <w:jc w:val="cente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Días</w:t>
            </w:r>
          </w:p>
        </w:tc>
      </w:tr>
      <w:tr w:rsidR="00395199" w:rsidRPr="00395199" w:rsidTr="00395199">
        <w:trPr>
          <w:trHeight w:val="225"/>
        </w:trPr>
        <w:tc>
          <w:tcPr>
            <w:tcW w:w="2329" w:type="pct"/>
            <w:gridSpan w:val="3"/>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Periodo medio de pago a proveedores</w:t>
            </w:r>
          </w:p>
        </w:tc>
        <w:tc>
          <w:tcPr>
            <w:tcW w:w="1354" w:type="pct"/>
            <w:tcBorders>
              <w:top w:val="nil"/>
              <w:left w:val="nil"/>
              <w:bottom w:val="single" w:sz="4" w:space="0" w:color="auto"/>
              <w:right w:val="single" w:sz="4" w:space="0" w:color="auto"/>
            </w:tcBorders>
            <w:shd w:val="clear" w:color="auto" w:fill="auto"/>
            <w:vAlign w:val="bottom"/>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16,51</w:t>
            </w:r>
          </w:p>
        </w:tc>
        <w:tc>
          <w:tcPr>
            <w:tcW w:w="1317" w:type="pct"/>
            <w:tcBorders>
              <w:top w:val="nil"/>
              <w:left w:val="nil"/>
              <w:bottom w:val="single" w:sz="4" w:space="0" w:color="auto"/>
              <w:right w:val="single" w:sz="4" w:space="0" w:color="auto"/>
            </w:tcBorders>
            <w:shd w:val="clear" w:color="auto" w:fill="auto"/>
            <w:vAlign w:val="bottom"/>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14,18</w:t>
            </w:r>
          </w:p>
        </w:tc>
      </w:tr>
      <w:tr w:rsidR="00395199" w:rsidRPr="00395199" w:rsidTr="00395199">
        <w:trPr>
          <w:trHeight w:val="225"/>
        </w:trPr>
        <w:tc>
          <w:tcPr>
            <w:tcW w:w="1638" w:type="pct"/>
            <w:gridSpan w:val="2"/>
            <w:tcBorders>
              <w:top w:val="single" w:sz="4" w:space="0" w:color="auto"/>
              <w:left w:val="single" w:sz="4" w:space="0" w:color="auto"/>
              <w:bottom w:val="single" w:sz="4" w:space="0" w:color="auto"/>
              <w:right w:val="nil"/>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Ratio de operaciones pagadas</w:t>
            </w:r>
          </w:p>
        </w:tc>
        <w:tc>
          <w:tcPr>
            <w:tcW w:w="691"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w:t>
            </w:r>
          </w:p>
        </w:tc>
        <w:tc>
          <w:tcPr>
            <w:tcW w:w="1354" w:type="pct"/>
            <w:tcBorders>
              <w:top w:val="nil"/>
              <w:left w:val="nil"/>
              <w:bottom w:val="single" w:sz="4" w:space="0" w:color="auto"/>
              <w:right w:val="single" w:sz="4" w:space="0" w:color="auto"/>
            </w:tcBorders>
            <w:shd w:val="clear" w:color="auto" w:fill="auto"/>
            <w:vAlign w:val="bottom"/>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17,42</w:t>
            </w:r>
          </w:p>
        </w:tc>
        <w:tc>
          <w:tcPr>
            <w:tcW w:w="1317" w:type="pct"/>
            <w:tcBorders>
              <w:top w:val="nil"/>
              <w:left w:val="nil"/>
              <w:bottom w:val="single" w:sz="4" w:space="0" w:color="auto"/>
              <w:right w:val="single" w:sz="4" w:space="0" w:color="auto"/>
            </w:tcBorders>
            <w:shd w:val="clear" w:color="auto" w:fill="auto"/>
            <w:vAlign w:val="bottom"/>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15,02</w:t>
            </w:r>
          </w:p>
        </w:tc>
      </w:tr>
      <w:tr w:rsidR="00395199" w:rsidRPr="00395199" w:rsidTr="00395199">
        <w:trPr>
          <w:trHeight w:val="225"/>
        </w:trPr>
        <w:tc>
          <w:tcPr>
            <w:tcW w:w="2329"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xml:space="preserve">Ratio de operaciones </w:t>
            </w:r>
            <w:r w:rsidR="00DD448C" w:rsidRPr="00395199">
              <w:rPr>
                <w:rFonts w:ascii="Lucida Bright" w:hAnsi="Lucida Bright" w:cs="Calibri"/>
                <w:color w:val="000000"/>
                <w:sz w:val="14"/>
                <w:szCs w:val="14"/>
                <w:lang w:val="es-ES"/>
              </w:rPr>
              <w:t>pendientes</w:t>
            </w:r>
            <w:r w:rsidRPr="00395199">
              <w:rPr>
                <w:rFonts w:ascii="Lucida Bright" w:hAnsi="Lucida Bright" w:cs="Calibri"/>
                <w:color w:val="000000"/>
                <w:sz w:val="14"/>
                <w:szCs w:val="14"/>
                <w:lang w:val="es-ES"/>
              </w:rPr>
              <w:t xml:space="preserve"> de pago</w:t>
            </w:r>
          </w:p>
        </w:tc>
        <w:tc>
          <w:tcPr>
            <w:tcW w:w="1354" w:type="pct"/>
            <w:tcBorders>
              <w:top w:val="nil"/>
              <w:left w:val="nil"/>
              <w:bottom w:val="single" w:sz="4" w:space="0" w:color="auto"/>
              <w:right w:val="single" w:sz="4" w:space="0" w:color="auto"/>
            </w:tcBorders>
            <w:shd w:val="clear" w:color="auto" w:fill="auto"/>
            <w:vAlign w:val="bottom"/>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5,71</w:t>
            </w:r>
          </w:p>
        </w:tc>
        <w:tc>
          <w:tcPr>
            <w:tcW w:w="1317" w:type="pct"/>
            <w:tcBorders>
              <w:top w:val="nil"/>
              <w:left w:val="nil"/>
              <w:bottom w:val="single" w:sz="4" w:space="0" w:color="auto"/>
              <w:right w:val="single" w:sz="4" w:space="0" w:color="auto"/>
            </w:tcBorders>
            <w:shd w:val="clear" w:color="auto" w:fill="auto"/>
            <w:vAlign w:val="bottom"/>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6,53</w:t>
            </w:r>
          </w:p>
        </w:tc>
      </w:tr>
      <w:tr w:rsidR="00395199" w:rsidRPr="00395199" w:rsidTr="00395199">
        <w:trPr>
          <w:trHeight w:val="225"/>
        </w:trPr>
        <w:tc>
          <w:tcPr>
            <w:tcW w:w="819" w:type="pct"/>
            <w:tcBorders>
              <w:top w:val="nil"/>
              <w:left w:val="nil"/>
              <w:bottom w:val="nil"/>
              <w:right w:val="nil"/>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p>
        </w:tc>
        <w:tc>
          <w:tcPr>
            <w:tcW w:w="819" w:type="pct"/>
            <w:tcBorders>
              <w:top w:val="nil"/>
              <w:left w:val="nil"/>
              <w:bottom w:val="nil"/>
              <w:right w:val="nil"/>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p>
        </w:tc>
        <w:tc>
          <w:tcPr>
            <w:tcW w:w="691" w:type="pct"/>
            <w:tcBorders>
              <w:top w:val="nil"/>
              <w:left w:val="nil"/>
              <w:bottom w:val="nil"/>
              <w:right w:val="nil"/>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p>
        </w:tc>
        <w:tc>
          <w:tcPr>
            <w:tcW w:w="1354" w:type="pct"/>
            <w:tcBorders>
              <w:top w:val="nil"/>
              <w:left w:val="nil"/>
              <w:bottom w:val="nil"/>
              <w:right w:val="nil"/>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Importe euros</w:t>
            </w:r>
          </w:p>
        </w:tc>
        <w:tc>
          <w:tcPr>
            <w:tcW w:w="1317" w:type="pct"/>
            <w:tcBorders>
              <w:top w:val="nil"/>
              <w:left w:val="nil"/>
              <w:bottom w:val="nil"/>
              <w:right w:val="nil"/>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Importe euros</w:t>
            </w:r>
          </w:p>
        </w:tc>
      </w:tr>
      <w:tr w:rsidR="00395199" w:rsidRPr="00395199" w:rsidTr="00395199">
        <w:trPr>
          <w:trHeight w:val="225"/>
        </w:trPr>
        <w:tc>
          <w:tcPr>
            <w:tcW w:w="1638" w:type="pct"/>
            <w:gridSpan w:val="2"/>
            <w:tcBorders>
              <w:top w:val="single" w:sz="4" w:space="0" w:color="auto"/>
              <w:left w:val="single" w:sz="4" w:space="0" w:color="auto"/>
              <w:bottom w:val="single" w:sz="4" w:space="0" w:color="auto"/>
              <w:right w:val="nil"/>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Total pagos realizados</w:t>
            </w:r>
          </w:p>
        </w:tc>
        <w:tc>
          <w:tcPr>
            <w:tcW w:w="691" w:type="pct"/>
            <w:tcBorders>
              <w:top w:val="single" w:sz="4" w:space="0" w:color="auto"/>
              <w:left w:val="nil"/>
              <w:bottom w:val="single" w:sz="4" w:space="0" w:color="auto"/>
              <w:right w:val="single" w:sz="4" w:space="0" w:color="auto"/>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w:t>
            </w:r>
          </w:p>
        </w:tc>
        <w:tc>
          <w:tcPr>
            <w:tcW w:w="1354" w:type="pct"/>
            <w:tcBorders>
              <w:top w:val="single" w:sz="4" w:space="0" w:color="auto"/>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74.015.356,97</w:t>
            </w:r>
          </w:p>
        </w:tc>
        <w:tc>
          <w:tcPr>
            <w:tcW w:w="1317" w:type="pct"/>
            <w:tcBorders>
              <w:top w:val="single" w:sz="4" w:space="0" w:color="auto"/>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43.984.787,68</w:t>
            </w:r>
          </w:p>
        </w:tc>
      </w:tr>
      <w:tr w:rsidR="00395199" w:rsidRPr="00395199" w:rsidTr="00395199">
        <w:trPr>
          <w:trHeight w:val="225"/>
        </w:trPr>
        <w:tc>
          <w:tcPr>
            <w:tcW w:w="1638" w:type="pct"/>
            <w:gridSpan w:val="2"/>
            <w:tcBorders>
              <w:top w:val="single" w:sz="4" w:space="0" w:color="auto"/>
              <w:left w:val="single" w:sz="4" w:space="0" w:color="auto"/>
              <w:bottom w:val="single" w:sz="4" w:space="0" w:color="auto"/>
              <w:right w:val="nil"/>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Total pagos pendientes</w:t>
            </w:r>
          </w:p>
        </w:tc>
        <w:tc>
          <w:tcPr>
            <w:tcW w:w="691"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w:t>
            </w:r>
          </w:p>
        </w:tc>
        <w:tc>
          <w:tcPr>
            <w:tcW w:w="1354"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3.745.457,23</w:t>
            </w:r>
          </w:p>
        </w:tc>
        <w:tc>
          <w:tcPr>
            <w:tcW w:w="1317"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right"/>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2.879.246,60</w:t>
            </w:r>
          </w:p>
        </w:tc>
      </w:tr>
    </w:tbl>
    <w:p w:rsidR="00991EBD" w:rsidRDefault="00991EBD" w:rsidP="000214BB">
      <w:pPr>
        <w:pStyle w:val="Sangradetextonormal"/>
        <w:tabs>
          <w:tab w:val="clear" w:pos="8364"/>
          <w:tab w:val="right" w:pos="8222"/>
        </w:tabs>
        <w:rPr>
          <w:rFonts w:ascii="NewBaskerville" w:hAnsi="NewBaskerville"/>
          <w:sz w:val="20"/>
        </w:rPr>
      </w:pPr>
    </w:p>
    <w:p w:rsidR="00395199" w:rsidRDefault="00395199" w:rsidP="000214BB">
      <w:pPr>
        <w:pStyle w:val="Sangradetextonormal"/>
        <w:tabs>
          <w:tab w:val="clear" w:pos="8364"/>
          <w:tab w:val="right" w:pos="8222"/>
        </w:tabs>
        <w:rPr>
          <w:rFonts w:ascii="NewBaskerville" w:hAnsi="NewBaskerville"/>
          <w:sz w:val="20"/>
        </w:rPr>
      </w:pPr>
    </w:p>
    <w:p w:rsidR="00395199" w:rsidRDefault="00395199" w:rsidP="000214BB">
      <w:pPr>
        <w:pStyle w:val="Sangradetextonormal"/>
        <w:tabs>
          <w:tab w:val="clear" w:pos="8364"/>
          <w:tab w:val="right" w:pos="8222"/>
        </w:tabs>
        <w:rPr>
          <w:rFonts w:ascii="NewBaskerville" w:hAnsi="NewBaskerville"/>
          <w:sz w:val="20"/>
        </w:rPr>
      </w:pPr>
    </w:p>
    <w:tbl>
      <w:tblPr>
        <w:tblW w:w="5000" w:type="pct"/>
        <w:tblCellMar>
          <w:left w:w="70" w:type="dxa"/>
          <w:right w:w="70" w:type="dxa"/>
        </w:tblCellMar>
        <w:tblLook w:val="04A0" w:firstRow="1" w:lastRow="0" w:firstColumn="1" w:lastColumn="0" w:noHBand="0" w:noVBand="1"/>
      </w:tblPr>
      <w:tblGrid>
        <w:gridCol w:w="2002"/>
        <w:gridCol w:w="2002"/>
        <w:gridCol w:w="2002"/>
        <w:gridCol w:w="1656"/>
        <w:gridCol w:w="982"/>
      </w:tblGrid>
      <w:tr w:rsidR="00395199" w:rsidRPr="00395199" w:rsidTr="00395199">
        <w:trPr>
          <w:trHeight w:val="225"/>
        </w:trPr>
        <w:tc>
          <w:tcPr>
            <w:tcW w:w="5000" w:type="pct"/>
            <w:gridSpan w:val="5"/>
            <w:vMerge w:val="restart"/>
            <w:tcBorders>
              <w:top w:val="single" w:sz="8" w:space="0" w:color="auto"/>
              <w:left w:val="single" w:sz="8" w:space="0" w:color="auto"/>
              <w:bottom w:val="nil"/>
              <w:right w:val="single" w:sz="8" w:space="0" w:color="000000"/>
            </w:tcBorders>
            <w:shd w:val="clear" w:color="000000" w:fill="CCFFCC"/>
            <w:vAlign w:val="bottom"/>
            <w:hideMark/>
          </w:tcPr>
          <w:p w:rsidR="00395199" w:rsidRPr="00395199" w:rsidRDefault="00395199" w:rsidP="00395199">
            <w:pP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Información sobre el volumen monetario y número de facturas pagadas en un período inferior al máximo establecido en la normativa de morosidad</w:t>
            </w:r>
          </w:p>
        </w:tc>
      </w:tr>
      <w:tr w:rsidR="00395199" w:rsidRPr="00395199" w:rsidTr="00395199">
        <w:trPr>
          <w:trHeight w:val="240"/>
        </w:trPr>
        <w:tc>
          <w:tcPr>
            <w:tcW w:w="5000" w:type="pct"/>
            <w:gridSpan w:val="5"/>
            <w:vMerge/>
            <w:tcBorders>
              <w:top w:val="single" w:sz="8" w:space="0" w:color="auto"/>
              <w:left w:val="single" w:sz="8" w:space="0" w:color="auto"/>
              <w:bottom w:val="nil"/>
              <w:right w:val="single" w:sz="8" w:space="0" w:color="000000"/>
            </w:tcBorders>
            <w:vAlign w:val="center"/>
            <w:hideMark/>
          </w:tcPr>
          <w:p w:rsidR="00395199" w:rsidRPr="00395199" w:rsidRDefault="00395199" w:rsidP="00395199">
            <w:pPr>
              <w:rPr>
                <w:rFonts w:ascii="Lucida Bright" w:hAnsi="Lucida Bright" w:cs="Calibri"/>
                <w:b/>
                <w:bCs/>
                <w:color w:val="000000"/>
                <w:sz w:val="14"/>
                <w:szCs w:val="14"/>
                <w:lang w:val="es-ES"/>
              </w:rPr>
            </w:pPr>
          </w:p>
        </w:tc>
      </w:tr>
      <w:tr w:rsidR="00395199" w:rsidRPr="00395199" w:rsidTr="00395199">
        <w:trPr>
          <w:trHeight w:val="225"/>
        </w:trPr>
        <w:tc>
          <w:tcPr>
            <w:tcW w:w="1158" w:type="pct"/>
            <w:tcBorders>
              <w:top w:val="nil"/>
              <w:left w:val="single" w:sz="8" w:space="0" w:color="auto"/>
              <w:bottom w:val="nil"/>
              <w:right w:val="nil"/>
            </w:tcBorders>
            <w:shd w:val="clear" w:color="000000" w:fill="CCFFCC"/>
            <w:vAlign w:val="bottom"/>
            <w:hideMark/>
          </w:tcPr>
          <w:p w:rsidR="00395199" w:rsidRPr="00395199" w:rsidRDefault="00395199" w:rsidP="00395199">
            <w:pP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 </w:t>
            </w:r>
          </w:p>
        </w:tc>
        <w:tc>
          <w:tcPr>
            <w:tcW w:w="1158" w:type="pct"/>
            <w:tcBorders>
              <w:top w:val="nil"/>
              <w:left w:val="nil"/>
              <w:bottom w:val="nil"/>
              <w:right w:val="nil"/>
            </w:tcBorders>
            <w:shd w:val="clear" w:color="000000" w:fill="CCFFCC"/>
            <w:vAlign w:val="bottom"/>
            <w:hideMark/>
          </w:tcPr>
          <w:p w:rsidR="00395199" w:rsidRPr="00395199" w:rsidRDefault="00395199" w:rsidP="00395199">
            <w:pP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 </w:t>
            </w:r>
          </w:p>
        </w:tc>
        <w:tc>
          <w:tcPr>
            <w:tcW w:w="1158" w:type="pct"/>
            <w:tcBorders>
              <w:top w:val="nil"/>
              <w:left w:val="nil"/>
              <w:bottom w:val="nil"/>
              <w:right w:val="nil"/>
            </w:tcBorders>
            <w:shd w:val="clear" w:color="000000" w:fill="CCFFCC"/>
            <w:vAlign w:val="bottom"/>
            <w:hideMark/>
          </w:tcPr>
          <w:p w:rsidR="00395199" w:rsidRPr="00395199" w:rsidRDefault="00395199" w:rsidP="00395199">
            <w:pP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 </w:t>
            </w:r>
          </w:p>
        </w:tc>
        <w:tc>
          <w:tcPr>
            <w:tcW w:w="1526" w:type="pct"/>
            <w:gridSpan w:val="2"/>
            <w:tcBorders>
              <w:top w:val="single" w:sz="8" w:space="0" w:color="auto"/>
              <w:left w:val="single" w:sz="8" w:space="0" w:color="auto"/>
              <w:bottom w:val="nil"/>
              <w:right w:val="single" w:sz="8" w:space="0" w:color="000000"/>
            </w:tcBorders>
            <w:shd w:val="clear" w:color="000000" w:fill="CCFFCC"/>
            <w:vAlign w:val="bottom"/>
            <w:hideMark/>
          </w:tcPr>
          <w:p w:rsidR="00395199" w:rsidRPr="00395199" w:rsidRDefault="00395199" w:rsidP="00395199">
            <w:pPr>
              <w:jc w:val="center"/>
              <w:rPr>
                <w:rFonts w:ascii="Lucida Bright" w:hAnsi="Lucida Bright" w:cs="Calibri"/>
                <w:b/>
                <w:bCs/>
                <w:color w:val="000000"/>
                <w:sz w:val="14"/>
                <w:szCs w:val="14"/>
                <w:lang w:val="es-ES"/>
              </w:rPr>
            </w:pPr>
            <w:r w:rsidRPr="00395199">
              <w:rPr>
                <w:rFonts w:ascii="Lucida Bright" w:hAnsi="Lucida Bright" w:cs="Calibri"/>
                <w:b/>
                <w:bCs/>
                <w:color w:val="000000"/>
                <w:sz w:val="14"/>
                <w:szCs w:val="14"/>
                <w:lang w:val="es-ES"/>
              </w:rPr>
              <w:t>2023</w:t>
            </w:r>
          </w:p>
        </w:tc>
      </w:tr>
      <w:tr w:rsidR="00395199" w:rsidRPr="00395199" w:rsidTr="00395199">
        <w:trPr>
          <w:trHeight w:val="240"/>
        </w:trPr>
        <w:tc>
          <w:tcPr>
            <w:tcW w:w="3474" w:type="pct"/>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xml:space="preserve">Núm. de </w:t>
            </w:r>
            <w:proofErr w:type="spellStart"/>
            <w:r w:rsidRPr="00395199">
              <w:rPr>
                <w:rFonts w:ascii="Lucida Bright" w:hAnsi="Lucida Bright" w:cs="Calibri"/>
                <w:color w:val="000000"/>
                <w:sz w:val="14"/>
                <w:szCs w:val="14"/>
                <w:lang w:val="es-ES"/>
              </w:rPr>
              <w:t>fact</w:t>
            </w:r>
            <w:proofErr w:type="spellEnd"/>
            <w:r w:rsidRPr="00395199">
              <w:rPr>
                <w:rFonts w:ascii="Lucida Bright" w:hAnsi="Lucida Bright" w:cs="Calibri"/>
                <w:color w:val="000000"/>
                <w:sz w:val="14"/>
                <w:szCs w:val="14"/>
                <w:lang w:val="es-ES"/>
              </w:rPr>
              <w:t xml:space="preserve"> pagadas en un período inferior al </w:t>
            </w:r>
            <w:proofErr w:type="spellStart"/>
            <w:r w:rsidRPr="00395199">
              <w:rPr>
                <w:rFonts w:ascii="Lucida Bright" w:hAnsi="Lucida Bright" w:cs="Calibri"/>
                <w:color w:val="000000"/>
                <w:sz w:val="14"/>
                <w:szCs w:val="14"/>
                <w:lang w:val="es-ES"/>
              </w:rPr>
              <w:t>máx</w:t>
            </w:r>
            <w:proofErr w:type="spellEnd"/>
            <w:r w:rsidRPr="00395199">
              <w:rPr>
                <w:rFonts w:ascii="Lucida Bright" w:hAnsi="Lucida Bright" w:cs="Calibri"/>
                <w:color w:val="000000"/>
                <w:sz w:val="14"/>
                <w:szCs w:val="14"/>
                <w:lang w:val="es-ES"/>
              </w:rPr>
              <w:t xml:space="preserve"> </w:t>
            </w:r>
            <w:proofErr w:type="spellStart"/>
            <w:r w:rsidRPr="00395199">
              <w:rPr>
                <w:rFonts w:ascii="Lucida Bright" w:hAnsi="Lucida Bright" w:cs="Calibri"/>
                <w:color w:val="000000"/>
                <w:sz w:val="14"/>
                <w:szCs w:val="14"/>
                <w:lang w:val="es-ES"/>
              </w:rPr>
              <w:t>establ</w:t>
            </w:r>
            <w:proofErr w:type="spellEnd"/>
            <w:r w:rsidRPr="00395199">
              <w:rPr>
                <w:rFonts w:ascii="Lucida Bright" w:hAnsi="Lucida Bright" w:cs="Calibri"/>
                <w:color w:val="000000"/>
                <w:sz w:val="14"/>
                <w:szCs w:val="14"/>
                <w:lang w:val="es-ES"/>
              </w:rPr>
              <w:t>.</w:t>
            </w:r>
          </w:p>
        </w:tc>
        <w:tc>
          <w:tcPr>
            <w:tcW w:w="9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3774</w:t>
            </w:r>
          </w:p>
        </w:tc>
        <w:tc>
          <w:tcPr>
            <w:tcW w:w="567" w:type="pct"/>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90,72%</w:t>
            </w:r>
          </w:p>
        </w:tc>
      </w:tr>
      <w:tr w:rsidR="00395199" w:rsidRPr="00395199" w:rsidTr="00395199">
        <w:trPr>
          <w:trHeight w:val="165"/>
        </w:trPr>
        <w:tc>
          <w:tcPr>
            <w:tcW w:w="3474" w:type="pct"/>
            <w:gridSpan w:val="3"/>
            <w:vMerge/>
            <w:tcBorders>
              <w:top w:val="single" w:sz="4" w:space="0" w:color="auto"/>
              <w:left w:val="single" w:sz="8" w:space="0" w:color="auto"/>
              <w:bottom w:val="single" w:sz="4" w:space="0" w:color="auto"/>
              <w:right w:val="single" w:sz="4" w:space="0" w:color="auto"/>
            </w:tcBorders>
            <w:vAlign w:val="center"/>
            <w:hideMark/>
          </w:tcPr>
          <w:p w:rsidR="00395199" w:rsidRPr="00395199" w:rsidRDefault="00395199" w:rsidP="00395199">
            <w:pPr>
              <w:rPr>
                <w:rFonts w:ascii="Lucida Bright" w:hAnsi="Lucida Bright" w:cs="Calibri"/>
                <w:color w:val="000000"/>
                <w:sz w:val="14"/>
                <w:szCs w:val="14"/>
                <w:lang w:val="es-ES"/>
              </w:rPr>
            </w:pP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395199" w:rsidRPr="00395199" w:rsidRDefault="00395199" w:rsidP="00395199">
            <w:pPr>
              <w:rPr>
                <w:rFonts w:ascii="Lucida Bright" w:hAnsi="Lucida Bright" w:cs="Calibri"/>
                <w:color w:val="000000"/>
                <w:sz w:val="14"/>
                <w:szCs w:val="14"/>
                <w:lang w:val="es-ES"/>
              </w:rPr>
            </w:pPr>
          </w:p>
        </w:tc>
        <w:tc>
          <w:tcPr>
            <w:tcW w:w="567" w:type="pct"/>
            <w:vMerge/>
            <w:tcBorders>
              <w:top w:val="single" w:sz="4" w:space="0" w:color="auto"/>
              <w:left w:val="single" w:sz="4" w:space="0" w:color="auto"/>
              <w:bottom w:val="single" w:sz="4" w:space="0" w:color="auto"/>
              <w:right w:val="single" w:sz="8" w:space="0" w:color="auto"/>
            </w:tcBorders>
            <w:vAlign w:val="center"/>
            <w:hideMark/>
          </w:tcPr>
          <w:p w:rsidR="00395199" w:rsidRPr="00395199" w:rsidRDefault="00395199" w:rsidP="00395199">
            <w:pPr>
              <w:rPr>
                <w:rFonts w:ascii="Lucida Bright" w:hAnsi="Lucida Bright" w:cs="Calibri"/>
                <w:color w:val="000000"/>
                <w:sz w:val="14"/>
                <w:szCs w:val="14"/>
                <w:lang w:val="es-ES"/>
              </w:rPr>
            </w:pPr>
          </w:p>
        </w:tc>
      </w:tr>
      <w:tr w:rsidR="00395199" w:rsidRPr="00395199" w:rsidTr="00395199">
        <w:trPr>
          <w:trHeight w:val="225"/>
        </w:trPr>
        <w:tc>
          <w:tcPr>
            <w:tcW w:w="3474" w:type="pct"/>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Núm. total de facturas pagadas</w:t>
            </w:r>
          </w:p>
        </w:tc>
        <w:tc>
          <w:tcPr>
            <w:tcW w:w="958" w:type="pct"/>
            <w:tcBorders>
              <w:top w:val="nil"/>
              <w:left w:val="nil"/>
              <w:bottom w:val="single" w:sz="4" w:space="0" w:color="auto"/>
              <w:right w:val="single" w:sz="4" w:space="0" w:color="auto"/>
            </w:tcBorders>
            <w:shd w:val="clear" w:color="auto" w:fill="auto"/>
            <w:noWrap/>
            <w:vAlign w:val="bottom"/>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4160</w:t>
            </w:r>
          </w:p>
        </w:tc>
        <w:tc>
          <w:tcPr>
            <w:tcW w:w="567" w:type="pct"/>
            <w:tcBorders>
              <w:top w:val="nil"/>
              <w:left w:val="nil"/>
              <w:bottom w:val="single" w:sz="4" w:space="0" w:color="auto"/>
              <w:right w:val="single" w:sz="8" w:space="0" w:color="auto"/>
            </w:tcBorders>
            <w:shd w:val="clear" w:color="auto" w:fill="auto"/>
            <w:noWrap/>
            <w:vAlign w:val="center"/>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100,00%</w:t>
            </w:r>
          </w:p>
        </w:tc>
      </w:tr>
      <w:tr w:rsidR="00395199" w:rsidRPr="00395199" w:rsidTr="00395199">
        <w:trPr>
          <w:trHeight w:val="225"/>
        </w:trPr>
        <w:tc>
          <w:tcPr>
            <w:tcW w:w="3474" w:type="pct"/>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 xml:space="preserve">Volumen monetario de </w:t>
            </w:r>
            <w:proofErr w:type="spellStart"/>
            <w:r w:rsidRPr="00395199">
              <w:rPr>
                <w:rFonts w:ascii="Lucida Bright" w:hAnsi="Lucida Bright" w:cs="Calibri"/>
                <w:color w:val="000000"/>
                <w:sz w:val="14"/>
                <w:szCs w:val="14"/>
                <w:lang w:val="es-ES"/>
              </w:rPr>
              <w:t>fact</w:t>
            </w:r>
            <w:proofErr w:type="spellEnd"/>
            <w:r w:rsidRPr="00395199">
              <w:rPr>
                <w:rFonts w:ascii="Lucida Bright" w:hAnsi="Lucida Bright" w:cs="Calibri"/>
                <w:color w:val="000000"/>
                <w:sz w:val="14"/>
                <w:szCs w:val="14"/>
                <w:lang w:val="es-ES"/>
              </w:rPr>
              <w:t xml:space="preserve"> pagadas en un período inferior al </w:t>
            </w:r>
            <w:proofErr w:type="spellStart"/>
            <w:r w:rsidRPr="00395199">
              <w:rPr>
                <w:rFonts w:ascii="Lucida Bright" w:hAnsi="Lucida Bright" w:cs="Calibri"/>
                <w:color w:val="000000"/>
                <w:sz w:val="14"/>
                <w:szCs w:val="14"/>
                <w:lang w:val="es-ES"/>
              </w:rPr>
              <w:t>máx</w:t>
            </w:r>
            <w:proofErr w:type="spellEnd"/>
            <w:r w:rsidRPr="00395199">
              <w:rPr>
                <w:rFonts w:ascii="Lucida Bright" w:hAnsi="Lucida Bright" w:cs="Calibri"/>
                <w:color w:val="000000"/>
                <w:sz w:val="14"/>
                <w:szCs w:val="14"/>
                <w:lang w:val="es-ES"/>
              </w:rPr>
              <w:t xml:space="preserve"> </w:t>
            </w:r>
            <w:proofErr w:type="spellStart"/>
            <w:r w:rsidRPr="00395199">
              <w:rPr>
                <w:rFonts w:ascii="Lucida Bright" w:hAnsi="Lucida Bright" w:cs="Calibri"/>
                <w:color w:val="000000"/>
                <w:sz w:val="14"/>
                <w:szCs w:val="14"/>
                <w:lang w:val="es-ES"/>
              </w:rPr>
              <w:t>establ</w:t>
            </w:r>
            <w:proofErr w:type="spellEnd"/>
            <w:r w:rsidRPr="00395199">
              <w:rPr>
                <w:rFonts w:ascii="Lucida Bright" w:hAnsi="Lucida Bright" w:cs="Calibri"/>
                <w:color w:val="000000"/>
                <w:sz w:val="14"/>
                <w:szCs w:val="14"/>
                <w:lang w:val="es-ES"/>
              </w:rPr>
              <w:t>.</w:t>
            </w:r>
          </w:p>
        </w:tc>
        <w:tc>
          <w:tcPr>
            <w:tcW w:w="9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68.488.097,69</w:t>
            </w:r>
          </w:p>
        </w:tc>
        <w:tc>
          <w:tcPr>
            <w:tcW w:w="567" w:type="pct"/>
            <w:vMerge w:val="restart"/>
            <w:tcBorders>
              <w:top w:val="nil"/>
              <w:left w:val="single" w:sz="4" w:space="0" w:color="auto"/>
              <w:bottom w:val="single" w:sz="4" w:space="0" w:color="auto"/>
              <w:right w:val="single" w:sz="8" w:space="0" w:color="auto"/>
            </w:tcBorders>
            <w:shd w:val="clear" w:color="auto" w:fill="auto"/>
            <w:noWrap/>
            <w:vAlign w:val="center"/>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92,53%</w:t>
            </w:r>
          </w:p>
        </w:tc>
      </w:tr>
      <w:tr w:rsidR="00395199" w:rsidRPr="00395199" w:rsidTr="00395199">
        <w:trPr>
          <w:trHeight w:val="225"/>
        </w:trPr>
        <w:tc>
          <w:tcPr>
            <w:tcW w:w="3474" w:type="pct"/>
            <w:gridSpan w:val="3"/>
            <w:vMerge/>
            <w:tcBorders>
              <w:top w:val="single" w:sz="4" w:space="0" w:color="auto"/>
              <w:left w:val="single" w:sz="8" w:space="0" w:color="auto"/>
              <w:bottom w:val="single" w:sz="4" w:space="0" w:color="auto"/>
              <w:right w:val="single" w:sz="4" w:space="0" w:color="auto"/>
            </w:tcBorders>
            <w:vAlign w:val="center"/>
            <w:hideMark/>
          </w:tcPr>
          <w:p w:rsidR="00395199" w:rsidRPr="00395199" w:rsidRDefault="00395199" w:rsidP="00395199">
            <w:pPr>
              <w:rPr>
                <w:rFonts w:ascii="Lucida Bright" w:hAnsi="Lucida Bright" w:cs="Calibri"/>
                <w:color w:val="000000"/>
                <w:sz w:val="14"/>
                <w:szCs w:val="14"/>
                <w:lang w:val="es-ES"/>
              </w:rPr>
            </w:pPr>
          </w:p>
        </w:tc>
        <w:tc>
          <w:tcPr>
            <w:tcW w:w="958" w:type="pct"/>
            <w:vMerge/>
            <w:tcBorders>
              <w:top w:val="nil"/>
              <w:left w:val="single" w:sz="4" w:space="0" w:color="auto"/>
              <w:bottom w:val="single" w:sz="4" w:space="0" w:color="auto"/>
              <w:right w:val="single" w:sz="4" w:space="0" w:color="auto"/>
            </w:tcBorders>
            <w:vAlign w:val="center"/>
            <w:hideMark/>
          </w:tcPr>
          <w:p w:rsidR="00395199" w:rsidRPr="00395199" w:rsidRDefault="00395199" w:rsidP="00395199">
            <w:pPr>
              <w:rPr>
                <w:rFonts w:ascii="Lucida Bright" w:hAnsi="Lucida Bright" w:cs="Calibri"/>
                <w:color w:val="000000"/>
                <w:sz w:val="14"/>
                <w:szCs w:val="14"/>
                <w:lang w:val="es-ES"/>
              </w:rPr>
            </w:pPr>
          </w:p>
        </w:tc>
        <w:tc>
          <w:tcPr>
            <w:tcW w:w="567" w:type="pct"/>
            <w:vMerge/>
            <w:tcBorders>
              <w:top w:val="nil"/>
              <w:left w:val="single" w:sz="4" w:space="0" w:color="auto"/>
              <w:bottom w:val="single" w:sz="4" w:space="0" w:color="auto"/>
              <w:right w:val="single" w:sz="8" w:space="0" w:color="auto"/>
            </w:tcBorders>
            <w:vAlign w:val="center"/>
            <w:hideMark/>
          </w:tcPr>
          <w:p w:rsidR="00395199" w:rsidRPr="00395199" w:rsidRDefault="00395199" w:rsidP="00395199">
            <w:pPr>
              <w:rPr>
                <w:rFonts w:ascii="Lucida Bright" w:hAnsi="Lucida Bright" w:cs="Calibri"/>
                <w:color w:val="000000"/>
                <w:sz w:val="14"/>
                <w:szCs w:val="14"/>
                <w:lang w:val="es-ES"/>
              </w:rPr>
            </w:pPr>
          </w:p>
        </w:tc>
      </w:tr>
      <w:tr w:rsidR="00395199" w:rsidRPr="00395199" w:rsidTr="00395199">
        <w:trPr>
          <w:trHeight w:val="315"/>
        </w:trPr>
        <w:tc>
          <w:tcPr>
            <w:tcW w:w="3474" w:type="pct"/>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395199" w:rsidRPr="00395199" w:rsidRDefault="00395199" w:rsidP="00395199">
            <w:pP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Volumen monetario total de facturas pagadas</w:t>
            </w:r>
          </w:p>
        </w:tc>
        <w:tc>
          <w:tcPr>
            <w:tcW w:w="958" w:type="pct"/>
            <w:tcBorders>
              <w:top w:val="nil"/>
              <w:left w:val="nil"/>
              <w:bottom w:val="single" w:sz="8" w:space="0" w:color="auto"/>
              <w:right w:val="single" w:sz="4" w:space="0" w:color="auto"/>
            </w:tcBorders>
            <w:shd w:val="clear" w:color="auto" w:fill="auto"/>
            <w:noWrap/>
            <w:vAlign w:val="center"/>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74.015.356,97</w:t>
            </w:r>
          </w:p>
        </w:tc>
        <w:tc>
          <w:tcPr>
            <w:tcW w:w="567" w:type="pct"/>
            <w:tcBorders>
              <w:top w:val="nil"/>
              <w:left w:val="nil"/>
              <w:bottom w:val="single" w:sz="8" w:space="0" w:color="auto"/>
              <w:right w:val="single" w:sz="8" w:space="0" w:color="auto"/>
            </w:tcBorders>
            <w:shd w:val="clear" w:color="auto" w:fill="auto"/>
            <w:noWrap/>
            <w:vAlign w:val="center"/>
            <w:hideMark/>
          </w:tcPr>
          <w:p w:rsidR="00395199" w:rsidRPr="00395199" w:rsidRDefault="00395199" w:rsidP="00395199">
            <w:pPr>
              <w:jc w:val="center"/>
              <w:rPr>
                <w:rFonts w:ascii="Lucida Bright" w:hAnsi="Lucida Bright" w:cs="Calibri"/>
                <w:color w:val="000000"/>
                <w:sz w:val="14"/>
                <w:szCs w:val="14"/>
                <w:lang w:val="es-ES"/>
              </w:rPr>
            </w:pPr>
            <w:r w:rsidRPr="00395199">
              <w:rPr>
                <w:rFonts w:ascii="Lucida Bright" w:hAnsi="Lucida Bright" w:cs="Calibri"/>
                <w:color w:val="000000"/>
                <w:sz w:val="14"/>
                <w:szCs w:val="14"/>
                <w:lang w:val="es-ES"/>
              </w:rPr>
              <w:t>100,00%</w:t>
            </w:r>
          </w:p>
        </w:tc>
      </w:tr>
    </w:tbl>
    <w:p w:rsidR="00991EBD" w:rsidRDefault="00991EBD" w:rsidP="000214BB">
      <w:pPr>
        <w:pStyle w:val="Sangradetextonormal"/>
        <w:tabs>
          <w:tab w:val="clear" w:pos="8364"/>
          <w:tab w:val="right" w:pos="8222"/>
        </w:tabs>
        <w:rPr>
          <w:rFonts w:ascii="NewBaskerville" w:hAnsi="NewBaskerville"/>
          <w:sz w:val="20"/>
        </w:rPr>
      </w:pPr>
    </w:p>
    <w:p w:rsidR="00991EBD" w:rsidRDefault="00991EBD" w:rsidP="000214BB">
      <w:pPr>
        <w:pStyle w:val="Sangradetextonormal"/>
        <w:tabs>
          <w:tab w:val="clear" w:pos="8364"/>
          <w:tab w:val="right" w:pos="8222"/>
        </w:tabs>
        <w:rPr>
          <w:rFonts w:ascii="NewBaskerville" w:hAnsi="NewBaskerville"/>
          <w:sz w:val="20"/>
        </w:rPr>
      </w:pPr>
    </w:p>
    <w:p w:rsidR="002D2BC3" w:rsidRDefault="002D2BC3" w:rsidP="002D2BC3">
      <w:pPr>
        <w:tabs>
          <w:tab w:val="right" w:pos="8364"/>
        </w:tabs>
        <w:ind w:firstLine="567"/>
        <w:jc w:val="both"/>
        <w:rPr>
          <w:sz w:val="24"/>
        </w:rPr>
      </w:pPr>
    </w:p>
    <w:p w:rsidR="002D2BC3" w:rsidRDefault="002D2BC3" w:rsidP="002D2BC3">
      <w:pPr>
        <w:tabs>
          <w:tab w:val="right" w:pos="8364"/>
        </w:tabs>
        <w:ind w:left="567" w:hanging="567"/>
        <w:jc w:val="both"/>
        <w:rPr>
          <w:rFonts w:ascii="NewBaskerville" w:hAnsi="NewBaskerville"/>
          <w:b/>
          <w:bCs/>
          <w:sz w:val="24"/>
          <w:szCs w:val="24"/>
        </w:rPr>
      </w:pPr>
      <w:r>
        <w:rPr>
          <w:rFonts w:ascii="NewBaskerville" w:hAnsi="NewBaskerville"/>
          <w:b/>
          <w:bCs/>
          <w:sz w:val="24"/>
          <w:szCs w:val="24"/>
        </w:rPr>
        <w:t>19</w:t>
      </w:r>
      <w:r w:rsidRPr="00803B43">
        <w:rPr>
          <w:rFonts w:ascii="NewBaskerville" w:hAnsi="NewBaskerville"/>
          <w:b/>
          <w:bCs/>
          <w:sz w:val="24"/>
          <w:szCs w:val="24"/>
        </w:rPr>
        <w:t xml:space="preserve">. </w:t>
      </w:r>
      <w:r>
        <w:rPr>
          <w:rFonts w:ascii="NewBaskerville" w:hAnsi="NewBaskerville"/>
          <w:b/>
          <w:bCs/>
          <w:sz w:val="24"/>
          <w:szCs w:val="24"/>
        </w:rPr>
        <w:t>Hechos posteriores al cierre.</w:t>
      </w:r>
    </w:p>
    <w:p w:rsidR="002D2BC3" w:rsidRPr="00803B43" w:rsidRDefault="002D2BC3" w:rsidP="002D2BC3">
      <w:pPr>
        <w:tabs>
          <w:tab w:val="right" w:pos="8364"/>
        </w:tabs>
        <w:ind w:left="567" w:hanging="567"/>
        <w:jc w:val="both"/>
        <w:rPr>
          <w:rFonts w:ascii="NewBaskerville" w:hAnsi="NewBaskerville"/>
          <w:b/>
          <w:bCs/>
          <w:sz w:val="24"/>
          <w:szCs w:val="24"/>
        </w:rPr>
      </w:pPr>
    </w:p>
    <w:p w:rsidR="00991EBD" w:rsidRDefault="002D2BC3" w:rsidP="000214BB">
      <w:pPr>
        <w:pStyle w:val="Sangradetextonormal"/>
        <w:tabs>
          <w:tab w:val="clear" w:pos="8364"/>
          <w:tab w:val="right" w:pos="8222"/>
        </w:tabs>
        <w:rPr>
          <w:rFonts w:ascii="NewBaskerville" w:hAnsi="NewBaskerville"/>
          <w:sz w:val="20"/>
        </w:rPr>
      </w:pPr>
      <w:r>
        <w:rPr>
          <w:rFonts w:ascii="NewBaskerville" w:hAnsi="NewBaskerville"/>
          <w:sz w:val="20"/>
        </w:rPr>
        <w:t xml:space="preserve">En fechas posteriores al cierre referido </w:t>
      </w:r>
      <w:r w:rsidR="00C06926">
        <w:rPr>
          <w:rFonts w:ascii="NewBaskerville" w:hAnsi="NewBaskerville"/>
          <w:sz w:val="20"/>
        </w:rPr>
        <w:t>en</w:t>
      </w:r>
      <w:r>
        <w:rPr>
          <w:rFonts w:ascii="NewBaskerville" w:hAnsi="NewBaskerville"/>
          <w:sz w:val="20"/>
        </w:rPr>
        <w:t xml:space="preserve"> estas Cuentas Anuales</w:t>
      </w:r>
      <w:r w:rsidR="00C06926">
        <w:rPr>
          <w:rFonts w:ascii="NewBaskerville" w:hAnsi="NewBaskerville"/>
          <w:sz w:val="20"/>
        </w:rPr>
        <w:t>,</w:t>
      </w:r>
      <w:r>
        <w:rPr>
          <w:rFonts w:ascii="NewBaskerville" w:hAnsi="NewBaskerville"/>
          <w:sz w:val="20"/>
        </w:rPr>
        <w:t xml:space="preserve"> se ha</w:t>
      </w:r>
      <w:r w:rsidR="00C06926">
        <w:rPr>
          <w:rFonts w:ascii="NewBaskerville" w:hAnsi="NewBaskerville"/>
          <w:sz w:val="20"/>
        </w:rPr>
        <w:t>n</w:t>
      </w:r>
      <w:r>
        <w:rPr>
          <w:rFonts w:ascii="NewBaskerville" w:hAnsi="NewBaskerville"/>
          <w:sz w:val="20"/>
        </w:rPr>
        <w:t xml:space="preserve"> recibido </w:t>
      </w:r>
      <w:r w:rsidR="00C06926">
        <w:rPr>
          <w:rFonts w:ascii="NewBaskerville" w:hAnsi="NewBaskerville"/>
          <w:sz w:val="20"/>
        </w:rPr>
        <w:t xml:space="preserve">resoluciones desfavorables a la Entidad que han adquirido firmeza, correspondientes </w:t>
      </w:r>
      <w:proofErr w:type="gramStart"/>
      <w:r w:rsidR="00C06926">
        <w:rPr>
          <w:rFonts w:ascii="NewBaskerville" w:hAnsi="NewBaskerville"/>
          <w:sz w:val="20"/>
        </w:rPr>
        <w:t>a</w:t>
      </w:r>
      <w:proofErr w:type="gramEnd"/>
      <w:r w:rsidR="00C06926">
        <w:rPr>
          <w:rFonts w:ascii="NewBaskerville" w:hAnsi="NewBaskerville"/>
          <w:sz w:val="20"/>
        </w:rPr>
        <w:t>:</w:t>
      </w:r>
    </w:p>
    <w:p w:rsidR="009B7514" w:rsidRDefault="009B7514" w:rsidP="000214BB">
      <w:pPr>
        <w:pStyle w:val="Sangradetextonormal"/>
        <w:tabs>
          <w:tab w:val="clear" w:pos="8364"/>
          <w:tab w:val="right" w:pos="8222"/>
        </w:tabs>
        <w:rPr>
          <w:rFonts w:ascii="NewBaskerville" w:hAnsi="NewBaskerville"/>
          <w:sz w:val="20"/>
        </w:rPr>
      </w:pPr>
    </w:p>
    <w:p w:rsidR="00C06926" w:rsidRDefault="00C06926" w:rsidP="00C06926">
      <w:pPr>
        <w:pStyle w:val="Sangradetextonormal"/>
        <w:numPr>
          <w:ilvl w:val="0"/>
          <w:numId w:val="6"/>
        </w:numPr>
        <w:tabs>
          <w:tab w:val="clear" w:pos="8364"/>
          <w:tab w:val="right" w:pos="8222"/>
        </w:tabs>
        <w:rPr>
          <w:rFonts w:ascii="NewBaskerville" w:hAnsi="NewBaskerville"/>
          <w:sz w:val="20"/>
        </w:rPr>
      </w:pPr>
      <w:r>
        <w:rPr>
          <w:rFonts w:ascii="NewBaskerville" w:hAnsi="NewBaskerville"/>
          <w:sz w:val="20"/>
        </w:rPr>
        <w:t>La demanda “UTE ATRAQUE GRANDES BUQUES”</w:t>
      </w:r>
    </w:p>
    <w:p w:rsidR="00C06926" w:rsidRDefault="00C06926" w:rsidP="00C06926">
      <w:pPr>
        <w:pStyle w:val="Sangradetextonormal"/>
        <w:numPr>
          <w:ilvl w:val="0"/>
          <w:numId w:val="6"/>
        </w:numPr>
        <w:tabs>
          <w:tab w:val="clear" w:pos="8364"/>
          <w:tab w:val="right" w:pos="8222"/>
        </w:tabs>
        <w:rPr>
          <w:rFonts w:ascii="NewBaskerville" w:hAnsi="NewBaskerville"/>
          <w:sz w:val="20"/>
        </w:rPr>
      </w:pPr>
      <w:r>
        <w:rPr>
          <w:rFonts w:ascii="NewBaskerville" w:hAnsi="NewBaskerville"/>
          <w:sz w:val="20"/>
        </w:rPr>
        <w:t>Reclamación “COMPAÑÍA LOGÍSTICA DE HIDROCARBUROS”</w:t>
      </w:r>
    </w:p>
    <w:p w:rsidR="00C06926" w:rsidRDefault="00C06926" w:rsidP="00C06926">
      <w:pPr>
        <w:pStyle w:val="Sangradetextonormal"/>
        <w:tabs>
          <w:tab w:val="clear" w:pos="8364"/>
          <w:tab w:val="right" w:pos="8222"/>
        </w:tabs>
        <w:rPr>
          <w:rFonts w:ascii="NewBaskerville" w:hAnsi="NewBaskerville"/>
          <w:sz w:val="20"/>
        </w:rPr>
      </w:pPr>
    </w:p>
    <w:p w:rsidR="00C06926" w:rsidRDefault="00C06926" w:rsidP="00C06926">
      <w:pPr>
        <w:pStyle w:val="Sangradetextonormal"/>
        <w:tabs>
          <w:tab w:val="clear" w:pos="8364"/>
          <w:tab w:val="right" w:pos="8222"/>
        </w:tabs>
        <w:rPr>
          <w:rFonts w:ascii="NewBaskerville" w:hAnsi="NewBaskerville"/>
          <w:sz w:val="20"/>
        </w:rPr>
      </w:pPr>
      <w:r>
        <w:rPr>
          <w:rFonts w:ascii="NewBaskerville" w:hAnsi="NewBaskerville"/>
          <w:sz w:val="20"/>
        </w:rPr>
        <w:t>Tales resoluciones desfavorables firmes tendrán como consecuencia la aplicación de las provision</w:t>
      </w:r>
      <w:r w:rsidR="00624C31">
        <w:rPr>
          <w:rFonts w:ascii="NewBaskerville" w:hAnsi="NewBaskerville"/>
          <w:sz w:val="20"/>
        </w:rPr>
        <w:t>es estimadas, y en su caso, la pérdida de la consignación judicial reconocida en balance.</w:t>
      </w:r>
    </w:p>
    <w:p w:rsidR="000214BB" w:rsidRDefault="000214BB" w:rsidP="002D2BC3">
      <w:pPr>
        <w:pStyle w:val="Sangradetextonormal"/>
        <w:tabs>
          <w:tab w:val="clear" w:pos="8364"/>
          <w:tab w:val="right" w:pos="8222"/>
        </w:tabs>
        <w:ind w:left="567" w:hanging="567"/>
        <w:rPr>
          <w:sz w:val="20"/>
        </w:rPr>
      </w:pPr>
    </w:p>
    <w:p w:rsidR="000214BB" w:rsidRDefault="000214BB" w:rsidP="000214BB">
      <w:pPr>
        <w:pStyle w:val="Sangradetextonormal"/>
        <w:tabs>
          <w:tab w:val="clear" w:pos="8364"/>
          <w:tab w:val="right" w:pos="8222"/>
        </w:tabs>
        <w:rPr>
          <w:sz w:val="20"/>
        </w:rPr>
      </w:pPr>
    </w:p>
    <w:p w:rsidR="000214BB" w:rsidRDefault="000214BB" w:rsidP="000214BB">
      <w:pPr>
        <w:pStyle w:val="Sangradetextonormal"/>
        <w:tabs>
          <w:tab w:val="clear" w:pos="8364"/>
          <w:tab w:val="right" w:pos="8222"/>
        </w:tabs>
        <w:rPr>
          <w:bCs/>
        </w:rPr>
      </w:pPr>
    </w:p>
    <w:p w:rsidR="008A1987" w:rsidRDefault="008A1987" w:rsidP="001052A7">
      <w:pPr>
        <w:tabs>
          <w:tab w:val="right" w:pos="8364"/>
        </w:tabs>
        <w:ind w:firstLine="540"/>
        <w:jc w:val="both"/>
        <w:rPr>
          <w:bCs/>
        </w:rPr>
      </w:pPr>
    </w:p>
    <w:p w:rsidR="008A1987" w:rsidRPr="001052A7" w:rsidRDefault="008A1987" w:rsidP="001052A7">
      <w:pPr>
        <w:tabs>
          <w:tab w:val="right" w:pos="8364"/>
        </w:tabs>
        <w:ind w:firstLine="540"/>
        <w:jc w:val="both"/>
        <w:rPr>
          <w:bCs/>
        </w:rPr>
      </w:pPr>
    </w:p>
    <w:p w:rsidR="002C4355" w:rsidRPr="001052A7" w:rsidRDefault="002C4355" w:rsidP="001052A7">
      <w:pPr>
        <w:tabs>
          <w:tab w:val="right" w:pos="8364"/>
        </w:tabs>
        <w:ind w:firstLine="540"/>
        <w:jc w:val="both"/>
        <w:rPr>
          <w:bCs/>
        </w:rPr>
      </w:pPr>
    </w:p>
    <w:p w:rsidR="00A57391" w:rsidRPr="00AD4AA7" w:rsidRDefault="00A57391" w:rsidP="00A57391">
      <w:pPr>
        <w:tabs>
          <w:tab w:val="right" w:pos="8364"/>
        </w:tabs>
        <w:jc w:val="center"/>
        <w:rPr>
          <w:b/>
          <w:caps/>
        </w:rPr>
      </w:pPr>
    </w:p>
    <w:p w:rsidR="00A57391" w:rsidRPr="00C7435A" w:rsidRDefault="00A57391" w:rsidP="00A57391">
      <w:pPr>
        <w:tabs>
          <w:tab w:val="right" w:pos="8364"/>
        </w:tabs>
        <w:jc w:val="center"/>
        <w:rPr>
          <w:rFonts w:ascii="NewBaskerville" w:hAnsi="NewBaskerville"/>
          <w:bCs/>
          <w:caps/>
        </w:rPr>
      </w:pPr>
      <w:r w:rsidRPr="00C7435A">
        <w:rPr>
          <w:rFonts w:ascii="NewBaskerville" w:hAnsi="NewBaskerville"/>
          <w:bCs/>
        </w:rPr>
        <w:t>EL PRESIDENTE</w:t>
      </w:r>
      <w:r w:rsidRPr="00C7435A">
        <w:rPr>
          <w:rFonts w:ascii="NewBaskerville" w:hAnsi="NewBaskerville"/>
          <w:bCs/>
          <w:caps/>
        </w:rPr>
        <w:t>,</w:t>
      </w:r>
    </w:p>
    <w:p w:rsidR="00A57391" w:rsidRPr="00C7435A" w:rsidRDefault="00D24A8A" w:rsidP="00A57391">
      <w:pPr>
        <w:tabs>
          <w:tab w:val="right" w:pos="8364"/>
        </w:tabs>
        <w:jc w:val="center"/>
        <w:rPr>
          <w:rFonts w:ascii="NewBaskerville" w:hAnsi="NewBaskerville"/>
          <w:bCs/>
        </w:rPr>
      </w:pPr>
      <w:r w:rsidRPr="00C7435A">
        <w:rPr>
          <w:rFonts w:ascii="NewBaskerville" w:hAnsi="NewBaskerville"/>
          <w:bCs/>
        </w:rPr>
        <w:t>Firmado digitalmente</w:t>
      </w:r>
    </w:p>
    <w:p w:rsidR="00A57391" w:rsidRPr="00AD4AA7" w:rsidRDefault="00A57391" w:rsidP="00A57391">
      <w:pPr>
        <w:tabs>
          <w:tab w:val="right" w:pos="8364"/>
        </w:tabs>
        <w:jc w:val="center"/>
        <w:rPr>
          <w:bCs/>
        </w:rPr>
      </w:pPr>
    </w:p>
    <w:p w:rsidR="00A57391" w:rsidRPr="00AD4AA7" w:rsidRDefault="00A57391" w:rsidP="00A57391">
      <w:pPr>
        <w:tabs>
          <w:tab w:val="right" w:pos="8364"/>
        </w:tabs>
        <w:jc w:val="center"/>
        <w:rPr>
          <w:bCs/>
        </w:rPr>
      </w:pPr>
    </w:p>
    <w:p w:rsidR="00A57391" w:rsidRPr="00AD4AA7" w:rsidRDefault="00A57391" w:rsidP="00A57391">
      <w:pPr>
        <w:tabs>
          <w:tab w:val="right" w:pos="8364"/>
        </w:tabs>
        <w:jc w:val="center"/>
        <w:rPr>
          <w:bCs/>
          <w:i/>
        </w:rPr>
      </w:pPr>
    </w:p>
    <w:p w:rsidR="00A57391" w:rsidRPr="00C7435A" w:rsidRDefault="008155BC" w:rsidP="00A57391">
      <w:pPr>
        <w:tabs>
          <w:tab w:val="right" w:pos="8364"/>
        </w:tabs>
        <w:jc w:val="center"/>
        <w:rPr>
          <w:rFonts w:ascii="NewBaskerville" w:hAnsi="NewBaskerville"/>
          <w:bCs/>
          <w:i/>
        </w:rPr>
      </w:pPr>
      <w:r w:rsidRPr="00C7435A">
        <w:rPr>
          <w:rFonts w:ascii="NewBaskerville" w:hAnsi="NewBaskerville"/>
          <w:bCs/>
          <w:i/>
        </w:rPr>
        <w:t>Fdo.</w:t>
      </w:r>
      <w:r w:rsidR="00A57391" w:rsidRPr="00C7435A">
        <w:rPr>
          <w:rFonts w:ascii="NewBaskerville" w:hAnsi="NewBaskerville"/>
          <w:bCs/>
          <w:i/>
        </w:rPr>
        <w:t xml:space="preserve"> </w:t>
      </w:r>
      <w:r w:rsidR="00DE301C">
        <w:rPr>
          <w:rFonts w:ascii="NewBaskerville" w:hAnsi="NewBaskerville"/>
          <w:bCs/>
          <w:i/>
        </w:rPr>
        <w:t>José Javier Sanz Fernández</w:t>
      </w:r>
    </w:p>
    <w:p w:rsidR="00D24A8A" w:rsidRDefault="00D24A8A" w:rsidP="00A57391">
      <w:pPr>
        <w:tabs>
          <w:tab w:val="right" w:pos="8364"/>
        </w:tabs>
        <w:jc w:val="center"/>
        <w:rPr>
          <w:bCs/>
          <w:i/>
        </w:rPr>
      </w:pPr>
    </w:p>
    <w:p w:rsidR="00D24A8A" w:rsidRDefault="00D24A8A" w:rsidP="00A57391">
      <w:pPr>
        <w:tabs>
          <w:tab w:val="right" w:pos="8364"/>
        </w:tabs>
        <w:jc w:val="center"/>
        <w:rPr>
          <w:bCs/>
          <w:i/>
        </w:rPr>
      </w:pPr>
    </w:p>
    <w:p w:rsidR="00D24A8A" w:rsidRDefault="00D24A8A" w:rsidP="00A57391">
      <w:pPr>
        <w:tabs>
          <w:tab w:val="right" w:pos="8364"/>
        </w:tabs>
        <w:jc w:val="center"/>
        <w:rPr>
          <w:bCs/>
          <w:i/>
        </w:rPr>
      </w:pPr>
    </w:p>
    <w:p w:rsidR="00D24A8A" w:rsidRDefault="00D24A8A" w:rsidP="00A57391">
      <w:pPr>
        <w:tabs>
          <w:tab w:val="right" w:pos="8364"/>
        </w:tabs>
        <w:jc w:val="center"/>
        <w:rPr>
          <w:bCs/>
          <w:i/>
        </w:rPr>
      </w:pPr>
    </w:p>
    <w:p w:rsidR="00D24A8A" w:rsidRDefault="00D24A8A" w:rsidP="00A57391">
      <w:pPr>
        <w:tabs>
          <w:tab w:val="right" w:pos="8364"/>
        </w:tabs>
        <w:jc w:val="center"/>
        <w:rPr>
          <w:bCs/>
          <w:i/>
        </w:rPr>
      </w:pPr>
    </w:p>
    <w:p w:rsidR="00D24A8A" w:rsidRDefault="00D24A8A" w:rsidP="00A57391">
      <w:pPr>
        <w:tabs>
          <w:tab w:val="right" w:pos="8364"/>
        </w:tabs>
        <w:jc w:val="center"/>
        <w:rPr>
          <w:bCs/>
          <w:i/>
        </w:rPr>
      </w:pPr>
    </w:p>
    <w:p w:rsidR="00D24A8A" w:rsidRDefault="00D24A8A" w:rsidP="00A57391">
      <w:pPr>
        <w:tabs>
          <w:tab w:val="right" w:pos="8364"/>
        </w:tabs>
        <w:jc w:val="center"/>
        <w:rPr>
          <w:bCs/>
          <w:i/>
        </w:rPr>
      </w:pPr>
    </w:p>
    <w:p w:rsidR="00D24A8A" w:rsidRDefault="00D24A8A" w:rsidP="00A57391">
      <w:pPr>
        <w:tabs>
          <w:tab w:val="right" w:pos="8364"/>
        </w:tabs>
        <w:jc w:val="center"/>
        <w:rPr>
          <w:bCs/>
          <w:i/>
        </w:rPr>
      </w:pPr>
    </w:p>
    <w:p w:rsidR="00D24A8A" w:rsidRDefault="00D24A8A" w:rsidP="00A57391">
      <w:pPr>
        <w:tabs>
          <w:tab w:val="right" w:pos="8364"/>
        </w:tabs>
        <w:jc w:val="center"/>
        <w:rPr>
          <w:bCs/>
          <w:i/>
        </w:rPr>
      </w:pPr>
    </w:p>
    <w:p w:rsidR="00D24A8A" w:rsidRDefault="00D24A8A" w:rsidP="00A57391">
      <w:pPr>
        <w:tabs>
          <w:tab w:val="right" w:pos="8364"/>
        </w:tabs>
        <w:jc w:val="center"/>
        <w:rPr>
          <w:bCs/>
          <w:i/>
        </w:rPr>
      </w:pPr>
    </w:p>
    <w:p w:rsidR="00D24A8A" w:rsidRPr="00C7435A" w:rsidRDefault="00D24A8A" w:rsidP="00A57391">
      <w:pPr>
        <w:tabs>
          <w:tab w:val="right" w:pos="8364"/>
        </w:tabs>
        <w:jc w:val="center"/>
        <w:rPr>
          <w:rFonts w:ascii="NewBaskerville" w:hAnsi="NewBaskerville"/>
          <w:bCs/>
          <w:i/>
        </w:rPr>
      </w:pPr>
    </w:p>
    <w:p w:rsidR="00D24A8A" w:rsidRPr="00C7435A" w:rsidRDefault="00D24A8A" w:rsidP="00D24A8A">
      <w:pPr>
        <w:tabs>
          <w:tab w:val="right" w:pos="8364"/>
        </w:tabs>
        <w:rPr>
          <w:rFonts w:ascii="NewBaskerville" w:hAnsi="NewBaskerville"/>
          <w:bCs/>
          <w:i/>
        </w:rPr>
      </w:pPr>
      <w:r w:rsidRPr="00C7435A">
        <w:rPr>
          <w:rFonts w:ascii="NewBaskerville" w:hAnsi="NewBaskerville"/>
          <w:bCs/>
          <w:i/>
        </w:rPr>
        <w:t>(La fecha válida será la de la firma electrónica del documento</w:t>
      </w:r>
      <w:r w:rsidR="00395199">
        <w:rPr>
          <w:rFonts w:ascii="NewBaskerville" w:hAnsi="NewBaskerville"/>
          <w:bCs/>
          <w:i/>
        </w:rPr>
        <w:t>)</w:t>
      </w:r>
    </w:p>
    <w:sectPr w:rsidR="00D24A8A" w:rsidRPr="00C7435A" w:rsidSect="00790C4F">
      <w:pgSz w:w="11907" w:h="16840" w:code="9"/>
      <w:pgMar w:top="1701" w:right="1418" w:bottom="1701" w:left="1985" w:header="56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1C" w:rsidRDefault="00350D1C">
      <w:r>
        <w:separator/>
      </w:r>
    </w:p>
  </w:endnote>
  <w:endnote w:type="continuationSeparator" w:id="0">
    <w:p w:rsidR="00350D1C" w:rsidRDefault="0035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Baskerville">
    <w:panose1 w:val="00000000000000000000"/>
    <w:charset w:val="00"/>
    <w:family w:val="auto"/>
    <w:pitch w:val="variable"/>
    <w:sig w:usb0="00000087" w:usb1="00000000" w:usb2="00000000" w:usb3="00000000" w:csb0="0000001B" w:csb1="00000000"/>
  </w:font>
  <w:font w:name="Lucida Sans">
    <w:altName w:val="Lucida Sans Unicode"/>
    <w:charset w:val="00"/>
    <w:family w:val="swiss"/>
    <w:pitch w:val="variable"/>
    <w:sig w:usb0="00000001" w:usb1="0000807B" w:usb2="00000008"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Frutiger">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0D1C" w:rsidRDefault="00350D1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rsidP="007A1C6E">
    <w:pPr>
      <w:pStyle w:val="Piedepgina"/>
      <w:ind w:right="360"/>
    </w:pPr>
  </w:p>
  <w:p w:rsidR="00350D1C" w:rsidRDefault="00350D1C" w:rsidP="007A1C6E">
    <w:pPr>
      <w:pStyle w:val="Piedepgina"/>
      <w:framePr w:wrap="notBesid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350D1C" w:rsidRDefault="00350D1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53A6">
      <w:rPr>
        <w:rStyle w:val="Nmerodepgina"/>
        <w:noProof/>
      </w:rPr>
      <w:t>36</w:t>
    </w:r>
    <w:r>
      <w:rPr>
        <w:rStyle w:val="Nmerodepgina"/>
      </w:rPr>
      <w:fldChar w:fldCharType="end"/>
    </w:r>
  </w:p>
  <w:p w:rsidR="00350D1C" w:rsidRDefault="00350D1C" w:rsidP="000D170C">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0D1C" w:rsidRDefault="00350D1C">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53A6">
      <w:rPr>
        <w:rStyle w:val="Nmerodepgina"/>
        <w:noProof/>
      </w:rPr>
      <w:t>70</w:t>
    </w:r>
    <w:r>
      <w:rPr>
        <w:rStyle w:val="Nmerodepgina"/>
      </w:rPr>
      <w:fldChar w:fldCharType="end"/>
    </w:r>
  </w:p>
  <w:p w:rsidR="00350D1C" w:rsidRDefault="00350D1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1C" w:rsidRDefault="00350D1C">
      <w:r>
        <w:separator/>
      </w:r>
    </w:p>
  </w:footnote>
  <w:footnote w:type="continuationSeparator" w:id="0">
    <w:p w:rsidR="00350D1C" w:rsidRDefault="0035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pPr>
      <w:pStyle w:val="Encabezado"/>
    </w:pPr>
    <w:r>
      <w:rPr>
        <w:noProof/>
        <w:lang w:val="es-ES"/>
      </w:rPr>
      <w:drawing>
        <wp:inline distT="0" distB="0" distL="0" distR="0" wp14:anchorId="184C551E" wp14:editId="436A2CB3">
          <wp:extent cx="6161405" cy="1034415"/>
          <wp:effectExtent l="0" t="0" r="0" b="0"/>
          <wp:docPr id="24" name="Imagen 24" descr="logoword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word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1405" cy="10344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rsidP="00451B81">
    <w:pPr>
      <w:pStyle w:val="Encabezado"/>
      <w:tabs>
        <w:tab w:val="left" w:pos="567"/>
        <w:tab w:val="left" w:pos="709"/>
        <w:tab w:val="left" w:pos="993"/>
      </w:tabs>
      <w:ind w:left="-284" w:hanging="567"/>
    </w:pPr>
  </w:p>
  <w:p w:rsidR="00350D1C" w:rsidRDefault="00350D1C" w:rsidP="00451B81">
    <w:pPr>
      <w:pStyle w:val="Encabezado"/>
      <w:tabs>
        <w:tab w:val="left" w:pos="567"/>
        <w:tab w:val="left" w:pos="709"/>
        <w:tab w:val="left" w:pos="993"/>
      </w:tabs>
      <w:ind w:left="-284" w:hanging="567"/>
    </w:pPr>
    <w:r>
      <w:rPr>
        <w:noProof/>
        <w:lang w:val="es-ES"/>
      </w:rPr>
      <w:drawing>
        <wp:inline distT="0" distB="0" distL="0" distR="0" wp14:anchorId="29F4D9D6" wp14:editId="3155A994">
          <wp:extent cx="6117590" cy="1022985"/>
          <wp:effectExtent l="0" t="0" r="0" b="5715"/>
          <wp:docPr id="6" name="Imagen 6" descr="logoword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ord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02298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1C" w:rsidRDefault="00350D1C" w:rsidP="00911AA3">
    <w:pPr>
      <w:pStyle w:val="Encabezado"/>
      <w:ind w:left="-709"/>
    </w:pPr>
    <w:r>
      <w:rPr>
        <w:noProof/>
        <w:lang w:val="es-ES"/>
      </w:rPr>
      <w:drawing>
        <wp:inline distT="0" distB="0" distL="0" distR="0" wp14:anchorId="586E9F38" wp14:editId="26DF0BC0">
          <wp:extent cx="6117590" cy="1022985"/>
          <wp:effectExtent l="0" t="0" r="0" b="5715"/>
          <wp:docPr id="5" name="Imagen 5" descr="logoword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word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0229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C8EFF8"/>
    <w:lvl w:ilvl="0">
      <w:numFmt w:val="decimal"/>
      <w:lvlText w:val="*"/>
      <w:lvlJc w:val="left"/>
    </w:lvl>
  </w:abstractNum>
  <w:abstractNum w:abstractNumId="1">
    <w:nsid w:val="024A7FC8"/>
    <w:multiLevelType w:val="hybridMultilevel"/>
    <w:tmpl w:val="24785E46"/>
    <w:lvl w:ilvl="0" w:tplc="8EB42704">
      <w:start w:val="3"/>
      <w:numFmt w:val="lowerLetter"/>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2">
    <w:nsid w:val="03CA1CEC"/>
    <w:multiLevelType w:val="hybridMultilevel"/>
    <w:tmpl w:val="9AD692A6"/>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3">
    <w:nsid w:val="05E545F7"/>
    <w:multiLevelType w:val="hybridMultilevel"/>
    <w:tmpl w:val="C0B225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727B8A"/>
    <w:multiLevelType w:val="hybridMultilevel"/>
    <w:tmpl w:val="5178F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142616"/>
    <w:multiLevelType w:val="hybridMultilevel"/>
    <w:tmpl w:val="B29ED69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B69646B"/>
    <w:multiLevelType w:val="hybridMultilevel"/>
    <w:tmpl w:val="8676DF28"/>
    <w:lvl w:ilvl="0" w:tplc="A920C5B0">
      <w:start w:val="4"/>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103E54F1"/>
    <w:multiLevelType w:val="hybridMultilevel"/>
    <w:tmpl w:val="BE344F5A"/>
    <w:lvl w:ilvl="0" w:tplc="0C0A000F">
      <w:start w:val="1"/>
      <w:numFmt w:val="decimal"/>
      <w:lvlText w:val="%1."/>
      <w:lvlJc w:val="left"/>
      <w:pPr>
        <w:ind w:left="1483" w:hanging="360"/>
      </w:pPr>
    </w:lvl>
    <w:lvl w:ilvl="1" w:tplc="0C0A0019" w:tentative="1">
      <w:start w:val="1"/>
      <w:numFmt w:val="lowerLetter"/>
      <w:lvlText w:val="%2."/>
      <w:lvlJc w:val="left"/>
      <w:pPr>
        <w:ind w:left="2203" w:hanging="360"/>
      </w:pPr>
    </w:lvl>
    <w:lvl w:ilvl="2" w:tplc="0C0A001B" w:tentative="1">
      <w:start w:val="1"/>
      <w:numFmt w:val="lowerRoman"/>
      <w:lvlText w:val="%3."/>
      <w:lvlJc w:val="right"/>
      <w:pPr>
        <w:ind w:left="2923" w:hanging="180"/>
      </w:pPr>
    </w:lvl>
    <w:lvl w:ilvl="3" w:tplc="0C0A000F" w:tentative="1">
      <w:start w:val="1"/>
      <w:numFmt w:val="decimal"/>
      <w:lvlText w:val="%4."/>
      <w:lvlJc w:val="left"/>
      <w:pPr>
        <w:ind w:left="3643" w:hanging="360"/>
      </w:pPr>
    </w:lvl>
    <w:lvl w:ilvl="4" w:tplc="0C0A0019" w:tentative="1">
      <w:start w:val="1"/>
      <w:numFmt w:val="lowerLetter"/>
      <w:lvlText w:val="%5."/>
      <w:lvlJc w:val="left"/>
      <w:pPr>
        <w:ind w:left="4363" w:hanging="360"/>
      </w:pPr>
    </w:lvl>
    <w:lvl w:ilvl="5" w:tplc="0C0A001B" w:tentative="1">
      <w:start w:val="1"/>
      <w:numFmt w:val="lowerRoman"/>
      <w:lvlText w:val="%6."/>
      <w:lvlJc w:val="right"/>
      <w:pPr>
        <w:ind w:left="5083" w:hanging="180"/>
      </w:pPr>
    </w:lvl>
    <w:lvl w:ilvl="6" w:tplc="0C0A000F" w:tentative="1">
      <w:start w:val="1"/>
      <w:numFmt w:val="decimal"/>
      <w:lvlText w:val="%7."/>
      <w:lvlJc w:val="left"/>
      <w:pPr>
        <w:ind w:left="5803" w:hanging="360"/>
      </w:pPr>
    </w:lvl>
    <w:lvl w:ilvl="7" w:tplc="0C0A0019" w:tentative="1">
      <w:start w:val="1"/>
      <w:numFmt w:val="lowerLetter"/>
      <w:lvlText w:val="%8."/>
      <w:lvlJc w:val="left"/>
      <w:pPr>
        <w:ind w:left="6523" w:hanging="360"/>
      </w:pPr>
    </w:lvl>
    <w:lvl w:ilvl="8" w:tplc="0C0A001B" w:tentative="1">
      <w:start w:val="1"/>
      <w:numFmt w:val="lowerRoman"/>
      <w:lvlText w:val="%9."/>
      <w:lvlJc w:val="right"/>
      <w:pPr>
        <w:ind w:left="7243" w:hanging="180"/>
      </w:pPr>
    </w:lvl>
  </w:abstractNum>
  <w:abstractNum w:abstractNumId="8">
    <w:nsid w:val="13F609E2"/>
    <w:multiLevelType w:val="hybridMultilevel"/>
    <w:tmpl w:val="69986F4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452103"/>
    <w:multiLevelType w:val="hybridMultilevel"/>
    <w:tmpl w:val="279A94CE"/>
    <w:lvl w:ilvl="0" w:tplc="165C1EE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F71683"/>
    <w:multiLevelType w:val="hybridMultilevel"/>
    <w:tmpl w:val="CE38B8E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6C8787E"/>
    <w:multiLevelType w:val="hybridMultilevel"/>
    <w:tmpl w:val="A896075A"/>
    <w:lvl w:ilvl="0" w:tplc="B5B6B76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9D928D3"/>
    <w:multiLevelType w:val="hybridMultilevel"/>
    <w:tmpl w:val="E6E6AE1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CA314EB"/>
    <w:multiLevelType w:val="hybridMultilevel"/>
    <w:tmpl w:val="3AD69D5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2CC96896"/>
    <w:multiLevelType w:val="hybridMultilevel"/>
    <w:tmpl w:val="3A4039E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DB820CD"/>
    <w:multiLevelType w:val="hybridMultilevel"/>
    <w:tmpl w:val="F8CEC120"/>
    <w:lvl w:ilvl="0" w:tplc="4B2E75DA">
      <w:start w:val="1"/>
      <w:numFmt w:val="lowerLetter"/>
      <w:lvlText w:val="%1)"/>
      <w:lvlJc w:val="left"/>
      <w:pPr>
        <w:tabs>
          <w:tab w:val="num" w:pos="927"/>
        </w:tabs>
        <w:ind w:left="927" w:hanging="360"/>
      </w:pPr>
      <w:rPr>
        <w:rFonts w:hint="default"/>
      </w:rPr>
    </w:lvl>
    <w:lvl w:ilvl="1" w:tplc="9C700940">
      <w:start w:val="2"/>
      <w:numFmt w:val="bullet"/>
      <w:lvlText w:val=""/>
      <w:lvlJc w:val="left"/>
      <w:pPr>
        <w:tabs>
          <w:tab w:val="num" w:pos="1647"/>
        </w:tabs>
        <w:ind w:left="1647" w:hanging="360"/>
      </w:pPr>
      <w:rPr>
        <w:rFonts w:ascii="Symbol" w:eastAsia="Times New Roman" w:hAnsi="Symbol" w:cs="Times New Roman"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
    <w:nsid w:val="2F975FF5"/>
    <w:multiLevelType w:val="hybridMultilevel"/>
    <w:tmpl w:val="07EC466C"/>
    <w:lvl w:ilvl="0" w:tplc="47F29C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1C91739"/>
    <w:multiLevelType w:val="hybridMultilevel"/>
    <w:tmpl w:val="5A7EE6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2286E02"/>
    <w:multiLevelType w:val="multilevel"/>
    <w:tmpl w:val="46C6B09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107831"/>
    <w:multiLevelType w:val="hybridMultilevel"/>
    <w:tmpl w:val="80EA0F52"/>
    <w:lvl w:ilvl="0" w:tplc="739A67A4">
      <w:start w:val="1"/>
      <w:numFmt w:val="lowerLetter"/>
      <w:lvlText w:val="%1)"/>
      <w:lvlJc w:val="left"/>
      <w:pPr>
        <w:ind w:left="644" w:hanging="360"/>
      </w:pPr>
      <w:rPr>
        <w:rFonts w:ascii="NewBaskerville" w:hAnsi="NewBaskerville" w:hint="default"/>
        <w:sz w:val="20"/>
        <w:szCs w:val="20"/>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1CA328E"/>
    <w:multiLevelType w:val="hybridMultilevel"/>
    <w:tmpl w:val="4D3ED092"/>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nsid w:val="45EA5995"/>
    <w:multiLevelType w:val="hybridMultilevel"/>
    <w:tmpl w:val="C8BC530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B017F"/>
    <w:multiLevelType w:val="hybridMultilevel"/>
    <w:tmpl w:val="214478B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CCE3F67"/>
    <w:multiLevelType w:val="hybridMultilevel"/>
    <w:tmpl w:val="41DCE198"/>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24">
    <w:nsid w:val="4D421DC9"/>
    <w:multiLevelType w:val="hybridMultilevel"/>
    <w:tmpl w:val="40488F1A"/>
    <w:lvl w:ilvl="0" w:tplc="212CEA1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F0C54DD"/>
    <w:multiLevelType w:val="hybridMultilevel"/>
    <w:tmpl w:val="AA0AE492"/>
    <w:lvl w:ilvl="0" w:tplc="2832683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4480ADC"/>
    <w:multiLevelType w:val="hybridMultilevel"/>
    <w:tmpl w:val="90826E50"/>
    <w:lvl w:ilvl="0" w:tplc="0C0A000F">
      <w:start w:val="1"/>
      <w:numFmt w:val="decimal"/>
      <w:lvlText w:val="%1."/>
      <w:lvlJc w:val="left"/>
      <w:pPr>
        <w:ind w:left="1528" w:hanging="360"/>
      </w:pPr>
    </w:lvl>
    <w:lvl w:ilvl="1" w:tplc="0C0A0019" w:tentative="1">
      <w:start w:val="1"/>
      <w:numFmt w:val="lowerLetter"/>
      <w:lvlText w:val="%2."/>
      <w:lvlJc w:val="left"/>
      <w:pPr>
        <w:ind w:left="2248" w:hanging="360"/>
      </w:pPr>
    </w:lvl>
    <w:lvl w:ilvl="2" w:tplc="0C0A001B" w:tentative="1">
      <w:start w:val="1"/>
      <w:numFmt w:val="lowerRoman"/>
      <w:lvlText w:val="%3."/>
      <w:lvlJc w:val="right"/>
      <w:pPr>
        <w:ind w:left="2968" w:hanging="180"/>
      </w:pPr>
    </w:lvl>
    <w:lvl w:ilvl="3" w:tplc="0C0A000F" w:tentative="1">
      <w:start w:val="1"/>
      <w:numFmt w:val="decimal"/>
      <w:lvlText w:val="%4."/>
      <w:lvlJc w:val="left"/>
      <w:pPr>
        <w:ind w:left="3688" w:hanging="360"/>
      </w:pPr>
    </w:lvl>
    <w:lvl w:ilvl="4" w:tplc="0C0A0019" w:tentative="1">
      <w:start w:val="1"/>
      <w:numFmt w:val="lowerLetter"/>
      <w:lvlText w:val="%5."/>
      <w:lvlJc w:val="left"/>
      <w:pPr>
        <w:ind w:left="4408" w:hanging="360"/>
      </w:pPr>
    </w:lvl>
    <w:lvl w:ilvl="5" w:tplc="0C0A001B" w:tentative="1">
      <w:start w:val="1"/>
      <w:numFmt w:val="lowerRoman"/>
      <w:lvlText w:val="%6."/>
      <w:lvlJc w:val="right"/>
      <w:pPr>
        <w:ind w:left="5128" w:hanging="180"/>
      </w:pPr>
    </w:lvl>
    <w:lvl w:ilvl="6" w:tplc="0C0A000F" w:tentative="1">
      <w:start w:val="1"/>
      <w:numFmt w:val="decimal"/>
      <w:lvlText w:val="%7."/>
      <w:lvlJc w:val="left"/>
      <w:pPr>
        <w:ind w:left="5848" w:hanging="360"/>
      </w:pPr>
    </w:lvl>
    <w:lvl w:ilvl="7" w:tplc="0C0A0019" w:tentative="1">
      <w:start w:val="1"/>
      <w:numFmt w:val="lowerLetter"/>
      <w:lvlText w:val="%8."/>
      <w:lvlJc w:val="left"/>
      <w:pPr>
        <w:ind w:left="6568" w:hanging="360"/>
      </w:pPr>
    </w:lvl>
    <w:lvl w:ilvl="8" w:tplc="0C0A001B" w:tentative="1">
      <w:start w:val="1"/>
      <w:numFmt w:val="lowerRoman"/>
      <w:lvlText w:val="%9."/>
      <w:lvlJc w:val="right"/>
      <w:pPr>
        <w:ind w:left="7288" w:hanging="180"/>
      </w:pPr>
    </w:lvl>
  </w:abstractNum>
  <w:abstractNum w:abstractNumId="27">
    <w:nsid w:val="54B1522C"/>
    <w:multiLevelType w:val="hybridMultilevel"/>
    <w:tmpl w:val="60C26210"/>
    <w:lvl w:ilvl="0" w:tplc="47F29C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85A4BC8"/>
    <w:multiLevelType w:val="hybridMultilevel"/>
    <w:tmpl w:val="B8C858A8"/>
    <w:lvl w:ilvl="0" w:tplc="EF9E4894">
      <w:start w:val="8"/>
      <w:numFmt w:val="lowerLetter"/>
      <w:lvlText w:val="%1)"/>
      <w:lvlJc w:val="left"/>
      <w:pPr>
        <w:ind w:left="1065" w:hanging="360"/>
      </w:pPr>
      <w:rPr>
        <w:rFonts w:hint="default"/>
      </w:rPr>
    </w:lvl>
    <w:lvl w:ilvl="1" w:tplc="0C0A0019">
      <w:start w:val="1"/>
      <w:numFmt w:val="lowerLetter"/>
      <w:lvlText w:val="%2."/>
      <w:lvlJc w:val="left"/>
      <w:pPr>
        <w:ind w:left="1636"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nsid w:val="5B0350EF"/>
    <w:multiLevelType w:val="hybridMultilevel"/>
    <w:tmpl w:val="6E38D1B8"/>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30">
    <w:nsid w:val="5BB44183"/>
    <w:multiLevelType w:val="hybridMultilevel"/>
    <w:tmpl w:val="643CCF26"/>
    <w:lvl w:ilvl="0" w:tplc="EF3A3D8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03111AE"/>
    <w:multiLevelType w:val="hybridMultilevel"/>
    <w:tmpl w:val="F48E8616"/>
    <w:lvl w:ilvl="0" w:tplc="67C8EFF8">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2">
    <w:nsid w:val="64927B6A"/>
    <w:multiLevelType w:val="hybridMultilevel"/>
    <w:tmpl w:val="D2348E1A"/>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33">
    <w:nsid w:val="665644CE"/>
    <w:multiLevelType w:val="hybridMultilevel"/>
    <w:tmpl w:val="943C30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0339E4"/>
    <w:multiLevelType w:val="hybridMultilevel"/>
    <w:tmpl w:val="413269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677F3454"/>
    <w:multiLevelType w:val="hybridMultilevel"/>
    <w:tmpl w:val="891A4A76"/>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69BF1E45"/>
    <w:multiLevelType w:val="hybridMultilevel"/>
    <w:tmpl w:val="41629DFE"/>
    <w:lvl w:ilvl="0" w:tplc="6DA484B2">
      <w:start w:val="1"/>
      <w:numFmt w:val="decimal"/>
      <w:lvlText w:val="%1."/>
      <w:lvlJc w:val="left"/>
      <w:pPr>
        <w:ind w:left="1047" w:hanging="360"/>
      </w:pPr>
      <w:rPr>
        <w:rFonts w:hint="default"/>
      </w:rPr>
    </w:lvl>
    <w:lvl w:ilvl="1" w:tplc="0C0A0019" w:tentative="1">
      <w:start w:val="1"/>
      <w:numFmt w:val="lowerLetter"/>
      <w:lvlText w:val="%2."/>
      <w:lvlJc w:val="left"/>
      <w:pPr>
        <w:ind w:left="1767" w:hanging="360"/>
      </w:pPr>
    </w:lvl>
    <w:lvl w:ilvl="2" w:tplc="0C0A001B" w:tentative="1">
      <w:start w:val="1"/>
      <w:numFmt w:val="lowerRoman"/>
      <w:lvlText w:val="%3."/>
      <w:lvlJc w:val="right"/>
      <w:pPr>
        <w:ind w:left="2487" w:hanging="180"/>
      </w:pPr>
    </w:lvl>
    <w:lvl w:ilvl="3" w:tplc="0C0A000F" w:tentative="1">
      <w:start w:val="1"/>
      <w:numFmt w:val="decimal"/>
      <w:lvlText w:val="%4."/>
      <w:lvlJc w:val="left"/>
      <w:pPr>
        <w:ind w:left="3207" w:hanging="360"/>
      </w:pPr>
    </w:lvl>
    <w:lvl w:ilvl="4" w:tplc="0C0A0019" w:tentative="1">
      <w:start w:val="1"/>
      <w:numFmt w:val="lowerLetter"/>
      <w:lvlText w:val="%5."/>
      <w:lvlJc w:val="left"/>
      <w:pPr>
        <w:ind w:left="3927" w:hanging="360"/>
      </w:pPr>
    </w:lvl>
    <w:lvl w:ilvl="5" w:tplc="0C0A001B" w:tentative="1">
      <w:start w:val="1"/>
      <w:numFmt w:val="lowerRoman"/>
      <w:lvlText w:val="%6."/>
      <w:lvlJc w:val="right"/>
      <w:pPr>
        <w:ind w:left="4647" w:hanging="180"/>
      </w:pPr>
    </w:lvl>
    <w:lvl w:ilvl="6" w:tplc="0C0A000F" w:tentative="1">
      <w:start w:val="1"/>
      <w:numFmt w:val="decimal"/>
      <w:lvlText w:val="%7."/>
      <w:lvlJc w:val="left"/>
      <w:pPr>
        <w:ind w:left="5367" w:hanging="360"/>
      </w:pPr>
    </w:lvl>
    <w:lvl w:ilvl="7" w:tplc="0C0A0019" w:tentative="1">
      <w:start w:val="1"/>
      <w:numFmt w:val="lowerLetter"/>
      <w:lvlText w:val="%8."/>
      <w:lvlJc w:val="left"/>
      <w:pPr>
        <w:ind w:left="6087" w:hanging="360"/>
      </w:pPr>
    </w:lvl>
    <w:lvl w:ilvl="8" w:tplc="0C0A001B" w:tentative="1">
      <w:start w:val="1"/>
      <w:numFmt w:val="lowerRoman"/>
      <w:lvlText w:val="%9."/>
      <w:lvlJc w:val="right"/>
      <w:pPr>
        <w:ind w:left="6807" w:hanging="180"/>
      </w:pPr>
    </w:lvl>
  </w:abstractNum>
  <w:abstractNum w:abstractNumId="37">
    <w:nsid w:val="6B8759A4"/>
    <w:multiLevelType w:val="hybridMultilevel"/>
    <w:tmpl w:val="4D620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CDD2E33"/>
    <w:multiLevelType w:val="hybridMultilevel"/>
    <w:tmpl w:val="1CDC7B1A"/>
    <w:lvl w:ilvl="0" w:tplc="0C0A000D">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39">
    <w:nsid w:val="6E4B736D"/>
    <w:multiLevelType w:val="hybridMultilevel"/>
    <w:tmpl w:val="E2906F3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728366DF"/>
    <w:multiLevelType w:val="hybridMultilevel"/>
    <w:tmpl w:val="676E4EC6"/>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41">
    <w:nsid w:val="742B654B"/>
    <w:multiLevelType w:val="hybridMultilevel"/>
    <w:tmpl w:val="B6BCD0AA"/>
    <w:lvl w:ilvl="0" w:tplc="B00A198E">
      <w:start w:val="3"/>
      <w:numFmt w:val="bullet"/>
      <w:lvlText w:val="-"/>
      <w:lvlJc w:val="left"/>
      <w:pPr>
        <w:ind w:left="928" w:hanging="360"/>
      </w:pPr>
      <w:rPr>
        <w:rFonts w:ascii="NewBaskerville" w:eastAsia="Times New Roman" w:hAnsi="NewBaskerville"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42">
    <w:nsid w:val="75D7042D"/>
    <w:multiLevelType w:val="hybridMultilevel"/>
    <w:tmpl w:val="D758E7EA"/>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43">
    <w:nsid w:val="778327C1"/>
    <w:multiLevelType w:val="hybridMultilevel"/>
    <w:tmpl w:val="D9C865A6"/>
    <w:lvl w:ilvl="0" w:tplc="5868EF32">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4">
    <w:nsid w:val="79A62A63"/>
    <w:multiLevelType w:val="hybridMultilevel"/>
    <w:tmpl w:val="89DC6002"/>
    <w:lvl w:ilvl="0" w:tplc="0C0A000F">
      <w:start w:val="1"/>
      <w:numFmt w:val="decimal"/>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45">
    <w:nsid w:val="7D962EEB"/>
    <w:multiLevelType w:val="hybridMultilevel"/>
    <w:tmpl w:val="4BAC8D3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DD5190F"/>
    <w:multiLevelType w:val="hybridMultilevel"/>
    <w:tmpl w:val="33ACD2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E7A517F"/>
    <w:multiLevelType w:val="hybridMultilevel"/>
    <w:tmpl w:val="55E22404"/>
    <w:lvl w:ilvl="0" w:tplc="0C0A000F">
      <w:start w:val="1"/>
      <w:numFmt w:val="decimal"/>
      <w:lvlText w:val="%1."/>
      <w:lvlJc w:val="left"/>
      <w:pPr>
        <w:ind w:left="1932" w:hanging="360"/>
      </w:pPr>
    </w:lvl>
    <w:lvl w:ilvl="1" w:tplc="0C0A0019" w:tentative="1">
      <w:start w:val="1"/>
      <w:numFmt w:val="lowerLetter"/>
      <w:lvlText w:val="%2."/>
      <w:lvlJc w:val="left"/>
      <w:pPr>
        <w:ind w:left="2652" w:hanging="360"/>
      </w:pPr>
    </w:lvl>
    <w:lvl w:ilvl="2" w:tplc="0C0A001B" w:tentative="1">
      <w:start w:val="1"/>
      <w:numFmt w:val="lowerRoman"/>
      <w:lvlText w:val="%3."/>
      <w:lvlJc w:val="right"/>
      <w:pPr>
        <w:ind w:left="3372" w:hanging="180"/>
      </w:pPr>
    </w:lvl>
    <w:lvl w:ilvl="3" w:tplc="0C0A000F" w:tentative="1">
      <w:start w:val="1"/>
      <w:numFmt w:val="decimal"/>
      <w:lvlText w:val="%4."/>
      <w:lvlJc w:val="left"/>
      <w:pPr>
        <w:ind w:left="4092" w:hanging="360"/>
      </w:pPr>
    </w:lvl>
    <w:lvl w:ilvl="4" w:tplc="0C0A0019" w:tentative="1">
      <w:start w:val="1"/>
      <w:numFmt w:val="lowerLetter"/>
      <w:lvlText w:val="%5."/>
      <w:lvlJc w:val="left"/>
      <w:pPr>
        <w:ind w:left="4812" w:hanging="360"/>
      </w:pPr>
    </w:lvl>
    <w:lvl w:ilvl="5" w:tplc="0C0A001B" w:tentative="1">
      <w:start w:val="1"/>
      <w:numFmt w:val="lowerRoman"/>
      <w:lvlText w:val="%6."/>
      <w:lvlJc w:val="right"/>
      <w:pPr>
        <w:ind w:left="5532" w:hanging="180"/>
      </w:pPr>
    </w:lvl>
    <w:lvl w:ilvl="6" w:tplc="0C0A000F" w:tentative="1">
      <w:start w:val="1"/>
      <w:numFmt w:val="decimal"/>
      <w:lvlText w:val="%7."/>
      <w:lvlJc w:val="left"/>
      <w:pPr>
        <w:ind w:left="6252" w:hanging="360"/>
      </w:pPr>
    </w:lvl>
    <w:lvl w:ilvl="7" w:tplc="0C0A0019" w:tentative="1">
      <w:start w:val="1"/>
      <w:numFmt w:val="lowerLetter"/>
      <w:lvlText w:val="%8."/>
      <w:lvlJc w:val="left"/>
      <w:pPr>
        <w:ind w:left="6972" w:hanging="360"/>
      </w:pPr>
    </w:lvl>
    <w:lvl w:ilvl="8" w:tplc="0C0A001B" w:tentative="1">
      <w:start w:val="1"/>
      <w:numFmt w:val="lowerRoman"/>
      <w:lvlText w:val="%9."/>
      <w:lvlJc w:val="right"/>
      <w:pPr>
        <w:ind w:left="7692" w:hanging="180"/>
      </w:pPr>
    </w:lvl>
  </w:abstractNum>
  <w:abstractNum w:abstractNumId="48">
    <w:nsid w:val="7EF01C4C"/>
    <w:multiLevelType w:val="hybridMultilevel"/>
    <w:tmpl w:val="68E4780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141"/>
        <w:lvlJc w:val="left"/>
        <w:pPr>
          <w:ind w:left="708" w:hanging="141"/>
        </w:pPr>
        <w:rPr>
          <w:rFonts w:ascii="Symbol" w:hAnsi="Symbol" w:hint="default"/>
        </w:rPr>
      </w:lvl>
    </w:lvlOverride>
  </w:num>
  <w:num w:numId="2">
    <w:abstractNumId w:val="43"/>
  </w:num>
  <w:num w:numId="3">
    <w:abstractNumId w:val="15"/>
  </w:num>
  <w:num w:numId="4">
    <w:abstractNumId w:val="1"/>
  </w:num>
  <w:num w:numId="5">
    <w:abstractNumId w:val="28"/>
  </w:num>
  <w:num w:numId="6">
    <w:abstractNumId w:val="11"/>
  </w:num>
  <w:num w:numId="7">
    <w:abstractNumId w:val="21"/>
  </w:num>
  <w:num w:numId="8">
    <w:abstractNumId w:val="29"/>
  </w:num>
  <w:num w:numId="9">
    <w:abstractNumId w:val="18"/>
  </w:num>
  <w:num w:numId="10">
    <w:abstractNumId w:val="36"/>
  </w:num>
  <w:num w:numId="11">
    <w:abstractNumId w:val="22"/>
  </w:num>
  <w:num w:numId="12">
    <w:abstractNumId w:val="35"/>
  </w:num>
  <w:num w:numId="13">
    <w:abstractNumId w:val="24"/>
  </w:num>
  <w:num w:numId="14">
    <w:abstractNumId w:val="27"/>
  </w:num>
  <w:num w:numId="15">
    <w:abstractNumId w:val="39"/>
  </w:num>
  <w:num w:numId="16">
    <w:abstractNumId w:val="12"/>
  </w:num>
  <w:num w:numId="17">
    <w:abstractNumId w:val="16"/>
  </w:num>
  <w:num w:numId="18">
    <w:abstractNumId w:val="10"/>
  </w:num>
  <w:num w:numId="19">
    <w:abstractNumId w:val="48"/>
  </w:num>
  <w:num w:numId="20">
    <w:abstractNumId w:val="44"/>
  </w:num>
  <w:num w:numId="21">
    <w:abstractNumId w:val="23"/>
  </w:num>
  <w:num w:numId="22">
    <w:abstractNumId w:val="42"/>
  </w:num>
  <w:num w:numId="23">
    <w:abstractNumId w:val="32"/>
  </w:num>
  <w:num w:numId="24">
    <w:abstractNumId w:val="2"/>
  </w:num>
  <w:num w:numId="25">
    <w:abstractNumId w:val="14"/>
  </w:num>
  <w:num w:numId="26">
    <w:abstractNumId w:val="5"/>
  </w:num>
  <w:num w:numId="27">
    <w:abstractNumId w:val="34"/>
  </w:num>
  <w:num w:numId="28">
    <w:abstractNumId w:val="30"/>
  </w:num>
  <w:num w:numId="29">
    <w:abstractNumId w:val="25"/>
  </w:num>
  <w:num w:numId="30">
    <w:abstractNumId w:val="13"/>
  </w:num>
  <w:num w:numId="31">
    <w:abstractNumId w:val="7"/>
  </w:num>
  <w:num w:numId="32">
    <w:abstractNumId w:val="26"/>
  </w:num>
  <w:num w:numId="33">
    <w:abstractNumId w:val="8"/>
  </w:num>
  <w:num w:numId="34">
    <w:abstractNumId w:val="45"/>
  </w:num>
  <w:num w:numId="35">
    <w:abstractNumId w:val="46"/>
  </w:num>
  <w:num w:numId="36">
    <w:abstractNumId w:val="33"/>
  </w:num>
  <w:num w:numId="37">
    <w:abstractNumId w:val="4"/>
  </w:num>
  <w:num w:numId="38">
    <w:abstractNumId w:val="20"/>
  </w:num>
  <w:num w:numId="39">
    <w:abstractNumId w:val="38"/>
  </w:num>
  <w:num w:numId="40">
    <w:abstractNumId w:val="31"/>
  </w:num>
  <w:num w:numId="41">
    <w:abstractNumId w:val="6"/>
  </w:num>
  <w:num w:numId="42">
    <w:abstractNumId w:val="9"/>
  </w:num>
  <w:num w:numId="43">
    <w:abstractNumId w:val="41"/>
  </w:num>
  <w:num w:numId="44">
    <w:abstractNumId w:val="19"/>
  </w:num>
  <w:num w:numId="45">
    <w:abstractNumId w:val="47"/>
  </w:num>
  <w:num w:numId="46">
    <w:abstractNumId w:val="17"/>
  </w:num>
  <w:num w:numId="47">
    <w:abstractNumId w:val="37"/>
  </w:num>
  <w:num w:numId="48">
    <w:abstractNumId w:val="40"/>
  </w:num>
  <w:num w:numId="4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hideGrammaticalErrors/>
  <w:proofState w:spelling="clean" w:grammar="clean"/>
  <w:attachedTemplate r:id="rId1"/>
  <w:defaultTabStop w:val="709"/>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1E"/>
    <w:rsid w:val="0000011D"/>
    <w:rsid w:val="00000AC7"/>
    <w:rsid w:val="00001577"/>
    <w:rsid w:val="00001588"/>
    <w:rsid w:val="00001682"/>
    <w:rsid w:val="00001E0B"/>
    <w:rsid w:val="00002B67"/>
    <w:rsid w:val="00003A48"/>
    <w:rsid w:val="000042A8"/>
    <w:rsid w:val="00004364"/>
    <w:rsid w:val="00004468"/>
    <w:rsid w:val="00004821"/>
    <w:rsid w:val="00004ABB"/>
    <w:rsid w:val="00005756"/>
    <w:rsid w:val="000068AD"/>
    <w:rsid w:val="00006B02"/>
    <w:rsid w:val="000072F2"/>
    <w:rsid w:val="0000780C"/>
    <w:rsid w:val="000104C7"/>
    <w:rsid w:val="00010D3D"/>
    <w:rsid w:val="00011BF3"/>
    <w:rsid w:val="0001276F"/>
    <w:rsid w:val="00015939"/>
    <w:rsid w:val="0001659E"/>
    <w:rsid w:val="0001788C"/>
    <w:rsid w:val="00017E6A"/>
    <w:rsid w:val="0002045F"/>
    <w:rsid w:val="000204BC"/>
    <w:rsid w:val="0002052A"/>
    <w:rsid w:val="00020B55"/>
    <w:rsid w:val="000210E2"/>
    <w:rsid w:val="000214BB"/>
    <w:rsid w:val="00021A30"/>
    <w:rsid w:val="000231A1"/>
    <w:rsid w:val="00023EB8"/>
    <w:rsid w:val="00024765"/>
    <w:rsid w:val="00024AA3"/>
    <w:rsid w:val="00025C4B"/>
    <w:rsid w:val="000263AE"/>
    <w:rsid w:val="000274DE"/>
    <w:rsid w:val="00027678"/>
    <w:rsid w:val="000279A9"/>
    <w:rsid w:val="000300BD"/>
    <w:rsid w:val="000307B8"/>
    <w:rsid w:val="00030DE8"/>
    <w:rsid w:val="00030FFA"/>
    <w:rsid w:val="000313FC"/>
    <w:rsid w:val="000332EA"/>
    <w:rsid w:val="000337F0"/>
    <w:rsid w:val="0003424C"/>
    <w:rsid w:val="00035F9F"/>
    <w:rsid w:val="00036F2A"/>
    <w:rsid w:val="00037643"/>
    <w:rsid w:val="0004087C"/>
    <w:rsid w:val="00040BB6"/>
    <w:rsid w:val="00040E00"/>
    <w:rsid w:val="00043062"/>
    <w:rsid w:val="00044207"/>
    <w:rsid w:val="00044B64"/>
    <w:rsid w:val="000458C5"/>
    <w:rsid w:val="00045A28"/>
    <w:rsid w:val="000469AC"/>
    <w:rsid w:val="00047A30"/>
    <w:rsid w:val="00047E3D"/>
    <w:rsid w:val="00047F91"/>
    <w:rsid w:val="00050985"/>
    <w:rsid w:val="00052604"/>
    <w:rsid w:val="00052B62"/>
    <w:rsid w:val="00052D93"/>
    <w:rsid w:val="000536BA"/>
    <w:rsid w:val="00053A9A"/>
    <w:rsid w:val="00054292"/>
    <w:rsid w:val="000542C8"/>
    <w:rsid w:val="00054B87"/>
    <w:rsid w:val="0005508B"/>
    <w:rsid w:val="0005605C"/>
    <w:rsid w:val="0005620E"/>
    <w:rsid w:val="00056367"/>
    <w:rsid w:val="00057148"/>
    <w:rsid w:val="0005783F"/>
    <w:rsid w:val="00057A33"/>
    <w:rsid w:val="000617FB"/>
    <w:rsid w:val="00061D51"/>
    <w:rsid w:val="00062A97"/>
    <w:rsid w:val="00062EAB"/>
    <w:rsid w:val="0006344B"/>
    <w:rsid w:val="00063565"/>
    <w:rsid w:val="00063785"/>
    <w:rsid w:val="00063E16"/>
    <w:rsid w:val="00063F0F"/>
    <w:rsid w:val="00064EE1"/>
    <w:rsid w:val="000652F5"/>
    <w:rsid w:val="00066FF6"/>
    <w:rsid w:val="0006789D"/>
    <w:rsid w:val="0006790B"/>
    <w:rsid w:val="000718BF"/>
    <w:rsid w:val="0007197A"/>
    <w:rsid w:val="00071C84"/>
    <w:rsid w:val="00072D1A"/>
    <w:rsid w:val="00072E45"/>
    <w:rsid w:val="00073912"/>
    <w:rsid w:val="00073A81"/>
    <w:rsid w:val="00074175"/>
    <w:rsid w:val="00074931"/>
    <w:rsid w:val="0007573B"/>
    <w:rsid w:val="00075A9A"/>
    <w:rsid w:val="00076E63"/>
    <w:rsid w:val="00077612"/>
    <w:rsid w:val="00077BCA"/>
    <w:rsid w:val="00077D64"/>
    <w:rsid w:val="00080084"/>
    <w:rsid w:val="00080511"/>
    <w:rsid w:val="000807C2"/>
    <w:rsid w:val="0008191B"/>
    <w:rsid w:val="00081E15"/>
    <w:rsid w:val="00082992"/>
    <w:rsid w:val="00083185"/>
    <w:rsid w:val="00083BB5"/>
    <w:rsid w:val="00083E35"/>
    <w:rsid w:val="0008430D"/>
    <w:rsid w:val="00084916"/>
    <w:rsid w:val="00085057"/>
    <w:rsid w:val="000870CC"/>
    <w:rsid w:val="00087381"/>
    <w:rsid w:val="00087AAE"/>
    <w:rsid w:val="00090112"/>
    <w:rsid w:val="00090E5E"/>
    <w:rsid w:val="00090EC6"/>
    <w:rsid w:val="00090FAB"/>
    <w:rsid w:val="0009164C"/>
    <w:rsid w:val="00091B3E"/>
    <w:rsid w:val="000927E0"/>
    <w:rsid w:val="00093913"/>
    <w:rsid w:val="00094725"/>
    <w:rsid w:val="00094C6A"/>
    <w:rsid w:val="0009572E"/>
    <w:rsid w:val="00095FD3"/>
    <w:rsid w:val="000960C1"/>
    <w:rsid w:val="00096D11"/>
    <w:rsid w:val="000972BD"/>
    <w:rsid w:val="000975C8"/>
    <w:rsid w:val="00097B54"/>
    <w:rsid w:val="000A09C1"/>
    <w:rsid w:val="000A0CB4"/>
    <w:rsid w:val="000A0E1D"/>
    <w:rsid w:val="000A14A4"/>
    <w:rsid w:val="000A1693"/>
    <w:rsid w:val="000A2082"/>
    <w:rsid w:val="000A2322"/>
    <w:rsid w:val="000A29BC"/>
    <w:rsid w:val="000A2AAF"/>
    <w:rsid w:val="000A350B"/>
    <w:rsid w:val="000A391E"/>
    <w:rsid w:val="000A4C0E"/>
    <w:rsid w:val="000A60B9"/>
    <w:rsid w:val="000A65C0"/>
    <w:rsid w:val="000A6F65"/>
    <w:rsid w:val="000A7012"/>
    <w:rsid w:val="000A76C8"/>
    <w:rsid w:val="000A7777"/>
    <w:rsid w:val="000A7A18"/>
    <w:rsid w:val="000B0113"/>
    <w:rsid w:val="000B4249"/>
    <w:rsid w:val="000B4473"/>
    <w:rsid w:val="000B5444"/>
    <w:rsid w:val="000B5B0D"/>
    <w:rsid w:val="000B5D32"/>
    <w:rsid w:val="000B67EF"/>
    <w:rsid w:val="000B6BB2"/>
    <w:rsid w:val="000B6D28"/>
    <w:rsid w:val="000C0C34"/>
    <w:rsid w:val="000C0E35"/>
    <w:rsid w:val="000C1789"/>
    <w:rsid w:val="000C1BC0"/>
    <w:rsid w:val="000C25EF"/>
    <w:rsid w:val="000C3896"/>
    <w:rsid w:val="000C4583"/>
    <w:rsid w:val="000C5111"/>
    <w:rsid w:val="000C59D6"/>
    <w:rsid w:val="000C5FB0"/>
    <w:rsid w:val="000C66D8"/>
    <w:rsid w:val="000C6CDD"/>
    <w:rsid w:val="000C6DB5"/>
    <w:rsid w:val="000D00D0"/>
    <w:rsid w:val="000D00E6"/>
    <w:rsid w:val="000D0330"/>
    <w:rsid w:val="000D0B74"/>
    <w:rsid w:val="000D0C50"/>
    <w:rsid w:val="000D10E4"/>
    <w:rsid w:val="000D170C"/>
    <w:rsid w:val="000D1AE5"/>
    <w:rsid w:val="000D233E"/>
    <w:rsid w:val="000D31C6"/>
    <w:rsid w:val="000D3F81"/>
    <w:rsid w:val="000D5121"/>
    <w:rsid w:val="000D5A55"/>
    <w:rsid w:val="000D60BD"/>
    <w:rsid w:val="000D6842"/>
    <w:rsid w:val="000D6E28"/>
    <w:rsid w:val="000D7416"/>
    <w:rsid w:val="000E1482"/>
    <w:rsid w:val="000E18AF"/>
    <w:rsid w:val="000E297C"/>
    <w:rsid w:val="000E2D19"/>
    <w:rsid w:val="000E49AF"/>
    <w:rsid w:val="000E4DC4"/>
    <w:rsid w:val="000E5C11"/>
    <w:rsid w:val="000E5D88"/>
    <w:rsid w:val="000E6BD4"/>
    <w:rsid w:val="000E71DA"/>
    <w:rsid w:val="000F06FB"/>
    <w:rsid w:val="000F36F8"/>
    <w:rsid w:val="000F381C"/>
    <w:rsid w:val="000F3A6B"/>
    <w:rsid w:val="000F3AD4"/>
    <w:rsid w:val="000F4124"/>
    <w:rsid w:val="000F4192"/>
    <w:rsid w:val="000F532A"/>
    <w:rsid w:val="000F5829"/>
    <w:rsid w:val="001001B0"/>
    <w:rsid w:val="00100DA5"/>
    <w:rsid w:val="0010198F"/>
    <w:rsid w:val="00102226"/>
    <w:rsid w:val="00102DF0"/>
    <w:rsid w:val="00103003"/>
    <w:rsid w:val="0010426E"/>
    <w:rsid w:val="00104546"/>
    <w:rsid w:val="001052A7"/>
    <w:rsid w:val="00105588"/>
    <w:rsid w:val="0010596D"/>
    <w:rsid w:val="001060CD"/>
    <w:rsid w:val="00106204"/>
    <w:rsid w:val="00106A43"/>
    <w:rsid w:val="00106C9E"/>
    <w:rsid w:val="00107DB6"/>
    <w:rsid w:val="001102E6"/>
    <w:rsid w:val="00110779"/>
    <w:rsid w:val="001117FA"/>
    <w:rsid w:val="0011288F"/>
    <w:rsid w:val="00112BE6"/>
    <w:rsid w:val="001131CC"/>
    <w:rsid w:val="001151CE"/>
    <w:rsid w:val="001152FD"/>
    <w:rsid w:val="00115B4D"/>
    <w:rsid w:val="00116150"/>
    <w:rsid w:val="001164D2"/>
    <w:rsid w:val="0011793D"/>
    <w:rsid w:val="001179B4"/>
    <w:rsid w:val="00117D4F"/>
    <w:rsid w:val="001207A8"/>
    <w:rsid w:val="001208BE"/>
    <w:rsid w:val="00120B99"/>
    <w:rsid w:val="00121405"/>
    <w:rsid w:val="001214AF"/>
    <w:rsid w:val="00122761"/>
    <w:rsid w:val="0012293C"/>
    <w:rsid w:val="00123FA2"/>
    <w:rsid w:val="00124395"/>
    <w:rsid w:val="0012523A"/>
    <w:rsid w:val="0012610B"/>
    <w:rsid w:val="0012715B"/>
    <w:rsid w:val="00130051"/>
    <w:rsid w:val="00130323"/>
    <w:rsid w:val="001307F8"/>
    <w:rsid w:val="00130FA3"/>
    <w:rsid w:val="001310D5"/>
    <w:rsid w:val="00131130"/>
    <w:rsid w:val="00131F22"/>
    <w:rsid w:val="00131F5A"/>
    <w:rsid w:val="001328BC"/>
    <w:rsid w:val="00132A6C"/>
    <w:rsid w:val="00133B47"/>
    <w:rsid w:val="001343C0"/>
    <w:rsid w:val="001345E7"/>
    <w:rsid w:val="001347F6"/>
    <w:rsid w:val="001349EC"/>
    <w:rsid w:val="0013506A"/>
    <w:rsid w:val="00135089"/>
    <w:rsid w:val="00135274"/>
    <w:rsid w:val="001353B8"/>
    <w:rsid w:val="00135553"/>
    <w:rsid w:val="001357FE"/>
    <w:rsid w:val="00135B75"/>
    <w:rsid w:val="00135BD4"/>
    <w:rsid w:val="00135DE2"/>
    <w:rsid w:val="001364AC"/>
    <w:rsid w:val="00136F83"/>
    <w:rsid w:val="00137591"/>
    <w:rsid w:val="00141615"/>
    <w:rsid w:val="00141842"/>
    <w:rsid w:val="00142B01"/>
    <w:rsid w:val="00142EF3"/>
    <w:rsid w:val="00143F40"/>
    <w:rsid w:val="00144D95"/>
    <w:rsid w:val="001451BC"/>
    <w:rsid w:val="001464F3"/>
    <w:rsid w:val="00146C8B"/>
    <w:rsid w:val="0015021A"/>
    <w:rsid w:val="0015041F"/>
    <w:rsid w:val="00150C5B"/>
    <w:rsid w:val="0015169C"/>
    <w:rsid w:val="00151837"/>
    <w:rsid w:val="00151A2A"/>
    <w:rsid w:val="00151F71"/>
    <w:rsid w:val="00152423"/>
    <w:rsid w:val="00153210"/>
    <w:rsid w:val="001533F3"/>
    <w:rsid w:val="00155204"/>
    <w:rsid w:val="001552D3"/>
    <w:rsid w:val="0015738A"/>
    <w:rsid w:val="00157F37"/>
    <w:rsid w:val="00160B53"/>
    <w:rsid w:val="001620C8"/>
    <w:rsid w:val="00162798"/>
    <w:rsid w:val="0016369C"/>
    <w:rsid w:val="00164D13"/>
    <w:rsid w:val="00165DB1"/>
    <w:rsid w:val="00166548"/>
    <w:rsid w:val="00166ACF"/>
    <w:rsid w:val="00171290"/>
    <w:rsid w:val="001713E2"/>
    <w:rsid w:val="00171911"/>
    <w:rsid w:val="001721E8"/>
    <w:rsid w:val="00172314"/>
    <w:rsid w:val="001724E7"/>
    <w:rsid w:val="00172586"/>
    <w:rsid w:val="00172B61"/>
    <w:rsid w:val="0017441D"/>
    <w:rsid w:val="00174816"/>
    <w:rsid w:val="00176C18"/>
    <w:rsid w:val="00177858"/>
    <w:rsid w:val="0018037A"/>
    <w:rsid w:val="001805BE"/>
    <w:rsid w:val="001807BF"/>
    <w:rsid w:val="00180D76"/>
    <w:rsid w:val="0018131B"/>
    <w:rsid w:val="00181360"/>
    <w:rsid w:val="00181994"/>
    <w:rsid w:val="00182783"/>
    <w:rsid w:val="00182996"/>
    <w:rsid w:val="00182E0D"/>
    <w:rsid w:val="0018380E"/>
    <w:rsid w:val="001845F2"/>
    <w:rsid w:val="00184A43"/>
    <w:rsid w:val="00184D9F"/>
    <w:rsid w:val="001851CC"/>
    <w:rsid w:val="00185A81"/>
    <w:rsid w:val="00185F6B"/>
    <w:rsid w:val="00186981"/>
    <w:rsid w:val="0018743C"/>
    <w:rsid w:val="00187A36"/>
    <w:rsid w:val="001918C2"/>
    <w:rsid w:val="00191E47"/>
    <w:rsid w:val="001924E4"/>
    <w:rsid w:val="00192C0A"/>
    <w:rsid w:val="00192EA6"/>
    <w:rsid w:val="00193B0E"/>
    <w:rsid w:val="0019446E"/>
    <w:rsid w:val="00195BB2"/>
    <w:rsid w:val="0019630E"/>
    <w:rsid w:val="00196446"/>
    <w:rsid w:val="00196827"/>
    <w:rsid w:val="0019683C"/>
    <w:rsid w:val="00196E5D"/>
    <w:rsid w:val="001977E2"/>
    <w:rsid w:val="0019799A"/>
    <w:rsid w:val="00197B01"/>
    <w:rsid w:val="001A0434"/>
    <w:rsid w:val="001A0A1D"/>
    <w:rsid w:val="001A0F52"/>
    <w:rsid w:val="001A2CED"/>
    <w:rsid w:val="001A33AF"/>
    <w:rsid w:val="001A34F1"/>
    <w:rsid w:val="001A3911"/>
    <w:rsid w:val="001A392A"/>
    <w:rsid w:val="001A3E07"/>
    <w:rsid w:val="001A4533"/>
    <w:rsid w:val="001A55AC"/>
    <w:rsid w:val="001A586B"/>
    <w:rsid w:val="001A6A2D"/>
    <w:rsid w:val="001A70D5"/>
    <w:rsid w:val="001B04A4"/>
    <w:rsid w:val="001B08A8"/>
    <w:rsid w:val="001B17EE"/>
    <w:rsid w:val="001B1823"/>
    <w:rsid w:val="001B3461"/>
    <w:rsid w:val="001B3F2B"/>
    <w:rsid w:val="001B4116"/>
    <w:rsid w:val="001B4EA5"/>
    <w:rsid w:val="001B67D5"/>
    <w:rsid w:val="001B6A43"/>
    <w:rsid w:val="001B6FB4"/>
    <w:rsid w:val="001B7235"/>
    <w:rsid w:val="001C0BF3"/>
    <w:rsid w:val="001C1AC2"/>
    <w:rsid w:val="001C291E"/>
    <w:rsid w:val="001C4597"/>
    <w:rsid w:val="001C46EB"/>
    <w:rsid w:val="001C4AC4"/>
    <w:rsid w:val="001C4AD5"/>
    <w:rsid w:val="001C517B"/>
    <w:rsid w:val="001C55E7"/>
    <w:rsid w:val="001C64FA"/>
    <w:rsid w:val="001C652A"/>
    <w:rsid w:val="001C7D4E"/>
    <w:rsid w:val="001D0DDF"/>
    <w:rsid w:val="001D192C"/>
    <w:rsid w:val="001D2529"/>
    <w:rsid w:val="001D269F"/>
    <w:rsid w:val="001D2BB5"/>
    <w:rsid w:val="001D30F9"/>
    <w:rsid w:val="001D3DA0"/>
    <w:rsid w:val="001D4A5A"/>
    <w:rsid w:val="001D5391"/>
    <w:rsid w:val="001D5514"/>
    <w:rsid w:val="001D6131"/>
    <w:rsid w:val="001D6361"/>
    <w:rsid w:val="001D6766"/>
    <w:rsid w:val="001D683A"/>
    <w:rsid w:val="001D6F75"/>
    <w:rsid w:val="001D6FC3"/>
    <w:rsid w:val="001D7B4B"/>
    <w:rsid w:val="001E0345"/>
    <w:rsid w:val="001E08C1"/>
    <w:rsid w:val="001E0B03"/>
    <w:rsid w:val="001E0B1D"/>
    <w:rsid w:val="001E0CF2"/>
    <w:rsid w:val="001E32A9"/>
    <w:rsid w:val="001E4561"/>
    <w:rsid w:val="001E4C9E"/>
    <w:rsid w:val="001E4D8C"/>
    <w:rsid w:val="001E527C"/>
    <w:rsid w:val="001E5449"/>
    <w:rsid w:val="001E5C4A"/>
    <w:rsid w:val="001E6D35"/>
    <w:rsid w:val="001F0356"/>
    <w:rsid w:val="001F07F4"/>
    <w:rsid w:val="001F090A"/>
    <w:rsid w:val="001F1A84"/>
    <w:rsid w:val="001F1C97"/>
    <w:rsid w:val="001F2058"/>
    <w:rsid w:val="001F21C8"/>
    <w:rsid w:val="001F2D6C"/>
    <w:rsid w:val="001F2DBA"/>
    <w:rsid w:val="001F3C90"/>
    <w:rsid w:val="001F3FC4"/>
    <w:rsid w:val="001F44F3"/>
    <w:rsid w:val="001F4C4A"/>
    <w:rsid w:val="001F4F5E"/>
    <w:rsid w:val="001F5CB7"/>
    <w:rsid w:val="001F5D88"/>
    <w:rsid w:val="001F63B5"/>
    <w:rsid w:val="001F69CD"/>
    <w:rsid w:val="001F780C"/>
    <w:rsid w:val="001F78EB"/>
    <w:rsid w:val="001F79D2"/>
    <w:rsid w:val="00200CC0"/>
    <w:rsid w:val="0020160E"/>
    <w:rsid w:val="002019D4"/>
    <w:rsid w:val="00202455"/>
    <w:rsid w:val="0020321B"/>
    <w:rsid w:val="0020324A"/>
    <w:rsid w:val="00204019"/>
    <w:rsid w:val="002049F3"/>
    <w:rsid w:val="00204D85"/>
    <w:rsid w:val="00205163"/>
    <w:rsid w:val="00205177"/>
    <w:rsid w:val="002055C9"/>
    <w:rsid w:val="0020662C"/>
    <w:rsid w:val="002075D9"/>
    <w:rsid w:val="002109C2"/>
    <w:rsid w:val="002114E5"/>
    <w:rsid w:val="002124C5"/>
    <w:rsid w:val="002129CC"/>
    <w:rsid w:val="00215EE3"/>
    <w:rsid w:val="002167B4"/>
    <w:rsid w:val="002169B2"/>
    <w:rsid w:val="00216CF6"/>
    <w:rsid w:val="00216D27"/>
    <w:rsid w:val="0021767A"/>
    <w:rsid w:val="00217B1F"/>
    <w:rsid w:val="002202F5"/>
    <w:rsid w:val="00221503"/>
    <w:rsid w:val="0022171E"/>
    <w:rsid w:val="00222033"/>
    <w:rsid w:val="002231C2"/>
    <w:rsid w:val="00223769"/>
    <w:rsid w:val="002240CE"/>
    <w:rsid w:val="00224843"/>
    <w:rsid w:val="00224D72"/>
    <w:rsid w:val="002250E6"/>
    <w:rsid w:val="00225A1C"/>
    <w:rsid w:val="00226D3C"/>
    <w:rsid w:val="00226FC9"/>
    <w:rsid w:val="00227164"/>
    <w:rsid w:val="002275DC"/>
    <w:rsid w:val="0022787E"/>
    <w:rsid w:val="002304EF"/>
    <w:rsid w:val="00231135"/>
    <w:rsid w:val="002314A2"/>
    <w:rsid w:val="0023152E"/>
    <w:rsid w:val="00231C06"/>
    <w:rsid w:val="00232672"/>
    <w:rsid w:val="00234084"/>
    <w:rsid w:val="00234116"/>
    <w:rsid w:val="00235D8F"/>
    <w:rsid w:val="00240624"/>
    <w:rsid w:val="0024083E"/>
    <w:rsid w:val="00240C15"/>
    <w:rsid w:val="00240C49"/>
    <w:rsid w:val="00240F9A"/>
    <w:rsid w:val="0024168D"/>
    <w:rsid w:val="00241CB9"/>
    <w:rsid w:val="002420DC"/>
    <w:rsid w:val="00242637"/>
    <w:rsid w:val="00242A6D"/>
    <w:rsid w:val="00242B4E"/>
    <w:rsid w:val="00243425"/>
    <w:rsid w:val="002450EE"/>
    <w:rsid w:val="00245534"/>
    <w:rsid w:val="0025069A"/>
    <w:rsid w:val="00250764"/>
    <w:rsid w:val="002523BC"/>
    <w:rsid w:val="00252C1B"/>
    <w:rsid w:val="00253378"/>
    <w:rsid w:val="002537FF"/>
    <w:rsid w:val="00255058"/>
    <w:rsid w:val="002552B2"/>
    <w:rsid w:val="0025549F"/>
    <w:rsid w:val="00255AC3"/>
    <w:rsid w:val="00257560"/>
    <w:rsid w:val="002578A1"/>
    <w:rsid w:val="002607C8"/>
    <w:rsid w:val="00262457"/>
    <w:rsid w:val="00262607"/>
    <w:rsid w:val="00262737"/>
    <w:rsid w:val="00262F42"/>
    <w:rsid w:val="00263DAC"/>
    <w:rsid w:val="00264BCA"/>
    <w:rsid w:val="0026604C"/>
    <w:rsid w:val="00266597"/>
    <w:rsid w:val="0026680E"/>
    <w:rsid w:val="00266E60"/>
    <w:rsid w:val="00267385"/>
    <w:rsid w:val="00267551"/>
    <w:rsid w:val="002709D5"/>
    <w:rsid w:val="00270D60"/>
    <w:rsid w:val="0027108A"/>
    <w:rsid w:val="002713E4"/>
    <w:rsid w:val="00271A91"/>
    <w:rsid w:val="002729EB"/>
    <w:rsid w:val="00272DAD"/>
    <w:rsid w:val="00272FBD"/>
    <w:rsid w:val="00273483"/>
    <w:rsid w:val="00273586"/>
    <w:rsid w:val="00273F00"/>
    <w:rsid w:val="00275136"/>
    <w:rsid w:val="00275168"/>
    <w:rsid w:val="002757E2"/>
    <w:rsid w:val="00276605"/>
    <w:rsid w:val="00276B31"/>
    <w:rsid w:val="00276E33"/>
    <w:rsid w:val="00276F7D"/>
    <w:rsid w:val="00277D62"/>
    <w:rsid w:val="002801A3"/>
    <w:rsid w:val="00280B87"/>
    <w:rsid w:val="00281B94"/>
    <w:rsid w:val="002832E5"/>
    <w:rsid w:val="0028357E"/>
    <w:rsid w:val="00284351"/>
    <w:rsid w:val="0028570D"/>
    <w:rsid w:val="0028658D"/>
    <w:rsid w:val="00286F67"/>
    <w:rsid w:val="00290279"/>
    <w:rsid w:val="002918E7"/>
    <w:rsid w:val="00291D1A"/>
    <w:rsid w:val="00292059"/>
    <w:rsid w:val="002929D6"/>
    <w:rsid w:val="0029449B"/>
    <w:rsid w:val="00294816"/>
    <w:rsid w:val="00295665"/>
    <w:rsid w:val="00295E59"/>
    <w:rsid w:val="0029608C"/>
    <w:rsid w:val="002961C0"/>
    <w:rsid w:val="00296F9E"/>
    <w:rsid w:val="002972ED"/>
    <w:rsid w:val="00297B5F"/>
    <w:rsid w:val="002A0A01"/>
    <w:rsid w:val="002A243C"/>
    <w:rsid w:val="002A3A43"/>
    <w:rsid w:val="002A4D18"/>
    <w:rsid w:val="002A504D"/>
    <w:rsid w:val="002A5E78"/>
    <w:rsid w:val="002A7B57"/>
    <w:rsid w:val="002B0831"/>
    <w:rsid w:val="002B0A43"/>
    <w:rsid w:val="002B209F"/>
    <w:rsid w:val="002B2184"/>
    <w:rsid w:val="002B241E"/>
    <w:rsid w:val="002B2833"/>
    <w:rsid w:val="002B37FB"/>
    <w:rsid w:val="002B3960"/>
    <w:rsid w:val="002B3DEB"/>
    <w:rsid w:val="002B3EA9"/>
    <w:rsid w:val="002B444D"/>
    <w:rsid w:val="002B4543"/>
    <w:rsid w:val="002B489D"/>
    <w:rsid w:val="002B4F54"/>
    <w:rsid w:val="002B5159"/>
    <w:rsid w:val="002B5526"/>
    <w:rsid w:val="002B58DC"/>
    <w:rsid w:val="002B5E39"/>
    <w:rsid w:val="002B62A0"/>
    <w:rsid w:val="002B650F"/>
    <w:rsid w:val="002B68AC"/>
    <w:rsid w:val="002B77C7"/>
    <w:rsid w:val="002B79AC"/>
    <w:rsid w:val="002C080A"/>
    <w:rsid w:val="002C1210"/>
    <w:rsid w:val="002C1BE9"/>
    <w:rsid w:val="002C29AB"/>
    <w:rsid w:val="002C33C1"/>
    <w:rsid w:val="002C34F1"/>
    <w:rsid w:val="002C3AC9"/>
    <w:rsid w:val="002C3CB4"/>
    <w:rsid w:val="002C4355"/>
    <w:rsid w:val="002C4590"/>
    <w:rsid w:val="002C499C"/>
    <w:rsid w:val="002C6870"/>
    <w:rsid w:val="002C6B86"/>
    <w:rsid w:val="002C6EEB"/>
    <w:rsid w:val="002C76BD"/>
    <w:rsid w:val="002C7B82"/>
    <w:rsid w:val="002D0DBC"/>
    <w:rsid w:val="002D0F79"/>
    <w:rsid w:val="002D0FAA"/>
    <w:rsid w:val="002D114F"/>
    <w:rsid w:val="002D1DB9"/>
    <w:rsid w:val="002D27A8"/>
    <w:rsid w:val="002D2A8D"/>
    <w:rsid w:val="002D2BC3"/>
    <w:rsid w:val="002D2C98"/>
    <w:rsid w:val="002D307C"/>
    <w:rsid w:val="002D34F2"/>
    <w:rsid w:val="002D3CA4"/>
    <w:rsid w:val="002D43DD"/>
    <w:rsid w:val="002D6449"/>
    <w:rsid w:val="002D6695"/>
    <w:rsid w:val="002D6A11"/>
    <w:rsid w:val="002D7A68"/>
    <w:rsid w:val="002E0773"/>
    <w:rsid w:val="002E0F4D"/>
    <w:rsid w:val="002E1C3E"/>
    <w:rsid w:val="002E2589"/>
    <w:rsid w:val="002E2766"/>
    <w:rsid w:val="002E2943"/>
    <w:rsid w:val="002E32F0"/>
    <w:rsid w:val="002E3C89"/>
    <w:rsid w:val="002E3EF8"/>
    <w:rsid w:val="002E417C"/>
    <w:rsid w:val="002E445F"/>
    <w:rsid w:val="002E4DED"/>
    <w:rsid w:val="002E5032"/>
    <w:rsid w:val="002E54F8"/>
    <w:rsid w:val="002E567E"/>
    <w:rsid w:val="002E5AE5"/>
    <w:rsid w:val="002E626F"/>
    <w:rsid w:val="002E69C0"/>
    <w:rsid w:val="002E72F4"/>
    <w:rsid w:val="002E7B44"/>
    <w:rsid w:val="002F0397"/>
    <w:rsid w:val="002F0A52"/>
    <w:rsid w:val="002F11BA"/>
    <w:rsid w:val="002F1AC5"/>
    <w:rsid w:val="002F1EAF"/>
    <w:rsid w:val="002F2221"/>
    <w:rsid w:val="002F236A"/>
    <w:rsid w:val="002F2E33"/>
    <w:rsid w:val="002F2F63"/>
    <w:rsid w:val="002F3984"/>
    <w:rsid w:val="002F3F15"/>
    <w:rsid w:val="002F54B8"/>
    <w:rsid w:val="002F5FCC"/>
    <w:rsid w:val="002F6659"/>
    <w:rsid w:val="002F73DE"/>
    <w:rsid w:val="002F7F22"/>
    <w:rsid w:val="003005F1"/>
    <w:rsid w:val="0030068E"/>
    <w:rsid w:val="00300921"/>
    <w:rsid w:val="003009DC"/>
    <w:rsid w:val="00300BDF"/>
    <w:rsid w:val="00301714"/>
    <w:rsid w:val="0030255B"/>
    <w:rsid w:val="00302E15"/>
    <w:rsid w:val="003033C3"/>
    <w:rsid w:val="00304CD4"/>
    <w:rsid w:val="00304DAC"/>
    <w:rsid w:val="003056BB"/>
    <w:rsid w:val="00305763"/>
    <w:rsid w:val="003058FD"/>
    <w:rsid w:val="00306067"/>
    <w:rsid w:val="00306CAC"/>
    <w:rsid w:val="00307C05"/>
    <w:rsid w:val="003106BE"/>
    <w:rsid w:val="0031074B"/>
    <w:rsid w:val="003113B0"/>
    <w:rsid w:val="003115AE"/>
    <w:rsid w:val="0031179D"/>
    <w:rsid w:val="00311954"/>
    <w:rsid w:val="00311D4B"/>
    <w:rsid w:val="003124EB"/>
    <w:rsid w:val="00312D68"/>
    <w:rsid w:val="00312E65"/>
    <w:rsid w:val="003131F1"/>
    <w:rsid w:val="00313DA1"/>
    <w:rsid w:val="003153A6"/>
    <w:rsid w:val="00315628"/>
    <w:rsid w:val="0031579F"/>
    <w:rsid w:val="00315A6B"/>
    <w:rsid w:val="00315E85"/>
    <w:rsid w:val="00316205"/>
    <w:rsid w:val="0031676C"/>
    <w:rsid w:val="0031787D"/>
    <w:rsid w:val="0032026D"/>
    <w:rsid w:val="0032068A"/>
    <w:rsid w:val="00320CB8"/>
    <w:rsid w:val="00321146"/>
    <w:rsid w:val="00321800"/>
    <w:rsid w:val="00321BA6"/>
    <w:rsid w:val="00321ECE"/>
    <w:rsid w:val="003222F8"/>
    <w:rsid w:val="00322806"/>
    <w:rsid w:val="00322848"/>
    <w:rsid w:val="00322E26"/>
    <w:rsid w:val="003232FC"/>
    <w:rsid w:val="003237F6"/>
    <w:rsid w:val="003243B3"/>
    <w:rsid w:val="00324FCE"/>
    <w:rsid w:val="003252D8"/>
    <w:rsid w:val="00325AFB"/>
    <w:rsid w:val="00325C1C"/>
    <w:rsid w:val="003275C8"/>
    <w:rsid w:val="00330171"/>
    <w:rsid w:val="0033044D"/>
    <w:rsid w:val="003308EB"/>
    <w:rsid w:val="0033140F"/>
    <w:rsid w:val="00331479"/>
    <w:rsid w:val="00332966"/>
    <w:rsid w:val="00333100"/>
    <w:rsid w:val="00333923"/>
    <w:rsid w:val="003339B3"/>
    <w:rsid w:val="003339CE"/>
    <w:rsid w:val="00333BDC"/>
    <w:rsid w:val="003341D0"/>
    <w:rsid w:val="00335D22"/>
    <w:rsid w:val="00335D25"/>
    <w:rsid w:val="00337CA4"/>
    <w:rsid w:val="0034035B"/>
    <w:rsid w:val="00340C32"/>
    <w:rsid w:val="00340D8B"/>
    <w:rsid w:val="00341131"/>
    <w:rsid w:val="00341181"/>
    <w:rsid w:val="003425A5"/>
    <w:rsid w:val="00342689"/>
    <w:rsid w:val="0034275A"/>
    <w:rsid w:val="00342F2A"/>
    <w:rsid w:val="003431E2"/>
    <w:rsid w:val="00343813"/>
    <w:rsid w:val="003440C7"/>
    <w:rsid w:val="00344110"/>
    <w:rsid w:val="0034612B"/>
    <w:rsid w:val="0034627F"/>
    <w:rsid w:val="00347523"/>
    <w:rsid w:val="00347C1C"/>
    <w:rsid w:val="00347EF5"/>
    <w:rsid w:val="00347F47"/>
    <w:rsid w:val="00350D1C"/>
    <w:rsid w:val="00352633"/>
    <w:rsid w:val="0035398A"/>
    <w:rsid w:val="003539D2"/>
    <w:rsid w:val="00354199"/>
    <w:rsid w:val="00354863"/>
    <w:rsid w:val="00354C11"/>
    <w:rsid w:val="00355289"/>
    <w:rsid w:val="00355986"/>
    <w:rsid w:val="00355E93"/>
    <w:rsid w:val="00356D50"/>
    <w:rsid w:val="00357986"/>
    <w:rsid w:val="00357F3C"/>
    <w:rsid w:val="003617E5"/>
    <w:rsid w:val="003617F7"/>
    <w:rsid w:val="003618DF"/>
    <w:rsid w:val="0036223B"/>
    <w:rsid w:val="00362321"/>
    <w:rsid w:val="00362704"/>
    <w:rsid w:val="00362AEB"/>
    <w:rsid w:val="003636C5"/>
    <w:rsid w:val="003637CB"/>
    <w:rsid w:val="0036401F"/>
    <w:rsid w:val="00364422"/>
    <w:rsid w:val="00365783"/>
    <w:rsid w:val="00366411"/>
    <w:rsid w:val="00366C9F"/>
    <w:rsid w:val="00367913"/>
    <w:rsid w:val="00367ADD"/>
    <w:rsid w:val="00370D3A"/>
    <w:rsid w:val="00371390"/>
    <w:rsid w:val="00371595"/>
    <w:rsid w:val="003717D7"/>
    <w:rsid w:val="003717DB"/>
    <w:rsid w:val="003736A7"/>
    <w:rsid w:val="003737B4"/>
    <w:rsid w:val="003740B2"/>
    <w:rsid w:val="00374AD3"/>
    <w:rsid w:val="00374CC8"/>
    <w:rsid w:val="00374E4F"/>
    <w:rsid w:val="00380828"/>
    <w:rsid w:val="00381A73"/>
    <w:rsid w:val="00382086"/>
    <w:rsid w:val="00382F10"/>
    <w:rsid w:val="003835A1"/>
    <w:rsid w:val="003838C6"/>
    <w:rsid w:val="00384283"/>
    <w:rsid w:val="003850E5"/>
    <w:rsid w:val="00385F74"/>
    <w:rsid w:val="003867DF"/>
    <w:rsid w:val="003879D9"/>
    <w:rsid w:val="00387BEE"/>
    <w:rsid w:val="00387CC5"/>
    <w:rsid w:val="003910A8"/>
    <w:rsid w:val="0039122B"/>
    <w:rsid w:val="00391B11"/>
    <w:rsid w:val="003930DB"/>
    <w:rsid w:val="00394D72"/>
    <w:rsid w:val="00395199"/>
    <w:rsid w:val="003962B5"/>
    <w:rsid w:val="00396608"/>
    <w:rsid w:val="0039672A"/>
    <w:rsid w:val="003976DD"/>
    <w:rsid w:val="0039792C"/>
    <w:rsid w:val="00397FB9"/>
    <w:rsid w:val="003A009D"/>
    <w:rsid w:val="003A195D"/>
    <w:rsid w:val="003A1EE8"/>
    <w:rsid w:val="003A2FD1"/>
    <w:rsid w:val="003A30A8"/>
    <w:rsid w:val="003A3F89"/>
    <w:rsid w:val="003A50B1"/>
    <w:rsid w:val="003A5394"/>
    <w:rsid w:val="003A5532"/>
    <w:rsid w:val="003A5922"/>
    <w:rsid w:val="003A5AE0"/>
    <w:rsid w:val="003A5E57"/>
    <w:rsid w:val="003A5FF5"/>
    <w:rsid w:val="003A62AE"/>
    <w:rsid w:val="003A63E2"/>
    <w:rsid w:val="003A67B3"/>
    <w:rsid w:val="003A69CC"/>
    <w:rsid w:val="003A6C66"/>
    <w:rsid w:val="003A6F21"/>
    <w:rsid w:val="003A7225"/>
    <w:rsid w:val="003B0347"/>
    <w:rsid w:val="003B17F3"/>
    <w:rsid w:val="003B18C7"/>
    <w:rsid w:val="003B1FA4"/>
    <w:rsid w:val="003B28B8"/>
    <w:rsid w:val="003B2C24"/>
    <w:rsid w:val="003B33B5"/>
    <w:rsid w:val="003B432F"/>
    <w:rsid w:val="003B51F0"/>
    <w:rsid w:val="003B597A"/>
    <w:rsid w:val="003B5A13"/>
    <w:rsid w:val="003B5A60"/>
    <w:rsid w:val="003B5D81"/>
    <w:rsid w:val="003B6B5B"/>
    <w:rsid w:val="003B72CC"/>
    <w:rsid w:val="003C0821"/>
    <w:rsid w:val="003C0FBD"/>
    <w:rsid w:val="003C145B"/>
    <w:rsid w:val="003C1CA3"/>
    <w:rsid w:val="003C352A"/>
    <w:rsid w:val="003C398B"/>
    <w:rsid w:val="003C4172"/>
    <w:rsid w:val="003C56C8"/>
    <w:rsid w:val="003C5718"/>
    <w:rsid w:val="003C660A"/>
    <w:rsid w:val="003C6685"/>
    <w:rsid w:val="003C6D04"/>
    <w:rsid w:val="003C70F6"/>
    <w:rsid w:val="003C7675"/>
    <w:rsid w:val="003C7842"/>
    <w:rsid w:val="003C7960"/>
    <w:rsid w:val="003D0C46"/>
    <w:rsid w:val="003D0DA3"/>
    <w:rsid w:val="003D207A"/>
    <w:rsid w:val="003D3C0E"/>
    <w:rsid w:val="003D4191"/>
    <w:rsid w:val="003D457C"/>
    <w:rsid w:val="003D5483"/>
    <w:rsid w:val="003D5B03"/>
    <w:rsid w:val="003D793B"/>
    <w:rsid w:val="003E004A"/>
    <w:rsid w:val="003E055E"/>
    <w:rsid w:val="003E0915"/>
    <w:rsid w:val="003E1DF1"/>
    <w:rsid w:val="003E230D"/>
    <w:rsid w:val="003E2475"/>
    <w:rsid w:val="003E24B3"/>
    <w:rsid w:val="003E2A61"/>
    <w:rsid w:val="003E2F75"/>
    <w:rsid w:val="003E3714"/>
    <w:rsid w:val="003E4252"/>
    <w:rsid w:val="003E4856"/>
    <w:rsid w:val="003E4A98"/>
    <w:rsid w:val="003E50C4"/>
    <w:rsid w:val="003E59EB"/>
    <w:rsid w:val="003E682D"/>
    <w:rsid w:val="003F0651"/>
    <w:rsid w:val="003F0772"/>
    <w:rsid w:val="003F16BD"/>
    <w:rsid w:val="003F24D6"/>
    <w:rsid w:val="003F2DF9"/>
    <w:rsid w:val="003F2E2E"/>
    <w:rsid w:val="003F3836"/>
    <w:rsid w:val="003F45CD"/>
    <w:rsid w:val="003F4B0B"/>
    <w:rsid w:val="003F4B5E"/>
    <w:rsid w:val="003F5177"/>
    <w:rsid w:val="003F5449"/>
    <w:rsid w:val="003F56E6"/>
    <w:rsid w:val="003F62F7"/>
    <w:rsid w:val="003F6CD3"/>
    <w:rsid w:val="003F7590"/>
    <w:rsid w:val="003F7D51"/>
    <w:rsid w:val="003F7ED7"/>
    <w:rsid w:val="00400FCD"/>
    <w:rsid w:val="004010C4"/>
    <w:rsid w:val="00401838"/>
    <w:rsid w:val="00401A03"/>
    <w:rsid w:val="00401AC6"/>
    <w:rsid w:val="00401FDE"/>
    <w:rsid w:val="00402E1D"/>
    <w:rsid w:val="00403959"/>
    <w:rsid w:val="004048B1"/>
    <w:rsid w:val="00404A29"/>
    <w:rsid w:val="00406149"/>
    <w:rsid w:val="004070B0"/>
    <w:rsid w:val="004074D5"/>
    <w:rsid w:val="004101B6"/>
    <w:rsid w:val="00410413"/>
    <w:rsid w:val="00410426"/>
    <w:rsid w:val="004109CC"/>
    <w:rsid w:val="00411251"/>
    <w:rsid w:val="00411493"/>
    <w:rsid w:val="00411594"/>
    <w:rsid w:val="004128F7"/>
    <w:rsid w:val="00412FBA"/>
    <w:rsid w:val="004149A1"/>
    <w:rsid w:val="00414D78"/>
    <w:rsid w:val="0041507C"/>
    <w:rsid w:val="00415231"/>
    <w:rsid w:val="004158AB"/>
    <w:rsid w:val="00417100"/>
    <w:rsid w:val="004172A5"/>
    <w:rsid w:val="00417326"/>
    <w:rsid w:val="00417330"/>
    <w:rsid w:val="00417E12"/>
    <w:rsid w:val="00420363"/>
    <w:rsid w:val="0042048F"/>
    <w:rsid w:val="004208E0"/>
    <w:rsid w:val="004211BA"/>
    <w:rsid w:val="0042145C"/>
    <w:rsid w:val="00421507"/>
    <w:rsid w:val="004216B0"/>
    <w:rsid w:val="004217F0"/>
    <w:rsid w:val="004218E1"/>
    <w:rsid w:val="00422663"/>
    <w:rsid w:val="0042271D"/>
    <w:rsid w:val="004228D9"/>
    <w:rsid w:val="00422D3F"/>
    <w:rsid w:val="00423264"/>
    <w:rsid w:val="00423C1D"/>
    <w:rsid w:val="00423F10"/>
    <w:rsid w:val="00424979"/>
    <w:rsid w:val="004264ED"/>
    <w:rsid w:val="00427386"/>
    <w:rsid w:val="00427604"/>
    <w:rsid w:val="00427E05"/>
    <w:rsid w:val="00430DDE"/>
    <w:rsid w:val="00431338"/>
    <w:rsid w:val="00431552"/>
    <w:rsid w:val="00431F7C"/>
    <w:rsid w:val="004321BA"/>
    <w:rsid w:val="004323C0"/>
    <w:rsid w:val="00433333"/>
    <w:rsid w:val="0043387F"/>
    <w:rsid w:val="0043452E"/>
    <w:rsid w:val="00434610"/>
    <w:rsid w:val="004351FA"/>
    <w:rsid w:val="004352E5"/>
    <w:rsid w:val="00435D88"/>
    <w:rsid w:val="0043611A"/>
    <w:rsid w:val="00437060"/>
    <w:rsid w:val="004407BF"/>
    <w:rsid w:val="0044094D"/>
    <w:rsid w:val="004409F7"/>
    <w:rsid w:val="00441ADC"/>
    <w:rsid w:val="00441B25"/>
    <w:rsid w:val="00441BF1"/>
    <w:rsid w:val="0044205F"/>
    <w:rsid w:val="00442A2D"/>
    <w:rsid w:val="00442E66"/>
    <w:rsid w:val="00443495"/>
    <w:rsid w:val="00443D4F"/>
    <w:rsid w:val="00443D87"/>
    <w:rsid w:val="00444455"/>
    <w:rsid w:val="0044445A"/>
    <w:rsid w:val="004451E3"/>
    <w:rsid w:val="004457CE"/>
    <w:rsid w:val="00446CF7"/>
    <w:rsid w:val="00446E23"/>
    <w:rsid w:val="004510E1"/>
    <w:rsid w:val="00451688"/>
    <w:rsid w:val="00451B81"/>
    <w:rsid w:val="00451EC7"/>
    <w:rsid w:val="004525A2"/>
    <w:rsid w:val="0045295E"/>
    <w:rsid w:val="0045316E"/>
    <w:rsid w:val="004537B5"/>
    <w:rsid w:val="00455341"/>
    <w:rsid w:val="004555FE"/>
    <w:rsid w:val="00456615"/>
    <w:rsid w:val="004576AC"/>
    <w:rsid w:val="00460E37"/>
    <w:rsid w:val="004615E1"/>
    <w:rsid w:val="0046178B"/>
    <w:rsid w:val="004620AD"/>
    <w:rsid w:val="00462118"/>
    <w:rsid w:val="00462607"/>
    <w:rsid w:val="00462BE1"/>
    <w:rsid w:val="00463363"/>
    <w:rsid w:val="0046372F"/>
    <w:rsid w:val="00463ABF"/>
    <w:rsid w:val="00463C9F"/>
    <w:rsid w:val="0046402A"/>
    <w:rsid w:val="0046479C"/>
    <w:rsid w:val="00465031"/>
    <w:rsid w:val="00465399"/>
    <w:rsid w:val="004661C7"/>
    <w:rsid w:val="00466BA1"/>
    <w:rsid w:val="004717F9"/>
    <w:rsid w:val="00471AD5"/>
    <w:rsid w:val="00471BCC"/>
    <w:rsid w:val="00471E92"/>
    <w:rsid w:val="00471ECA"/>
    <w:rsid w:val="0047248E"/>
    <w:rsid w:val="00472775"/>
    <w:rsid w:val="00473770"/>
    <w:rsid w:val="00474974"/>
    <w:rsid w:val="00475B03"/>
    <w:rsid w:val="00475DF5"/>
    <w:rsid w:val="00476508"/>
    <w:rsid w:val="00480151"/>
    <w:rsid w:val="00480387"/>
    <w:rsid w:val="00482CDF"/>
    <w:rsid w:val="004830A0"/>
    <w:rsid w:val="0048433C"/>
    <w:rsid w:val="00484FB9"/>
    <w:rsid w:val="00485075"/>
    <w:rsid w:val="00485287"/>
    <w:rsid w:val="00486433"/>
    <w:rsid w:val="00486764"/>
    <w:rsid w:val="00486862"/>
    <w:rsid w:val="00486982"/>
    <w:rsid w:val="00487F92"/>
    <w:rsid w:val="0049002E"/>
    <w:rsid w:val="00490AF4"/>
    <w:rsid w:val="00490E9C"/>
    <w:rsid w:val="00490FFB"/>
    <w:rsid w:val="00491A2F"/>
    <w:rsid w:val="00491CDA"/>
    <w:rsid w:val="004926AD"/>
    <w:rsid w:val="0049304B"/>
    <w:rsid w:val="0049340B"/>
    <w:rsid w:val="0049376B"/>
    <w:rsid w:val="00493D3E"/>
    <w:rsid w:val="00494995"/>
    <w:rsid w:val="004952BC"/>
    <w:rsid w:val="0049553F"/>
    <w:rsid w:val="00497E37"/>
    <w:rsid w:val="004A041C"/>
    <w:rsid w:val="004A19CE"/>
    <w:rsid w:val="004A2184"/>
    <w:rsid w:val="004A243B"/>
    <w:rsid w:val="004A3F7A"/>
    <w:rsid w:val="004A42A1"/>
    <w:rsid w:val="004A686E"/>
    <w:rsid w:val="004A7251"/>
    <w:rsid w:val="004A7A34"/>
    <w:rsid w:val="004B000D"/>
    <w:rsid w:val="004B0596"/>
    <w:rsid w:val="004B0EE3"/>
    <w:rsid w:val="004B0FCC"/>
    <w:rsid w:val="004B1D6B"/>
    <w:rsid w:val="004B22B4"/>
    <w:rsid w:val="004B28E6"/>
    <w:rsid w:val="004B36F4"/>
    <w:rsid w:val="004B3D77"/>
    <w:rsid w:val="004B46CC"/>
    <w:rsid w:val="004B4BD4"/>
    <w:rsid w:val="004B4D75"/>
    <w:rsid w:val="004B5382"/>
    <w:rsid w:val="004B5CEB"/>
    <w:rsid w:val="004B691E"/>
    <w:rsid w:val="004C05E1"/>
    <w:rsid w:val="004C0EC1"/>
    <w:rsid w:val="004C1C77"/>
    <w:rsid w:val="004C1F29"/>
    <w:rsid w:val="004C2CDF"/>
    <w:rsid w:val="004C553A"/>
    <w:rsid w:val="004C5C4B"/>
    <w:rsid w:val="004C6206"/>
    <w:rsid w:val="004C6AB7"/>
    <w:rsid w:val="004C76DC"/>
    <w:rsid w:val="004C7DAF"/>
    <w:rsid w:val="004D0951"/>
    <w:rsid w:val="004D0E1F"/>
    <w:rsid w:val="004D10D6"/>
    <w:rsid w:val="004D1B51"/>
    <w:rsid w:val="004D1EE0"/>
    <w:rsid w:val="004D2063"/>
    <w:rsid w:val="004D2748"/>
    <w:rsid w:val="004D3394"/>
    <w:rsid w:val="004D36F7"/>
    <w:rsid w:val="004D3794"/>
    <w:rsid w:val="004D3AEE"/>
    <w:rsid w:val="004D3BC2"/>
    <w:rsid w:val="004D3FAA"/>
    <w:rsid w:val="004D5B32"/>
    <w:rsid w:val="004D6448"/>
    <w:rsid w:val="004D6CAB"/>
    <w:rsid w:val="004D7122"/>
    <w:rsid w:val="004D720E"/>
    <w:rsid w:val="004D7EF3"/>
    <w:rsid w:val="004E020D"/>
    <w:rsid w:val="004E02F1"/>
    <w:rsid w:val="004E0427"/>
    <w:rsid w:val="004E085C"/>
    <w:rsid w:val="004E12DF"/>
    <w:rsid w:val="004E2220"/>
    <w:rsid w:val="004E274A"/>
    <w:rsid w:val="004E34EF"/>
    <w:rsid w:val="004E395C"/>
    <w:rsid w:val="004E5856"/>
    <w:rsid w:val="004E5D14"/>
    <w:rsid w:val="004E605E"/>
    <w:rsid w:val="004E623C"/>
    <w:rsid w:val="004E6E1C"/>
    <w:rsid w:val="004E6F9C"/>
    <w:rsid w:val="004F0072"/>
    <w:rsid w:val="004F02D9"/>
    <w:rsid w:val="004F0599"/>
    <w:rsid w:val="004F0A8D"/>
    <w:rsid w:val="004F1380"/>
    <w:rsid w:val="004F1C43"/>
    <w:rsid w:val="004F1FD0"/>
    <w:rsid w:val="004F251C"/>
    <w:rsid w:val="004F2D58"/>
    <w:rsid w:val="004F2EF7"/>
    <w:rsid w:val="004F34AD"/>
    <w:rsid w:val="004F48F2"/>
    <w:rsid w:val="004F494F"/>
    <w:rsid w:val="004F501D"/>
    <w:rsid w:val="004F52E7"/>
    <w:rsid w:val="004F6728"/>
    <w:rsid w:val="004F6811"/>
    <w:rsid w:val="004F6B52"/>
    <w:rsid w:val="004F7BD0"/>
    <w:rsid w:val="00500823"/>
    <w:rsid w:val="00501029"/>
    <w:rsid w:val="0050159F"/>
    <w:rsid w:val="0050293A"/>
    <w:rsid w:val="005035FE"/>
    <w:rsid w:val="005044F0"/>
    <w:rsid w:val="00504698"/>
    <w:rsid w:val="005046B2"/>
    <w:rsid w:val="00504C9F"/>
    <w:rsid w:val="00507DEF"/>
    <w:rsid w:val="00510B73"/>
    <w:rsid w:val="00511309"/>
    <w:rsid w:val="0051172F"/>
    <w:rsid w:val="00512234"/>
    <w:rsid w:val="005126D5"/>
    <w:rsid w:val="005133ED"/>
    <w:rsid w:val="005136F0"/>
    <w:rsid w:val="0051409B"/>
    <w:rsid w:val="005146D5"/>
    <w:rsid w:val="00514E88"/>
    <w:rsid w:val="005152AC"/>
    <w:rsid w:val="005158CC"/>
    <w:rsid w:val="005159DC"/>
    <w:rsid w:val="00515A48"/>
    <w:rsid w:val="00515D04"/>
    <w:rsid w:val="00515D09"/>
    <w:rsid w:val="00516725"/>
    <w:rsid w:val="00517145"/>
    <w:rsid w:val="005179EC"/>
    <w:rsid w:val="00520392"/>
    <w:rsid w:val="005204C4"/>
    <w:rsid w:val="005205F6"/>
    <w:rsid w:val="0052117A"/>
    <w:rsid w:val="00521595"/>
    <w:rsid w:val="005222E3"/>
    <w:rsid w:val="005225B9"/>
    <w:rsid w:val="00522F27"/>
    <w:rsid w:val="00523CD1"/>
    <w:rsid w:val="00524110"/>
    <w:rsid w:val="005253E7"/>
    <w:rsid w:val="005259A2"/>
    <w:rsid w:val="00525BCE"/>
    <w:rsid w:val="00525F4B"/>
    <w:rsid w:val="0052640F"/>
    <w:rsid w:val="0053058A"/>
    <w:rsid w:val="00530948"/>
    <w:rsid w:val="005310E5"/>
    <w:rsid w:val="005318A5"/>
    <w:rsid w:val="00531B1E"/>
    <w:rsid w:val="00532A98"/>
    <w:rsid w:val="00533026"/>
    <w:rsid w:val="00533ECB"/>
    <w:rsid w:val="00535539"/>
    <w:rsid w:val="00535E4A"/>
    <w:rsid w:val="0053692E"/>
    <w:rsid w:val="00536F3B"/>
    <w:rsid w:val="00536F43"/>
    <w:rsid w:val="00537E11"/>
    <w:rsid w:val="00540E48"/>
    <w:rsid w:val="00540F86"/>
    <w:rsid w:val="00542424"/>
    <w:rsid w:val="00542F63"/>
    <w:rsid w:val="0054364A"/>
    <w:rsid w:val="00543B35"/>
    <w:rsid w:val="00543FF1"/>
    <w:rsid w:val="00546952"/>
    <w:rsid w:val="00546A53"/>
    <w:rsid w:val="0054757B"/>
    <w:rsid w:val="0055096E"/>
    <w:rsid w:val="00550C91"/>
    <w:rsid w:val="00552075"/>
    <w:rsid w:val="00552C82"/>
    <w:rsid w:val="00553486"/>
    <w:rsid w:val="005539B0"/>
    <w:rsid w:val="005546C8"/>
    <w:rsid w:val="00556957"/>
    <w:rsid w:val="00557CEE"/>
    <w:rsid w:val="00560AAC"/>
    <w:rsid w:val="00560E4F"/>
    <w:rsid w:val="005612AB"/>
    <w:rsid w:val="00562209"/>
    <w:rsid w:val="005622A7"/>
    <w:rsid w:val="00562DC9"/>
    <w:rsid w:val="00563CB8"/>
    <w:rsid w:val="0056431A"/>
    <w:rsid w:val="00564413"/>
    <w:rsid w:val="00565D97"/>
    <w:rsid w:val="00566958"/>
    <w:rsid w:val="00567A51"/>
    <w:rsid w:val="00567F58"/>
    <w:rsid w:val="005700DE"/>
    <w:rsid w:val="005700E8"/>
    <w:rsid w:val="00570C88"/>
    <w:rsid w:val="00570EBA"/>
    <w:rsid w:val="00571328"/>
    <w:rsid w:val="0057239B"/>
    <w:rsid w:val="0057251A"/>
    <w:rsid w:val="00574654"/>
    <w:rsid w:val="00574926"/>
    <w:rsid w:val="0057562B"/>
    <w:rsid w:val="00575642"/>
    <w:rsid w:val="005758FD"/>
    <w:rsid w:val="00576038"/>
    <w:rsid w:val="00576518"/>
    <w:rsid w:val="00576E2D"/>
    <w:rsid w:val="00576F2C"/>
    <w:rsid w:val="00580821"/>
    <w:rsid w:val="005808C7"/>
    <w:rsid w:val="00581AC0"/>
    <w:rsid w:val="00582409"/>
    <w:rsid w:val="00582819"/>
    <w:rsid w:val="00582B49"/>
    <w:rsid w:val="00583CC7"/>
    <w:rsid w:val="00584985"/>
    <w:rsid w:val="00584DEB"/>
    <w:rsid w:val="0058608E"/>
    <w:rsid w:val="005908D4"/>
    <w:rsid w:val="00591127"/>
    <w:rsid w:val="005919E5"/>
    <w:rsid w:val="00591D98"/>
    <w:rsid w:val="00592762"/>
    <w:rsid w:val="005930D6"/>
    <w:rsid w:val="005931CA"/>
    <w:rsid w:val="00593AED"/>
    <w:rsid w:val="00594196"/>
    <w:rsid w:val="0059471B"/>
    <w:rsid w:val="00594948"/>
    <w:rsid w:val="00595738"/>
    <w:rsid w:val="00595E91"/>
    <w:rsid w:val="00597AA9"/>
    <w:rsid w:val="005A103B"/>
    <w:rsid w:val="005A1210"/>
    <w:rsid w:val="005A1C34"/>
    <w:rsid w:val="005A1C82"/>
    <w:rsid w:val="005A365C"/>
    <w:rsid w:val="005A3EB6"/>
    <w:rsid w:val="005A43D4"/>
    <w:rsid w:val="005A503C"/>
    <w:rsid w:val="005A6126"/>
    <w:rsid w:val="005A787E"/>
    <w:rsid w:val="005B1077"/>
    <w:rsid w:val="005B1B2F"/>
    <w:rsid w:val="005B2758"/>
    <w:rsid w:val="005B2789"/>
    <w:rsid w:val="005B3620"/>
    <w:rsid w:val="005B37AD"/>
    <w:rsid w:val="005B402E"/>
    <w:rsid w:val="005B46E5"/>
    <w:rsid w:val="005B57B7"/>
    <w:rsid w:val="005B6067"/>
    <w:rsid w:val="005B60DA"/>
    <w:rsid w:val="005B6280"/>
    <w:rsid w:val="005B675E"/>
    <w:rsid w:val="005B6E26"/>
    <w:rsid w:val="005B712C"/>
    <w:rsid w:val="005C0AC9"/>
    <w:rsid w:val="005C285D"/>
    <w:rsid w:val="005C2F51"/>
    <w:rsid w:val="005C502E"/>
    <w:rsid w:val="005C5515"/>
    <w:rsid w:val="005C5B1A"/>
    <w:rsid w:val="005C5D72"/>
    <w:rsid w:val="005C606B"/>
    <w:rsid w:val="005C60AF"/>
    <w:rsid w:val="005C6307"/>
    <w:rsid w:val="005C7032"/>
    <w:rsid w:val="005C790F"/>
    <w:rsid w:val="005C7CA0"/>
    <w:rsid w:val="005D048E"/>
    <w:rsid w:val="005D061B"/>
    <w:rsid w:val="005D088D"/>
    <w:rsid w:val="005D092A"/>
    <w:rsid w:val="005D0B44"/>
    <w:rsid w:val="005D1920"/>
    <w:rsid w:val="005D2EAE"/>
    <w:rsid w:val="005D329C"/>
    <w:rsid w:val="005D3DDF"/>
    <w:rsid w:val="005D4AFE"/>
    <w:rsid w:val="005D4C96"/>
    <w:rsid w:val="005D4E03"/>
    <w:rsid w:val="005D503E"/>
    <w:rsid w:val="005D537D"/>
    <w:rsid w:val="005D5FB7"/>
    <w:rsid w:val="005D6004"/>
    <w:rsid w:val="005D6932"/>
    <w:rsid w:val="005D7858"/>
    <w:rsid w:val="005E030F"/>
    <w:rsid w:val="005E03D4"/>
    <w:rsid w:val="005E1AD8"/>
    <w:rsid w:val="005E24C0"/>
    <w:rsid w:val="005E28A8"/>
    <w:rsid w:val="005E2AB6"/>
    <w:rsid w:val="005E2E89"/>
    <w:rsid w:val="005E4AAA"/>
    <w:rsid w:val="005E54C0"/>
    <w:rsid w:val="005E62B9"/>
    <w:rsid w:val="005E67F2"/>
    <w:rsid w:val="005E6B91"/>
    <w:rsid w:val="005E738A"/>
    <w:rsid w:val="005E76DE"/>
    <w:rsid w:val="005E7848"/>
    <w:rsid w:val="005F024C"/>
    <w:rsid w:val="005F0619"/>
    <w:rsid w:val="005F0A4D"/>
    <w:rsid w:val="005F1BCB"/>
    <w:rsid w:val="005F1F31"/>
    <w:rsid w:val="005F2715"/>
    <w:rsid w:val="005F2A1B"/>
    <w:rsid w:val="005F2D64"/>
    <w:rsid w:val="005F35CD"/>
    <w:rsid w:val="005F4420"/>
    <w:rsid w:val="005F62C4"/>
    <w:rsid w:val="005F7240"/>
    <w:rsid w:val="005F7555"/>
    <w:rsid w:val="006000B5"/>
    <w:rsid w:val="00600AAA"/>
    <w:rsid w:val="006010B3"/>
    <w:rsid w:val="006018C7"/>
    <w:rsid w:val="00602F33"/>
    <w:rsid w:val="00603A0A"/>
    <w:rsid w:val="00603B7F"/>
    <w:rsid w:val="0060409F"/>
    <w:rsid w:val="00604FA3"/>
    <w:rsid w:val="0060514F"/>
    <w:rsid w:val="006051F1"/>
    <w:rsid w:val="00605444"/>
    <w:rsid w:val="00605529"/>
    <w:rsid w:val="00606760"/>
    <w:rsid w:val="00606FB4"/>
    <w:rsid w:val="00607160"/>
    <w:rsid w:val="0060753F"/>
    <w:rsid w:val="00607574"/>
    <w:rsid w:val="00610592"/>
    <w:rsid w:val="00610F13"/>
    <w:rsid w:val="00611DB1"/>
    <w:rsid w:val="00612ADB"/>
    <w:rsid w:val="00612EFB"/>
    <w:rsid w:val="0061314C"/>
    <w:rsid w:val="00615D32"/>
    <w:rsid w:val="00617CAC"/>
    <w:rsid w:val="00620DE1"/>
    <w:rsid w:val="00620FA3"/>
    <w:rsid w:val="00621938"/>
    <w:rsid w:val="0062196F"/>
    <w:rsid w:val="00621E69"/>
    <w:rsid w:val="0062235C"/>
    <w:rsid w:val="006223BC"/>
    <w:rsid w:val="006224A5"/>
    <w:rsid w:val="0062282C"/>
    <w:rsid w:val="0062285F"/>
    <w:rsid w:val="00623077"/>
    <w:rsid w:val="00624C31"/>
    <w:rsid w:val="00624EFB"/>
    <w:rsid w:val="00625D2A"/>
    <w:rsid w:val="006265E2"/>
    <w:rsid w:val="0062692C"/>
    <w:rsid w:val="006270DB"/>
    <w:rsid w:val="00627896"/>
    <w:rsid w:val="006303C3"/>
    <w:rsid w:val="0063120A"/>
    <w:rsid w:val="00631BEA"/>
    <w:rsid w:val="00633278"/>
    <w:rsid w:val="006338D7"/>
    <w:rsid w:val="00633DD5"/>
    <w:rsid w:val="00633F92"/>
    <w:rsid w:val="00633FC5"/>
    <w:rsid w:val="0063414C"/>
    <w:rsid w:val="00634FB6"/>
    <w:rsid w:val="0063515C"/>
    <w:rsid w:val="006358EB"/>
    <w:rsid w:val="00635FDE"/>
    <w:rsid w:val="0063644B"/>
    <w:rsid w:val="006375A3"/>
    <w:rsid w:val="006400AE"/>
    <w:rsid w:val="00640199"/>
    <w:rsid w:val="006411C5"/>
    <w:rsid w:val="00641D9D"/>
    <w:rsid w:val="006434D6"/>
    <w:rsid w:val="006437DD"/>
    <w:rsid w:val="00643D2D"/>
    <w:rsid w:val="006447B7"/>
    <w:rsid w:val="00644A32"/>
    <w:rsid w:val="00644C2C"/>
    <w:rsid w:val="00645630"/>
    <w:rsid w:val="00645A39"/>
    <w:rsid w:val="00645CD1"/>
    <w:rsid w:val="00646487"/>
    <w:rsid w:val="00646615"/>
    <w:rsid w:val="006468E2"/>
    <w:rsid w:val="00646AC3"/>
    <w:rsid w:val="00647DC7"/>
    <w:rsid w:val="0065042B"/>
    <w:rsid w:val="0065131E"/>
    <w:rsid w:val="006513EE"/>
    <w:rsid w:val="00651591"/>
    <w:rsid w:val="00652125"/>
    <w:rsid w:val="00653024"/>
    <w:rsid w:val="006535D8"/>
    <w:rsid w:val="00653857"/>
    <w:rsid w:val="00654727"/>
    <w:rsid w:val="006554E4"/>
    <w:rsid w:val="00655DFE"/>
    <w:rsid w:val="006563AD"/>
    <w:rsid w:val="006574F8"/>
    <w:rsid w:val="00660394"/>
    <w:rsid w:val="00661664"/>
    <w:rsid w:val="00661A4F"/>
    <w:rsid w:val="00661DC2"/>
    <w:rsid w:val="00661DE8"/>
    <w:rsid w:val="00662D97"/>
    <w:rsid w:val="00663F5E"/>
    <w:rsid w:val="00666033"/>
    <w:rsid w:val="006660A6"/>
    <w:rsid w:val="0066639F"/>
    <w:rsid w:val="006667CF"/>
    <w:rsid w:val="00667019"/>
    <w:rsid w:val="0067040F"/>
    <w:rsid w:val="00670903"/>
    <w:rsid w:val="00671651"/>
    <w:rsid w:val="00671CDB"/>
    <w:rsid w:val="00672AFF"/>
    <w:rsid w:val="00672C1C"/>
    <w:rsid w:val="00673518"/>
    <w:rsid w:val="006750B0"/>
    <w:rsid w:val="00676489"/>
    <w:rsid w:val="006764F3"/>
    <w:rsid w:val="006777BD"/>
    <w:rsid w:val="00677849"/>
    <w:rsid w:val="00677C00"/>
    <w:rsid w:val="00680499"/>
    <w:rsid w:val="00680585"/>
    <w:rsid w:val="0068082A"/>
    <w:rsid w:val="006814C6"/>
    <w:rsid w:val="00681517"/>
    <w:rsid w:val="006826A3"/>
    <w:rsid w:val="006826C1"/>
    <w:rsid w:val="006841A7"/>
    <w:rsid w:val="00685CB5"/>
    <w:rsid w:val="0068611C"/>
    <w:rsid w:val="006867D0"/>
    <w:rsid w:val="00686DF7"/>
    <w:rsid w:val="00687FE0"/>
    <w:rsid w:val="00690CB4"/>
    <w:rsid w:val="006910DB"/>
    <w:rsid w:val="00691133"/>
    <w:rsid w:val="006916FD"/>
    <w:rsid w:val="0069299D"/>
    <w:rsid w:val="00694146"/>
    <w:rsid w:val="00694956"/>
    <w:rsid w:val="006956BA"/>
    <w:rsid w:val="0069593A"/>
    <w:rsid w:val="00695963"/>
    <w:rsid w:val="00695D9E"/>
    <w:rsid w:val="00696045"/>
    <w:rsid w:val="006962B3"/>
    <w:rsid w:val="0069714B"/>
    <w:rsid w:val="006A0154"/>
    <w:rsid w:val="006A1E55"/>
    <w:rsid w:val="006A3AC3"/>
    <w:rsid w:val="006A47F0"/>
    <w:rsid w:val="006A4DD9"/>
    <w:rsid w:val="006A5525"/>
    <w:rsid w:val="006A5C88"/>
    <w:rsid w:val="006A6984"/>
    <w:rsid w:val="006A713C"/>
    <w:rsid w:val="006A7B99"/>
    <w:rsid w:val="006B22F8"/>
    <w:rsid w:val="006B2956"/>
    <w:rsid w:val="006B29D1"/>
    <w:rsid w:val="006B33F1"/>
    <w:rsid w:val="006B4182"/>
    <w:rsid w:val="006B439F"/>
    <w:rsid w:val="006B46CE"/>
    <w:rsid w:val="006B46DA"/>
    <w:rsid w:val="006B4B32"/>
    <w:rsid w:val="006B4CA1"/>
    <w:rsid w:val="006B4EFA"/>
    <w:rsid w:val="006B582B"/>
    <w:rsid w:val="006B6336"/>
    <w:rsid w:val="006B6DDF"/>
    <w:rsid w:val="006B7A96"/>
    <w:rsid w:val="006C0E99"/>
    <w:rsid w:val="006C0EE0"/>
    <w:rsid w:val="006C1AA1"/>
    <w:rsid w:val="006C1C97"/>
    <w:rsid w:val="006C1FA4"/>
    <w:rsid w:val="006C4178"/>
    <w:rsid w:val="006C4DD8"/>
    <w:rsid w:val="006C4F76"/>
    <w:rsid w:val="006C5221"/>
    <w:rsid w:val="006C52AF"/>
    <w:rsid w:val="006C6932"/>
    <w:rsid w:val="006C734D"/>
    <w:rsid w:val="006C7B25"/>
    <w:rsid w:val="006C7DA3"/>
    <w:rsid w:val="006C7F00"/>
    <w:rsid w:val="006C7F54"/>
    <w:rsid w:val="006D00C2"/>
    <w:rsid w:val="006D1E57"/>
    <w:rsid w:val="006D2728"/>
    <w:rsid w:val="006D2811"/>
    <w:rsid w:val="006D2A63"/>
    <w:rsid w:val="006D3468"/>
    <w:rsid w:val="006D34D5"/>
    <w:rsid w:val="006D36BC"/>
    <w:rsid w:val="006D3B6D"/>
    <w:rsid w:val="006D3C62"/>
    <w:rsid w:val="006D4073"/>
    <w:rsid w:val="006D4332"/>
    <w:rsid w:val="006D5036"/>
    <w:rsid w:val="006D59EA"/>
    <w:rsid w:val="006D794F"/>
    <w:rsid w:val="006E072E"/>
    <w:rsid w:val="006E1541"/>
    <w:rsid w:val="006E1FA4"/>
    <w:rsid w:val="006E369E"/>
    <w:rsid w:val="006E3831"/>
    <w:rsid w:val="006E464E"/>
    <w:rsid w:val="006E51A7"/>
    <w:rsid w:val="006E5280"/>
    <w:rsid w:val="006E6068"/>
    <w:rsid w:val="006E6152"/>
    <w:rsid w:val="006E641E"/>
    <w:rsid w:val="006E7310"/>
    <w:rsid w:val="006E77F6"/>
    <w:rsid w:val="006E7D5A"/>
    <w:rsid w:val="006F03B6"/>
    <w:rsid w:val="006F03BA"/>
    <w:rsid w:val="006F0FC2"/>
    <w:rsid w:val="006F10CA"/>
    <w:rsid w:val="006F1C51"/>
    <w:rsid w:val="006F1D57"/>
    <w:rsid w:val="006F224E"/>
    <w:rsid w:val="006F240A"/>
    <w:rsid w:val="006F28C4"/>
    <w:rsid w:val="006F2D6A"/>
    <w:rsid w:val="006F307D"/>
    <w:rsid w:val="006F30F1"/>
    <w:rsid w:val="006F3248"/>
    <w:rsid w:val="006F550B"/>
    <w:rsid w:val="006F64A8"/>
    <w:rsid w:val="006F6C5A"/>
    <w:rsid w:val="006F7121"/>
    <w:rsid w:val="00700F10"/>
    <w:rsid w:val="007022A0"/>
    <w:rsid w:val="0070376C"/>
    <w:rsid w:val="007037FF"/>
    <w:rsid w:val="00704706"/>
    <w:rsid w:val="007064F8"/>
    <w:rsid w:val="0070655A"/>
    <w:rsid w:val="00707210"/>
    <w:rsid w:val="00707A2F"/>
    <w:rsid w:val="00707CA5"/>
    <w:rsid w:val="0071071D"/>
    <w:rsid w:val="007107AA"/>
    <w:rsid w:val="007110C7"/>
    <w:rsid w:val="007114A1"/>
    <w:rsid w:val="00711B0A"/>
    <w:rsid w:val="007120E0"/>
    <w:rsid w:val="007124E5"/>
    <w:rsid w:val="0071305E"/>
    <w:rsid w:val="007131C1"/>
    <w:rsid w:val="00713510"/>
    <w:rsid w:val="00713E2B"/>
    <w:rsid w:val="0071440A"/>
    <w:rsid w:val="007148D9"/>
    <w:rsid w:val="00714F3A"/>
    <w:rsid w:val="007150C1"/>
    <w:rsid w:val="007150CE"/>
    <w:rsid w:val="0071676A"/>
    <w:rsid w:val="00716775"/>
    <w:rsid w:val="00717457"/>
    <w:rsid w:val="00717817"/>
    <w:rsid w:val="007201F2"/>
    <w:rsid w:val="007205F2"/>
    <w:rsid w:val="00720B2F"/>
    <w:rsid w:val="00720D7B"/>
    <w:rsid w:val="007213C1"/>
    <w:rsid w:val="00721499"/>
    <w:rsid w:val="00722B94"/>
    <w:rsid w:val="00723230"/>
    <w:rsid w:val="00723384"/>
    <w:rsid w:val="007234D1"/>
    <w:rsid w:val="00723EE3"/>
    <w:rsid w:val="00725923"/>
    <w:rsid w:val="007262B1"/>
    <w:rsid w:val="0072711F"/>
    <w:rsid w:val="00727911"/>
    <w:rsid w:val="0073037B"/>
    <w:rsid w:val="00730C10"/>
    <w:rsid w:val="00730D95"/>
    <w:rsid w:val="00732311"/>
    <w:rsid w:val="007326BC"/>
    <w:rsid w:val="0073274B"/>
    <w:rsid w:val="00733DE4"/>
    <w:rsid w:val="0073505E"/>
    <w:rsid w:val="007355D8"/>
    <w:rsid w:val="007379A3"/>
    <w:rsid w:val="00737C39"/>
    <w:rsid w:val="00737F7D"/>
    <w:rsid w:val="007411C0"/>
    <w:rsid w:val="00741243"/>
    <w:rsid w:val="00741410"/>
    <w:rsid w:val="007419F4"/>
    <w:rsid w:val="0074288E"/>
    <w:rsid w:val="007436AB"/>
    <w:rsid w:val="00744A3B"/>
    <w:rsid w:val="00745787"/>
    <w:rsid w:val="00745F0A"/>
    <w:rsid w:val="00746126"/>
    <w:rsid w:val="007462AB"/>
    <w:rsid w:val="007464A9"/>
    <w:rsid w:val="00746AD3"/>
    <w:rsid w:val="00747953"/>
    <w:rsid w:val="00747B97"/>
    <w:rsid w:val="007502E6"/>
    <w:rsid w:val="007505E2"/>
    <w:rsid w:val="00750F0B"/>
    <w:rsid w:val="00751CD0"/>
    <w:rsid w:val="00752472"/>
    <w:rsid w:val="007527DF"/>
    <w:rsid w:val="0075305A"/>
    <w:rsid w:val="0075349A"/>
    <w:rsid w:val="0075445A"/>
    <w:rsid w:val="00755889"/>
    <w:rsid w:val="0075600A"/>
    <w:rsid w:val="00756561"/>
    <w:rsid w:val="0075738E"/>
    <w:rsid w:val="00757766"/>
    <w:rsid w:val="00760122"/>
    <w:rsid w:val="007602CC"/>
    <w:rsid w:val="0076149F"/>
    <w:rsid w:val="00761622"/>
    <w:rsid w:val="007625A8"/>
    <w:rsid w:val="00762B1B"/>
    <w:rsid w:val="00762EE1"/>
    <w:rsid w:val="00763A9F"/>
    <w:rsid w:val="007646A8"/>
    <w:rsid w:val="00764B1E"/>
    <w:rsid w:val="00764CF5"/>
    <w:rsid w:val="007661D9"/>
    <w:rsid w:val="00766EC1"/>
    <w:rsid w:val="007703ED"/>
    <w:rsid w:val="007706C4"/>
    <w:rsid w:val="007709C4"/>
    <w:rsid w:val="007718B5"/>
    <w:rsid w:val="00771FF6"/>
    <w:rsid w:val="00773E64"/>
    <w:rsid w:val="00774C5A"/>
    <w:rsid w:val="00775FFD"/>
    <w:rsid w:val="007760CE"/>
    <w:rsid w:val="00776D30"/>
    <w:rsid w:val="00776E95"/>
    <w:rsid w:val="0077730F"/>
    <w:rsid w:val="007776C3"/>
    <w:rsid w:val="007800FC"/>
    <w:rsid w:val="00781391"/>
    <w:rsid w:val="0078154E"/>
    <w:rsid w:val="007815E2"/>
    <w:rsid w:val="0078177F"/>
    <w:rsid w:val="00781D42"/>
    <w:rsid w:val="007827FA"/>
    <w:rsid w:val="007828A5"/>
    <w:rsid w:val="00782DC7"/>
    <w:rsid w:val="00783308"/>
    <w:rsid w:val="0078556F"/>
    <w:rsid w:val="0078602E"/>
    <w:rsid w:val="0078602F"/>
    <w:rsid w:val="007863E3"/>
    <w:rsid w:val="00790062"/>
    <w:rsid w:val="00790553"/>
    <w:rsid w:val="007905CD"/>
    <w:rsid w:val="00790C4F"/>
    <w:rsid w:val="00790D18"/>
    <w:rsid w:val="0079151C"/>
    <w:rsid w:val="00791601"/>
    <w:rsid w:val="007926F9"/>
    <w:rsid w:val="00793290"/>
    <w:rsid w:val="007936FA"/>
    <w:rsid w:val="0079421F"/>
    <w:rsid w:val="007945EA"/>
    <w:rsid w:val="007948B6"/>
    <w:rsid w:val="00794A9A"/>
    <w:rsid w:val="00794DBA"/>
    <w:rsid w:val="00795D58"/>
    <w:rsid w:val="007966F2"/>
    <w:rsid w:val="00796FC4"/>
    <w:rsid w:val="00797569"/>
    <w:rsid w:val="00797715"/>
    <w:rsid w:val="007A0A27"/>
    <w:rsid w:val="007A0D2E"/>
    <w:rsid w:val="007A0F2D"/>
    <w:rsid w:val="007A11B3"/>
    <w:rsid w:val="007A183D"/>
    <w:rsid w:val="007A1C6E"/>
    <w:rsid w:val="007A1F6F"/>
    <w:rsid w:val="007A24B6"/>
    <w:rsid w:val="007A3975"/>
    <w:rsid w:val="007A3E99"/>
    <w:rsid w:val="007A4E26"/>
    <w:rsid w:val="007A5686"/>
    <w:rsid w:val="007A7ED1"/>
    <w:rsid w:val="007B0DE7"/>
    <w:rsid w:val="007B13E1"/>
    <w:rsid w:val="007B153B"/>
    <w:rsid w:val="007B1941"/>
    <w:rsid w:val="007B1C52"/>
    <w:rsid w:val="007B24DE"/>
    <w:rsid w:val="007B2923"/>
    <w:rsid w:val="007B3837"/>
    <w:rsid w:val="007B3B10"/>
    <w:rsid w:val="007B5A25"/>
    <w:rsid w:val="007B5A30"/>
    <w:rsid w:val="007B63A0"/>
    <w:rsid w:val="007B662C"/>
    <w:rsid w:val="007B7A09"/>
    <w:rsid w:val="007B7BCA"/>
    <w:rsid w:val="007C0BB0"/>
    <w:rsid w:val="007C0D21"/>
    <w:rsid w:val="007C12D1"/>
    <w:rsid w:val="007C1B33"/>
    <w:rsid w:val="007C1C62"/>
    <w:rsid w:val="007C1CA7"/>
    <w:rsid w:val="007C1EAE"/>
    <w:rsid w:val="007C1EC3"/>
    <w:rsid w:val="007C3838"/>
    <w:rsid w:val="007C3889"/>
    <w:rsid w:val="007C3A6E"/>
    <w:rsid w:val="007C3B9D"/>
    <w:rsid w:val="007C3C8B"/>
    <w:rsid w:val="007C42BB"/>
    <w:rsid w:val="007C47AD"/>
    <w:rsid w:val="007C5081"/>
    <w:rsid w:val="007C68BE"/>
    <w:rsid w:val="007C7083"/>
    <w:rsid w:val="007D09F3"/>
    <w:rsid w:val="007D0C22"/>
    <w:rsid w:val="007D0C47"/>
    <w:rsid w:val="007D14D7"/>
    <w:rsid w:val="007D153C"/>
    <w:rsid w:val="007D1661"/>
    <w:rsid w:val="007D19A7"/>
    <w:rsid w:val="007D1D19"/>
    <w:rsid w:val="007D28FE"/>
    <w:rsid w:val="007D34B3"/>
    <w:rsid w:val="007D364C"/>
    <w:rsid w:val="007D3C89"/>
    <w:rsid w:val="007D3E06"/>
    <w:rsid w:val="007D42E0"/>
    <w:rsid w:val="007D5534"/>
    <w:rsid w:val="007D5CD1"/>
    <w:rsid w:val="007D64C6"/>
    <w:rsid w:val="007D6626"/>
    <w:rsid w:val="007D6E69"/>
    <w:rsid w:val="007D7288"/>
    <w:rsid w:val="007D7867"/>
    <w:rsid w:val="007E0078"/>
    <w:rsid w:val="007E010A"/>
    <w:rsid w:val="007E1479"/>
    <w:rsid w:val="007E259D"/>
    <w:rsid w:val="007E26B2"/>
    <w:rsid w:val="007E3007"/>
    <w:rsid w:val="007E4000"/>
    <w:rsid w:val="007E4394"/>
    <w:rsid w:val="007E4A1D"/>
    <w:rsid w:val="007E4A40"/>
    <w:rsid w:val="007E54AD"/>
    <w:rsid w:val="007E6393"/>
    <w:rsid w:val="007E71D7"/>
    <w:rsid w:val="007F08CC"/>
    <w:rsid w:val="007F13D5"/>
    <w:rsid w:val="007F140C"/>
    <w:rsid w:val="007F16D6"/>
    <w:rsid w:val="007F1C54"/>
    <w:rsid w:val="007F4464"/>
    <w:rsid w:val="007F45E6"/>
    <w:rsid w:val="007F4E28"/>
    <w:rsid w:val="007F5B4F"/>
    <w:rsid w:val="007F5CBB"/>
    <w:rsid w:val="007F5DD9"/>
    <w:rsid w:val="007F659B"/>
    <w:rsid w:val="007F663C"/>
    <w:rsid w:val="007F67C2"/>
    <w:rsid w:val="007F692C"/>
    <w:rsid w:val="007F69BD"/>
    <w:rsid w:val="007F6CC8"/>
    <w:rsid w:val="007F7005"/>
    <w:rsid w:val="007F730A"/>
    <w:rsid w:val="007F7DFA"/>
    <w:rsid w:val="00800544"/>
    <w:rsid w:val="00800609"/>
    <w:rsid w:val="00800FCF"/>
    <w:rsid w:val="0080121A"/>
    <w:rsid w:val="008016E5"/>
    <w:rsid w:val="008019F2"/>
    <w:rsid w:val="008026B1"/>
    <w:rsid w:val="008028B9"/>
    <w:rsid w:val="00802A23"/>
    <w:rsid w:val="00802A41"/>
    <w:rsid w:val="00803B43"/>
    <w:rsid w:val="00803F99"/>
    <w:rsid w:val="00804806"/>
    <w:rsid w:val="00804E82"/>
    <w:rsid w:val="008053F9"/>
    <w:rsid w:val="00805788"/>
    <w:rsid w:val="00805959"/>
    <w:rsid w:val="008108B4"/>
    <w:rsid w:val="00811844"/>
    <w:rsid w:val="00811FEC"/>
    <w:rsid w:val="008121B9"/>
    <w:rsid w:val="00812333"/>
    <w:rsid w:val="00812932"/>
    <w:rsid w:val="0081302C"/>
    <w:rsid w:val="008132CB"/>
    <w:rsid w:val="0081355D"/>
    <w:rsid w:val="00814D68"/>
    <w:rsid w:val="008155BC"/>
    <w:rsid w:val="00815635"/>
    <w:rsid w:val="00816632"/>
    <w:rsid w:val="00817044"/>
    <w:rsid w:val="0081769D"/>
    <w:rsid w:val="00817C49"/>
    <w:rsid w:val="00817D0B"/>
    <w:rsid w:val="00817F17"/>
    <w:rsid w:val="00821265"/>
    <w:rsid w:val="00821BB1"/>
    <w:rsid w:val="0082306C"/>
    <w:rsid w:val="00823D66"/>
    <w:rsid w:val="00823F69"/>
    <w:rsid w:val="00825642"/>
    <w:rsid w:val="0082579E"/>
    <w:rsid w:val="00830179"/>
    <w:rsid w:val="008301D7"/>
    <w:rsid w:val="0083073A"/>
    <w:rsid w:val="0083148D"/>
    <w:rsid w:val="008314EB"/>
    <w:rsid w:val="00831FFC"/>
    <w:rsid w:val="0083228B"/>
    <w:rsid w:val="008323F0"/>
    <w:rsid w:val="00832E58"/>
    <w:rsid w:val="008345FA"/>
    <w:rsid w:val="00835D37"/>
    <w:rsid w:val="008364DB"/>
    <w:rsid w:val="00836DC0"/>
    <w:rsid w:val="00837D92"/>
    <w:rsid w:val="0084225C"/>
    <w:rsid w:val="00842F38"/>
    <w:rsid w:val="00842F76"/>
    <w:rsid w:val="0084425C"/>
    <w:rsid w:val="00844387"/>
    <w:rsid w:val="00845430"/>
    <w:rsid w:val="008455C7"/>
    <w:rsid w:val="00846803"/>
    <w:rsid w:val="008469C2"/>
    <w:rsid w:val="008471D9"/>
    <w:rsid w:val="00847A98"/>
    <w:rsid w:val="00847DD7"/>
    <w:rsid w:val="00847EC2"/>
    <w:rsid w:val="00850125"/>
    <w:rsid w:val="0085089F"/>
    <w:rsid w:val="00850B5D"/>
    <w:rsid w:val="00851612"/>
    <w:rsid w:val="00851EE6"/>
    <w:rsid w:val="008527BD"/>
    <w:rsid w:val="00852D10"/>
    <w:rsid w:val="00852D75"/>
    <w:rsid w:val="0085320A"/>
    <w:rsid w:val="00853F1A"/>
    <w:rsid w:val="00854C54"/>
    <w:rsid w:val="0085549B"/>
    <w:rsid w:val="0085570C"/>
    <w:rsid w:val="00855AA4"/>
    <w:rsid w:val="00855D01"/>
    <w:rsid w:val="00855E7D"/>
    <w:rsid w:val="0085730A"/>
    <w:rsid w:val="0085753D"/>
    <w:rsid w:val="008575FD"/>
    <w:rsid w:val="0086010A"/>
    <w:rsid w:val="008607EA"/>
    <w:rsid w:val="00860C8E"/>
    <w:rsid w:val="008620AE"/>
    <w:rsid w:val="00862883"/>
    <w:rsid w:val="00863165"/>
    <w:rsid w:val="00863D5C"/>
    <w:rsid w:val="00864153"/>
    <w:rsid w:val="0086421E"/>
    <w:rsid w:val="00865BA1"/>
    <w:rsid w:val="00865BC3"/>
    <w:rsid w:val="00865CED"/>
    <w:rsid w:val="00866F3D"/>
    <w:rsid w:val="00866F7D"/>
    <w:rsid w:val="008676E3"/>
    <w:rsid w:val="00867987"/>
    <w:rsid w:val="0087318F"/>
    <w:rsid w:val="00873730"/>
    <w:rsid w:val="00873796"/>
    <w:rsid w:val="0087395A"/>
    <w:rsid w:val="008744E2"/>
    <w:rsid w:val="008761D0"/>
    <w:rsid w:val="00877856"/>
    <w:rsid w:val="00877A1B"/>
    <w:rsid w:val="00881210"/>
    <w:rsid w:val="00881D05"/>
    <w:rsid w:val="00881EB9"/>
    <w:rsid w:val="008829B4"/>
    <w:rsid w:val="008829DA"/>
    <w:rsid w:val="00883066"/>
    <w:rsid w:val="008830AE"/>
    <w:rsid w:val="00883318"/>
    <w:rsid w:val="008834BF"/>
    <w:rsid w:val="008843F1"/>
    <w:rsid w:val="008846D2"/>
    <w:rsid w:val="00885298"/>
    <w:rsid w:val="00886758"/>
    <w:rsid w:val="008873C5"/>
    <w:rsid w:val="00890019"/>
    <w:rsid w:val="00890B40"/>
    <w:rsid w:val="00890B6F"/>
    <w:rsid w:val="008928C5"/>
    <w:rsid w:val="00893C94"/>
    <w:rsid w:val="00893CBA"/>
    <w:rsid w:val="00893F7D"/>
    <w:rsid w:val="00894994"/>
    <w:rsid w:val="008960E4"/>
    <w:rsid w:val="00896485"/>
    <w:rsid w:val="008966DA"/>
    <w:rsid w:val="008967E4"/>
    <w:rsid w:val="008A1987"/>
    <w:rsid w:val="008A1A96"/>
    <w:rsid w:val="008A1EDD"/>
    <w:rsid w:val="008A25B6"/>
    <w:rsid w:val="008A2A2E"/>
    <w:rsid w:val="008A39CD"/>
    <w:rsid w:val="008A4028"/>
    <w:rsid w:val="008A45FC"/>
    <w:rsid w:val="008A4747"/>
    <w:rsid w:val="008A4A26"/>
    <w:rsid w:val="008A4DFB"/>
    <w:rsid w:val="008A5BD6"/>
    <w:rsid w:val="008A6366"/>
    <w:rsid w:val="008B0E66"/>
    <w:rsid w:val="008B1CBA"/>
    <w:rsid w:val="008B232A"/>
    <w:rsid w:val="008B379F"/>
    <w:rsid w:val="008B3CE3"/>
    <w:rsid w:val="008B6B03"/>
    <w:rsid w:val="008B7C38"/>
    <w:rsid w:val="008C1772"/>
    <w:rsid w:val="008C1F9B"/>
    <w:rsid w:val="008C1FED"/>
    <w:rsid w:val="008C29CB"/>
    <w:rsid w:val="008C2E68"/>
    <w:rsid w:val="008C52CB"/>
    <w:rsid w:val="008C5776"/>
    <w:rsid w:val="008C5A54"/>
    <w:rsid w:val="008C64B8"/>
    <w:rsid w:val="008C6983"/>
    <w:rsid w:val="008C6A30"/>
    <w:rsid w:val="008C6AA4"/>
    <w:rsid w:val="008D2063"/>
    <w:rsid w:val="008D28FC"/>
    <w:rsid w:val="008D2D6B"/>
    <w:rsid w:val="008D2F61"/>
    <w:rsid w:val="008D33C6"/>
    <w:rsid w:val="008D3BB2"/>
    <w:rsid w:val="008D3EF7"/>
    <w:rsid w:val="008D4A77"/>
    <w:rsid w:val="008D4ADA"/>
    <w:rsid w:val="008D534C"/>
    <w:rsid w:val="008D59A7"/>
    <w:rsid w:val="008D5D08"/>
    <w:rsid w:val="008D60E9"/>
    <w:rsid w:val="008D6125"/>
    <w:rsid w:val="008D67C2"/>
    <w:rsid w:val="008D6911"/>
    <w:rsid w:val="008D6C60"/>
    <w:rsid w:val="008D7E53"/>
    <w:rsid w:val="008E090B"/>
    <w:rsid w:val="008E0A3E"/>
    <w:rsid w:val="008E3327"/>
    <w:rsid w:val="008E3490"/>
    <w:rsid w:val="008E3876"/>
    <w:rsid w:val="008E3891"/>
    <w:rsid w:val="008E4195"/>
    <w:rsid w:val="008E58B8"/>
    <w:rsid w:val="008E607F"/>
    <w:rsid w:val="008E65AA"/>
    <w:rsid w:val="008E6B9A"/>
    <w:rsid w:val="008F063B"/>
    <w:rsid w:val="008F0647"/>
    <w:rsid w:val="008F0CC4"/>
    <w:rsid w:val="008F295B"/>
    <w:rsid w:val="008F2B8C"/>
    <w:rsid w:val="008F353B"/>
    <w:rsid w:val="008F3C38"/>
    <w:rsid w:val="008F4F97"/>
    <w:rsid w:val="008F52C1"/>
    <w:rsid w:val="008F5644"/>
    <w:rsid w:val="008F62CB"/>
    <w:rsid w:val="008F68FF"/>
    <w:rsid w:val="008F72FD"/>
    <w:rsid w:val="008F7CC8"/>
    <w:rsid w:val="00901A98"/>
    <w:rsid w:val="00901C8A"/>
    <w:rsid w:val="00902248"/>
    <w:rsid w:val="00902888"/>
    <w:rsid w:val="00902F34"/>
    <w:rsid w:val="00903E46"/>
    <w:rsid w:val="00903E50"/>
    <w:rsid w:val="00904CA4"/>
    <w:rsid w:val="00904CFE"/>
    <w:rsid w:val="00910074"/>
    <w:rsid w:val="00911311"/>
    <w:rsid w:val="00911AA3"/>
    <w:rsid w:val="0091271E"/>
    <w:rsid w:val="00912A62"/>
    <w:rsid w:val="009138B8"/>
    <w:rsid w:val="009138F3"/>
    <w:rsid w:val="00913F10"/>
    <w:rsid w:val="009140E9"/>
    <w:rsid w:val="009149F6"/>
    <w:rsid w:val="00914B2C"/>
    <w:rsid w:val="00914DFF"/>
    <w:rsid w:val="00915006"/>
    <w:rsid w:val="009150C0"/>
    <w:rsid w:val="00915BA3"/>
    <w:rsid w:val="00917459"/>
    <w:rsid w:val="0091747A"/>
    <w:rsid w:val="009174CC"/>
    <w:rsid w:val="009177CC"/>
    <w:rsid w:val="00917817"/>
    <w:rsid w:val="00920A02"/>
    <w:rsid w:val="00921263"/>
    <w:rsid w:val="00921773"/>
    <w:rsid w:val="0092221E"/>
    <w:rsid w:val="00923F8E"/>
    <w:rsid w:val="00924872"/>
    <w:rsid w:val="00925934"/>
    <w:rsid w:val="00925E2E"/>
    <w:rsid w:val="00926175"/>
    <w:rsid w:val="0092626F"/>
    <w:rsid w:val="0092634C"/>
    <w:rsid w:val="00926CF6"/>
    <w:rsid w:val="009271B7"/>
    <w:rsid w:val="00927FAA"/>
    <w:rsid w:val="009306EA"/>
    <w:rsid w:val="009314B9"/>
    <w:rsid w:val="00931A2C"/>
    <w:rsid w:val="009326DD"/>
    <w:rsid w:val="00933882"/>
    <w:rsid w:val="009338EA"/>
    <w:rsid w:val="00933C11"/>
    <w:rsid w:val="00934E25"/>
    <w:rsid w:val="009353B2"/>
    <w:rsid w:val="0093655A"/>
    <w:rsid w:val="009371D6"/>
    <w:rsid w:val="00937221"/>
    <w:rsid w:val="00940530"/>
    <w:rsid w:val="009406EA"/>
    <w:rsid w:val="009420FB"/>
    <w:rsid w:val="00942223"/>
    <w:rsid w:val="009423E1"/>
    <w:rsid w:val="00942E18"/>
    <w:rsid w:val="00942FD8"/>
    <w:rsid w:val="0094387F"/>
    <w:rsid w:val="00944740"/>
    <w:rsid w:val="0094474B"/>
    <w:rsid w:val="00945C5D"/>
    <w:rsid w:val="00946D81"/>
    <w:rsid w:val="00946F87"/>
    <w:rsid w:val="00947381"/>
    <w:rsid w:val="0095007C"/>
    <w:rsid w:val="009504FA"/>
    <w:rsid w:val="00950AC3"/>
    <w:rsid w:val="009519EE"/>
    <w:rsid w:val="00951BCB"/>
    <w:rsid w:val="0095209D"/>
    <w:rsid w:val="0095335B"/>
    <w:rsid w:val="0095352A"/>
    <w:rsid w:val="0095360E"/>
    <w:rsid w:val="00953801"/>
    <w:rsid w:val="00953A25"/>
    <w:rsid w:val="00954232"/>
    <w:rsid w:val="009560D7"/>
    <w:rsid w:val="00956562"/>
    <w:rsid w:val="00957785"/>
    <w:rsid w:val="009605CA"/>
    <w:rsid w:val="00960EF7"/>
    <w:rsid w:val="00962884"/>
    <w:rsid w:val="00964208"/>
    <w:rsid w:val="00964DBB"/>
    <w:rsid w:val="00965E2C"/>
    <w:rsid w:val="00970174"/>
    <w:rsid w:val="00970E0E"/>
    <w:rsid w:val="00970F0D"/>
    <w:rsid w:val="00971140"/>
    <w:rsid w:val="0097256A"/>
    <w:rsid w:val="009726BB"/>
    <w:rsid w:val="00972737"/>
    <w:rsid w:val="0097294C"/>
    <w:rsid w:val="009738D7"/>
    <w:rsid w:val="00973AA0"/>
    <w:rsid w:val="009741A6"/>
    <w:rsid w:val="00974ECF"/>
    <w:rsid w:val="009757ED"/>
    <w:rsid w:val="00975CC5"/>
    <w:rsid w:val="00975F18"/>
    <w:rsid w:val="009762AA"/>
    <w:rsid w:val="009762D2"/>
    <w:rsid w:val="00976F9A"/>
    <w:rsid w:val="009773F2"/>
    <w:rsid w:val="00977F34"/>
    <w:rsid w:val="00980108"/>
    <w:rsid w:val="00980AB1"/>
    <w:rsid w:val="00980CC9"/>
    <w:rsid w:val="00981950"/>
    <w:rsid w:val="00982A77"/>
    <w:rsid w:val="00983254"/>
    <w:rsid w:val="00984118"/>
    <w:rsid w:val="009841A9"/>
    <w:rsid w:val="009845D8"/>
    <w:rsid w:val="00984736"/>
    <w:rsid w:val="00984902"/>
    <w:rsid w:val="00985439"/>
    <w:rsid w:val="00985933"/>
    <w:rsid w:val="009901A1"/>
    <w:rsid w:val="0099064D"/>
    <w:rsid w:val="00990DE4"/>
    <w:rsid w:val="00991E60"/>
    <w:rsid w:val="00991EBD"/>
    <w:rsid w:val="009923FA"/>
    <w:rsid w:val="00992BCA"/>
    <w:rsid w:val="00992F7C"/>
    <w:rsid w:val="00993EB8"/>
    <w:rsid w:val="0099415B"/>
    <w:rsid w:val="009941EF"/>
    <w:rsid w:val="00994232"/>
    <w:rsid w:val="009943BC"/>
    <w:rsid w:val="00994409"/>
    <w:rsid w:val="0099491B"/>
    <w:rsid w:val="00994DDB"/>
    <w:rsid w:val="00995681"/>
    <w:rsid w:val="00997648"/>
    <w:rsid w:val="00997B00"/>
    <w:rsid w:val="00997D65"/>
    <w:rsid w:val="00997E83"/>
    <w:rsid w:val="009A01CC"/>
    <w:rsid w:val="009A0B0F"/>
    <w:rsid w:val="009A0F8F"/>
    <w:rsid w:val="009A22AA"/>
    <w:rsid w:val="009A5A3C"/>
    <w:rsid w:val="009A5AA7"/>
    <w:rsid w:val="009A5CC1"/>
    <w:rsid w:val="009A7155"/>
    <w:rsid w:val="009A7483"/>
    <w:rsid w:val="009B06A7"/>
    <w:rsid w:val="009B0812"/>
    <w:rsid w:val="009B09EE"/>
    <w:rsid w:val="009B0DDE"/>
    <w:rsid w:val="009B1228"/>
    <w:rsid w:val="009B2260"/>
    <w:rsid w:val="009B27FC"/>
    <w:rsid w:val="009B2B53"/>
    <w:rsid w:val="009B305C"/>
    <w:rsid w:val="009B466D"/>
    <w:rsid w:val="009B5046"/>
    <w:rsid w:val="009B6C53"/>
    <w:rsid w:val="009B7514"/>
    <w:rsid w:val="009B7604"/>
    <w:rsid w:val="009C07CE"/>
    <w:rsid w:val="009C17A9"/>
    <w:rsid w:val="009C1F5A"/>
    <w:rsid w:val="009C3394"/>
    <w:rsid w:val="009C3453"/>
    <w:rsid w:val="009C3B0D"/>
    <w:rsid w:val="009C3E43"/>
    <w:rsid w:val="009C45FA"/>
    <w:rsid w:val="009C4D2B"/>
    <w:rsid w:val="009C5D2D"/>
    <w:rsid w:val="009C5EF6"/>
    <w:rsid w:val="009C6444"/>
    <w:rsid w:val="009C6B82"/>
    <w:rsid w:val="009C74F0"/>
    <w:rsid w:val="009D18C7"/>
    <w:rsid w:val="009D1BB2"/>
    <w:rsid w:val="009D2993"/>
    <w:rsid w:val="009D2EF6"/>
    <w:rsid w:val="009D377B"/>
    <w:rsid w:val="009D4684"/>
    <w:rsid w:val="009D4FE9"/>
    <w:rsid w:val="009D5017"/>
    <w:rsid w:val="009D55A5"/>
    <w:rsid w:val="009D6523"/>
    <w:rsid w:val="009D66E8"/>
    <w:rsid w:val="009D66FE"/>
    <w:rsid w:val="009D73F7"/>
    <w:rsid w:val="009D7592"/>
    <w:rsid w:val="009E0041"/>
    <w:rsid w:val="009E0165"/>
    <w:rsid w:val="009E05D7"/>
    <w:rsid w:val="009E2548"/>
    <w:rsid w:val="009E28EA"/>
    <w:rsid w:val="009E3AA0"/>
    <w:rsid w:val="009E4351"/>
    <w:rsid w:val="009E448A"/>
    <w:rsid w:val="009E4953"/>
    <w:rsid w:val="009E5356"/>
    <w:rsid w:val="009E537E"/>
    <w:rsid w:val="009E5826"/>
    <w:rsid w:val="009E5B5A"/>
    <w:rsid w:val="009E6095"/>
    <w:rsid w:val="009E6275"/>
    <w:rsid w:val="009E6BD5"/>
    <w:rsid w:val="009E705D"/>
    <w:rsid w:val="009E72CE"/>
    <w:rsid w:val="009F081B"/>
    <w:rsid w:val="009F0C37"/>
    <w:rsid w:val="009F0FD7"/>
    <w:rsid w:val="009F28B8"/>
    <w:rsid w:val="009F2AFF"/>
    <w:rsid w:val="009F2F2F"/>
    <w:rsid w:val="009F3870"/>
    <w:rsid w:val="009F5195"/>
    <w:rsid w:val="009F51CD"/>
    <w:rsid w:val="009F5678"/>
    <w:rsid w:val="009F6006"/>
    <w:rsid w:val="009F6250"/>
    <w:rsid w:val="009F6251"/>
    <w:rsid w:val="009F7B8D"/>
    <w:rsid w:val="009F7ED9"/>
    <w:rsid w:val="00A0033B"/>
    <w:rsid w:val="00A00693"/>
    <w:rsid w:val="00A016CB"/>
    <w:rsid w:val="00A034BD"/>
    <w:rsid w:val="00A03932"/>
    <w:rsid w:val="00A039D7"/>
    <w:rsid w:val="00A03F22"/>
    <w:rsid w:val="00A04030"/>
    <w:rsid w:val="00A04E37"/>
    <w:rsid w:val="00A05591"/>
    <w:rsid w:val="00A05BE5"/>
    <w:rsid w:val="00A071C3"/>
    <w:rsid w:val="00A07CF9"/>
    <w:rsid w:val="00A07E54"/>
    <w:rsid w:val="00A1008A"/>
    <w:rsid w:val="00A104DE"/>
    <w:rsid w:val="00A12578"/>
    <w:rsid w:val="00A1261C"/>
    <w:rsid w:val="00A131D1"/>
    <w:rsid w:val="00A14436"/>
    <w:rsid w:val="00A1520B"/>
    <w:rsid w:val="00A15A58"/>
    <w:rsid w:val="00A160D1"/>
    <w:rsid w:val="00A168AA"/>
    <w:rsid w:val="00A2143C"/>
    <w:rsid w:val="00A22226"/>
    <w:rsid w:val="00A223D9"/>
    <w:rsid w:val="00A22920"/>
    <w:rsid w:val="00A22D83"/>
    <w:rsid w:val="00A22F33"/>
    <w:rsid w:val="00A23DA3"/>
    <w:rsid w:val="00A240E5"/>
    <w:rsid w:val="00A2619D"/>
    <w:rsid w:val="00A30A92"/>
    <w:rsid w:val="00A32003"/>
    <w:rsid w:val="00A3307A"/>
    <w:rsid w:val="00A33E43"/>
    <w:rsid w:val="00A341EB"/>
    <w:rsid w:val="00A349F2"/>
    <w:rsid w:val="00A350C2"/>
    <w:rsid w:val="00A3578A"/>
    <w:rsid w:val="00A36A2F"/>
    <w:rsid w:val="00A37381"/>
    <w:rsid w:val="00A37704"/>
    <w:rsid w:val="00A379A3"/>
    <w:rsid w:val="00A41303"/>
    <w:rsid w:val="00A42BCD"/>
    <w:rsid w:val="00A43E25"/>
    <w:rsid w:val="00A43FFD"/>
    <w:rsid w:val="00A440F7"/>
    <w:rsid w:val="00A46294"/>
    <w:rsid w:val="00A47B8C"/>
    <w:rsid w:val="00A50580"/>
    <w:rsid w:val="00A508FA"/>
    <w:rsid w:val="00A510DD"/>
    <w:rsid w:val="00A51C23"/>
    <w:rsid w:val="00A51D3C"/>
    <w:rsid w:val="00A531EA"/>
    <w:rsid w:val="00A5384A"/>
    <w:rsid w:val="00A5527B"/>
    <w:rsid w:val="00A55968"/>
    <w:rsid w:val="00A55BA9"/>
    <w:rsid w:val="00A563E0"/>
    <w:rsid w:val="00A56897"/>
    <w:rsid w:val="00A568D3"/>
    <w:rsid w:val="00A569D3"/>
    <w:rsid w:val="00A56C00"/>
    <w:rsid w:val="00A56E15"/>
    <w:rsid w:val="00A57391"/>
    <w:rsid w:val="00A57C35"/>
    <w:rsid w:val="00A6041E"/>
    <w:rsid w:val="00A60572"/>
    <w:rsid w:val="00A61037"/>
    <w:rsid w:val="00A613A9"/>
    <w:rsid w:val="00A617D9"/>
    <w:rsid w:val="00A61BF7"/>
    <w:rsid w:val="00A631BE"/>
    <w:rsid w:val="00A63ABF"/>
    <w:rsid w:val="00A6419C"/>
    <w:rsid w:val="00A6464C"/>
    <w:rsid w:val="00A6489D"/>
    <w:rsid w:val="00A65372"/>
    <w:rsid w:val="00A65BE6"/>
    <w:rsid w:val="00A672E8"/>
    <w:rsid w:val="00A67EC8"/>
    <w:rsid w:val="00A700AC"/>
    <w:rsid w:val="00A7097D"/>
    <w:rsid w:val="00A70BED"/>
    <w:rsid w:val="00A717D8"/>
    <w:rsid w:val="00A7236A"/>
    <w:rsid w:val="00A723E7"/>
    <w:rsid w:val="00A725C8"/>
    <w:rsid w:val="00A727AF"/>
    <w:rsid w:val="00A72BD1"/>
    <w:rsid w:val="00A72F41"/>
    <w:rsid w:val="00A73503"/>
    <w:rsid w:val="00A73B7B"/>
    <w:rsid w:val="00A7426D"/>
    <w:rsid w:val="00A74E21"/>
    <w:rsid w:val="00A77D69"/>
    <w:rsid w:val="00A8066C"/>
    <w:rsid w:val="00A815DC"/>
    <w:rsid w:val="00A81AA8"/>
    <w:rsid w:val="00A82CA7"/>
    <w:rsid w:val="00A83A3C"/>
    <w:rsid w:val="00A845AB"/>
    <w:rsid w:val="00A85A25"/>
    <w:rsid w:val="00A861CC"/>
    <w:rsid w:val="00A86AA5"/>
    <w:rsid w:val="00A86AC2"/>
    <w:rsid w:val="00A90F02"/>
    <w:rsid w:val="00A91B67"/>
    <w:rsid w:val="00A92E21"/>
    <w:rsid w:val="00A935E3"/>
    <w:rsid w:val="00A93901"/>
    <w:rsid w:val="00A94C5E"/>
    <w:rsid w:val="00A953BA"/>
    <w:rsid w:val="00A95BD7"/>
    <w:rsid w:val="00A96998"/>
    <w:rsid w:val="00A9797A"/>
    <w:rsid w:val="00A97C6A"/>
    <w:rsid w:val="00A97CCD"/>
    <w:rsid w:val="00A97E77"/>
    <w:rsid w:val="00AA1284"/>
    <w:rsid w:val="00AA1D8C"/>
    <w:rsid w:val="00AA3D42"/>
    <w:rsid w:val="00AA6386"/>
    <w:rsid w:val="00AA77BD"/>
    <w:rsid w:val="00AA7D65"/>
    <w:rsid w:val="00AA7F82"/>
    <w:rsid w:val="00AB0BEB"/>
    <w:rsid w:val="00AB0F64"/>
    <w:rsid w:val="00AB1B64"/>
    <w:rsid w:val="00AB2B60"/>
    <w:rsid w:val="00AB32EE"/>
    <w:rsid w:val="00AB3A4D"/>
    <w:rsid w:val="00AB3EDF"/>
    <w:rsid w:val="00AB42DD"/>
    <w:rsid w:val="00AB4586"/>
    <w:rsid w:val="00AB4BC0"/>
    <w:rsid w:val="00AB4E6D"/>
    <w:rsid w:val="00AB5421"/>
    <w:rsid w:val="00AB54E0"/>
    <w:rsid w:val="00AB6144"/>
    <w:rsid w:val="00AB62DF"/>
    <w:rsid w:val="00AB66AD"/>
    <w:rsid w:val="00AB7095"/>
    <w:rsid w:val="00AB757A"/>
    <w:rsid w:val="00AC072B"/>
    <w:rsid w:val="00AC07DD"/>
    <w:rsid w:val="00AC08CF"/>
    <w:rsid w:val="00AC0A00"/>
    <w:rsid w:val="00AC1557"/>
    <w:rsid w:val="00AC1615"/>
    <w:rsid w:val="00AC1756"/>
    <w:rsid w:val="00AC1E38"/>
    <w:rsid w:val="00AC2865"/>
    <w:rsid w:val="00AC3C18"/>
    <w:rsid w:val="00AC3F53"/>
    <w:rsid w:val="00AC405B"/>
    <w:rsid w:val="00AC47A5"/>
    <w:rsid w:val="00AC4B47"/>
    <w:rsid w:val="00AC4BA5"/>
    <w:rsid w:val="00AC51DF"/>
    <w:rsid w:val="00AC5610"/>
    <w:rsid w:val="00AC5A17"/>
    <w:rsid w:val="00AC6040"/>
    <w:rsid w:val="00AC64AB"/>
    <w:rsid w:val="00AC6525"/>
    <w:rsid w:val="00AC6B50"/>
    <w:rsid w:val="00AC71EF"/>
    <w:rsid w:val="00AC728C"/>
    <w:rsid w:val="00AD2C2D"/>
    <w:rsid w:val="00AD32B5"/>
    <w:rsid w:val="00AD400D"/>
    <w:rsid w:val="00AD4AA7"/>
    <w:rsid w:val="00AD5115"/>
    <w:rsid w:val="00AD6005"/>
    <w:rsid w:val="00AD6122"/>
    <w:rsid w:val="00AD6BAC"/>
    <w:rsid w:val="00AD7E8E"/>
    <w:rsid w:val="00AD7FA4"/>
    <w:rsid w:val="00AE01D4"/>
    <w:rsid w:val="00AE1189"/>
    <w:rsid w:val="00AE1615"/>
    <w:rsid w:val="00AE181E"/>
    <w:rsid w:val="00AE2574"/>
    <w:rsid w:val="00AE26F4"/>
    <w:rsid w:val="00AE278B"/>
    <w:rsid w:val="00AE3A04"/>
    <w:rsid w:val="00AE3B6A"/>
    <w:rsid w:val="00AE42D3"/>
    <w:rsid w:val="00AE4480"/>
    <w:rsid w:val="00AE4C8C"/>
    <w:rsid w:val="00AE4F3B"/>
    <w:rsid w:val="00AE56FB"/>
    <w:rsid w:val="00AE5A63"/>
    <w:rsid w:val="00AE63D4"/>
    <w:rsid w:val="00AE754D"/>
    <w:rsid w:val="00AF0336"/>
    <w:rsid w:val="00AF06A8"/>
    <w:rsid w:val="00AF0928"/>
    <w:rsid w:val="00AF0EA3"/>
    <w:rsid w:val="00AF3C05"/>
    <w:rsid w:val="00AF48B5"/>
    <w:rsid w:val="00AF5267"/>
    <w:rsid w:val="00AF5CB4"/>
    <w:rsid w:val="00AF6C13"/>
    <w:rsid w:val="00AF6E47"/>
    <w:rsid w:val="00B01B18"/>
    <w:rsid w:val="00B02161"/>
    <w:rsid w:val="00B02465"/>
    <w:rsid w:val="00B028F6"/>
    <w:rsid w:val="00B03EBF"/>
    <w:rsid w:val="00B045D7"/>
    <w:rsid w:val="00B05AAA"/>
    <w:rsid w:val="00B05E44"/>
    <w:rsid w:val="00B06355"/>
    <w:rsid w:val="00B0664C"/>
    <w:rsid w:val="00B0793C"/>
    <w:rsid w:val="00B07ADB"/>
    <w:rsid w:val="00B109C5"/>
    <w:rsid w:val="00B114F7"/>
    <w:rsid w:val="00B11E32"/>
    <w:rsid w:val="00B12069"/>
    <w:rsid w:val="00B1316C"/>
    <w:rsid w:val="00B1429D"/>
    <w:rsid w:val="00B16574"/>
    <w:rsid w:val="00B16998"/>
    <w:rsid w:val="00B16C5A"/>
    <w:rsid w:val="00B17384"/>
    <w:rsid w:val="00B174A5"/>
    <w:rsid w:val="00B17AE7"/>
    <w:rsid w:val="00B2006F"/>
    <w:rsid w:val="00B20212"/>
    <w:rsid w:val="00B2037C"/>
    <w:rsid w:val="00B21025"/>
    <w:rsid w:val="00B227FC"/>
    <w:rsid w:val="00B22A96"/>
    <w:rsid w:val="00B237A6"/>
    <w:rsid w:val="00B239E2"/>
    <w:rsid w:val="00B2429C"/>
    <w:rsid w:val="00B24377"/>
    <w:rsid w:val="00B24E8B"/>
    <w:rsid w:val="00B27070"/>
    <w:rsid w:val="00B27B75"/>
    <w:rsid w:val="00B30032"/>
    <w:rsid w:val="00B304B1"/>
    <w:rsid w:val="00B30744"/>
    <w:rsid w:val="00B31427"/>
    <w:rsid w:val="00B3188F"/>
    <w:rsid w:val="00B32196"/>
    <w:rsid w:val="00B32425"/>
    <w:rsid w:val="00B324AD"/>
    <w:rsid w:val="00B3388F"/>
    <w:rsid w:val="00B33DB4"/>
    <w:rsid w:val="00B35894"/>
    <w:rsid w:val="00B35FCD"/>
    <w:rsid w:val="00B36413"/>
    <w:rsid w:val="00B364F4"/>
    <w:rsid w:val="00B40559"/>
    <w:rsid w:val="00B41599"/>
    <w:rsid w:val="00B42F85"/>
    <w:rsid w:val="00B4341A"/>
    <w:rsid w:val="00B43814"/>
    <w:rsid w:val="00B44FAD"/>
    <w:rsid w:val="00B450EE"/>
    <w:rsid w:val="00B46F2D"/>
    <w:rsid w:val="00B5008E"/>
    <w:rsid w:val="00B50510"/>
    <w:rsid w:val="00B50C99"/>
    <w:rsid w:val="00B51BDD"/>
    <w:rsid w:val="00B51DB5"/>
    <w:rsid w:val="00B52FCE"/>
    <w:rsid w:val="00B53BE6"/>
    <w:rsid w:val="00B55103"/>
    <w:rsid w:val="00B5663B"/>
    <w:rsid w:val="00B56975"/>
    <w:rsid w:val="00B56CA2"/>
    <w:rsid w:val="00B570E4"/>
    <w:rsid w:val="00B57345"/>
    <w:rsid w:val="00B6030F"/>
    <w:rsid w:val="00B607D8"/>
    <w:rsid w:val="00B60DD0"/>
    <w:rsid w:val="00B60E6E"/>
    <w:rsid w:val="00B61438"/>
    <w:rsid w:val="00B62B5F"/>
    <w:rsid w:val="00B633D2"/>
    <w:rsid w:val="00B639CC"/>
    <w:rsid w:val="00B63B92"/>
    <w:rsid w:val="00B64077"/>
    <w:rsid w:val="00B64C2A"/>
    <w:rsid w:val="00B64CD6"/>
    <w:rsid w:val="00B64D9C"/>
    <w:rsid w:val="00B65CD5"/>
    <w:rsid w:val="00B6636C"/>
    <w:rsid w:val="00B66513"/>
    <w:rsid w:val="00B665A2"/>
    <w:rsid w:val="00B6770D"/>
    <w:rsid w:val="00B714D7"/>
    <w:rsid w:val="00B719D7"/>
    <w:rsid w:val="00B7299A"/>
    <w:rsid w:val="00B74213"/>
    <w:rsid w:val="00B74F2F"/>
    <w:rsid w:val="00B758BE"/>
    <w:rsid w:val="00B75968"/>
    <w:rsid w:val="00B75C71"/>
    <w:rsid w:val="00B80565"/>
    <w:rsid w:val="00B82232"/>
    <w:rsid w:val="00B82260"/>
    <w:rsid w:val="00B824A8"/>
    <w:rsid w:val="00B8285C"/>
    <w:rsid w:val="00B83930"/>
    <w:rsid w:val="00B83E49"/>
    <w:rsid w:val="00B84B18"/>
    <w:rsid w:val="00B85AA1"/>
    <w:rsid w:val="00B85C98"/>
    <w:rsid w:val="00B85E60"/>
    <w:rsid w:val="00B862AE"/>
    <w:rsid w:val="00B8641E"/>
    <w:rsid w:val="00B86813"/>
    <w:rsid w:val="00B903D7"/>
    <w:rsid w:val="00B90409"/>
    <w:rsid w:val="00B90739"/>
    <w:rsid w:val="00B911D8"/>
    <w:rsid w:val="00B9135E"/>
    <w:rsid w:val="00B914AF"/>
    <w:rsid w:val="00B91703"/>
    <w:rsid w:val="00B9194A"/>
    <w:rsid w:val="00B92657"/>
    <w:rsid w:val="00B92A5D"/>
    <w:rsid w:val="00B92F2D"/>
    <w:rsid w:val="00B92FA1"/>
    <w:rsid w:val="00B9311F"/>
    <w:rsid w:val="00B9325B"/>
    <w:rsid w:val="00B94156"/>
    <w:rsid w:val="00B941B0"/>
    <w:rsid w:val="00B94869"/>
    <w:rsid w:val="00B94C1C"/>
    <w:rsid w:val="00B959C0"/>
    <w:rsid w:val="00B966E7"/>
    <w:rsid w:val="00B97281"/>
    <w:rsid w:val="00B97531"/>
    <w:rsid w:val="00B9779D"/>
    <w:rsid w:val="00BA01A3"/>
    <w:rsid w:val="00BA1F97"/>
    <w:rsid w:val="00BA2D43"/>
    <w:rsid w:val="00BA2EA0"/>
    <w:rsid w:val="00BA55B8"/>
    <w:rsid w:val="00BA5E60"/>
    <w:rsid w:val="00BA6314"/>
    <w:rsid w:val="00BA6BAC"/>
    <w:rsid w:val="00BA7009"/>
    <w:rsid w:val="00BA70DD"/>
    <w:rsid w:val="00BA7C25"/>
    <w:rsid w:val="00BA7CDE"/>
    <w:rsid w:val="00BA7E89"/>
    <w:rsid w:val="00BB0119"/>
    <w:rsid w:val="00BB0647"/>
    <w:rsid w:val="00BB09E1"/>
    <w:rsid w:val="00BB0D01"/>
    <w:rsid w:val="00BB1B18"/>
    <w:rsid w:val="00BB1F8C"/>
    <w:rsid w:val="00BB2673"/>
    <w:rsid w:val="00BB29B2"/>
    <w:rsid w:val="00BB2B39"/>
    <w:rsid w:val="00BB2F32"/>
    <w:rsid w:val="00BB42F4"/>
    <w:rsid w:val="00BB4FF4"/>
    <w:rsid w:val="00BB5051"/>
    <w:rsid w:val="00BB6134"/>
    <w:rsid w:val="00BB6317"/>
    <w:rsid w:val="00BB6609"/>
    <w:rsid w:val="00BB674C"/>
    <w:rsid w:val="00BB68BA"/>
    <w:rsid w:val="00BB68F6"/>
    <w:rsid w:val="00BB706F"/>
    <w:rsid w:val="00BB70A9"/>
    <w:rsid w:val="00BB7772"/>
    <w:rsid w:val="00BB7934"/>
    <w:rsid w:val="00BB7BD3"/>
    <w:rsid w:val="00BC0593"/>
    <w:rsid w:val="00BC0D18"/>
    <w:rsid w:val="00BC22D3"/>
    <w:rsid w:val="00BC23E1"/>
    <w:rsid w:val="00BC2597"/>
    <w:rsid w:val="00BC378C"/>
    <w:rsid w:val="00BC3CB7"/>
    <w:rsid w:val="00BC5886"/>
    <w:rsid w:val="00BC589D"/>
    <w:rsid w:val="00BC60DE"/>
    <w:rsid w:val="00BC6B6B"/>
    <w:rsid w:val="00BC6C15"/>
    <w:rsid w:val="00BC6DC9"/>
    <w:rsid w:val="00BC7C21"/>
    <w:rsid w:val="00BD02E7"/>
    <w:rsid w:val="00BD0451"/>
    <w:rsid w:val="00BD08A4"/>
    <w:rsid w:val="00BD0C8B"/>
    <w:rsid w:val="00BD1180"/>
    <w:rsid w:val="00BD20B8"/>
    <w:rsid w:val="00BD27B0"/>
    <w:rsid w:val="00BD2DF3"/>
    <w:rsid w:val="00BD2EB1"/>
    <w:rsid w:val="00BD32A9"/>
    <w:rsid w:val="00BD35B9"/>
    <w:rsid w:val="00BD50E4"/>
    <w:rsid w:val="00BD517A"/>
    <w:rsid w:val="00BD5A60"/>
    <w:rsid w:val="00BD5FBE"/>
    <w:rsid w:val="00BD6138"/>
    <w:rsid w:val="00BD6CD8"/>
    <w:rsid w:val="00BD7DFC"/>
    <w:rsid w:val="00BE0140"/>
    <w:rsid w:val="00BE02E3"/>
    <w:rsid w:val="00BE03F4"/>
    <w:rsid w:val="00BE04F6"/>
    <w:rsid w:val="00BE05CC"/>
    <w:rsid w:val="00BE0C6E"/>
    <w:rsid w:val="00BE1AEA"/>
    <w:rsid w:val="00BE1C09"/>
    <w:rsid w:val="00BE2A0A"/>
    <w:rsid w:val="00BE48AA"/>
    <w:rsid w:val="00BE4C28"/>
    <w:rsid w:val="00BE4C66"/>
    <w:rsid w:val="00BE4D2B"/>
    <w:rsid w:val="00BE561B"/>
    <w:rsid w:val="00BE5C71"/>
    <w:rsid w:val="00BE5FC2"/>
    <w:rsid w:val="00BE61E0"/>
    <w:rsid w:val="00BE7AB1"/>
    <w:rsid w:val="00BE7B90"/>
    <w:rsid w:val="00BE7FC3"/>
    <w:rsid w:val="00BF0DDB"/>
    <w:rsid w:val="00BF1854"/>
    <w:rsid w:val="00BF1AFD"/>
    <w:rsid w:val="00BF2154"/>
    <w:rsid w:val="00BF22FE"/>
    <w:rsid w:val="00BF4FC9"/>
    <w:rsid w:val="00BF533C"/>
    <w:rsid w:val="00BF57B6"/>
    <w:rsid w:val="00BF5DEC"/>
    <w:rsid w:val="00BF612F"/>
    <w:rsid w:val="00BF68C9"/>
    <w:rsid w:val="00BF6A9F"/>
    <w:rsid w:val="00BF6E86"/>
    <w:rsid w:val="00C00534"/>
    <w:rsid w:val="00C018AA"/>
    <w:rsid w:val="00C01A63"/>
    <w:rsid w:val="00C0215C"/>
    <w:rsid w:val="00C02E74"/>
    <w:rsid w:val="00C04A91"/>
    <w:rsid w:val="00C05143"/>
    <w:rsid w:val="00C0597F"/>
    <w:rsid w:val="00C05DE0"/>
    <w:rsid w:val="00C0633A"/>
    <w:rsid w:val="00C06926"/>
    <w:rsid w:val="00C06A98"/>
    <w:rsid w:val="00C06FA3"/>
    <w:rsid w:val="00C116BF"/>
    <w:rsid w:val="00C11BC4"/>
    <w:rsid w:val="00C1230A"/>
    <w:rsid w:val="00C12E37"/>
    <w:rsid w:val="00C1350C"/>
    <w:rsid w:val="00C14510"/>
    <w:rsid w:val="00C14522"/>
    <w:rsid w:val="00C166BF"/>
    <w:rsid w:val="00C17B49"/>
    <w:rsid w:val="00C20633"/>
    <w:rsid w:val="00C20D30"/>
    <w:rsid w:val="00C20F91"/>
    <w:rsid w:val="00C21327"/>
    <w:rsid w:val="00C21355"/>
    <w:rsid w:val="00C2148F"/>
    <w:rsid w:val="00C21A1C"/>
    <w:rsid w:val="00C21BD0"/>
    <w:rsid w:val="00C21BF3"/>
    <w:rsid w:val="00C229A9"/>
    <w:rsid w:val="00C22A45"/>
    <w:rsid w:val="00C23120"/>
    <w:rsid w:val="00C24F6F"/>
    <w:rsid w:val="00C2536F"/>
    <w:rsid w:val="00C25E67"/>
    <w:rsid w:val="00C2600F"/>
    <w:rsid w:val="00C2642B"/>
    <w:rsid w:val="00C267F9"/>
    <w:rsid w:val="00C26E90"/>
    <w:rsid w:val="00C2726B"/>
    <w:rsid w:val="00C27550"/>
    <w:rsid w:val="00C275E7"/>
    <w:rsid w:val="00C27C6A"/>
    <w:rsid w:val="00C30636"/>
    <w:rsid w:val="00C329F5"/>
    <w:rsid w:val="00C3379C"/>
    <w:rsid w:val="00C33F7F"/>
    <w:rsid w:val="00C342F6"/>
    <w:rsid w:val="00C34AAB"/>
    <w:rsid w:val="00C3519D"/>
    <w:rsid w:val="00C35DB6"/>
    <w:rsid w:val="00C3611C"/>
    <w:rsid w:val="00C363D3"/>
    <w:rsid w:val="00C36B2E"/>
    <w:rsid w:val="00C36B5E"/>
    <w:rsid w:val="00C37940"/>
    <w:rsid w:val="00C37EB1"/>
    <w:rsid w:val="00C429BB"/>
    <w:rsid w:val="00C43B1A"/>
    <w:rsid w:val="00C43F46"/>
    <w:rsid w:val="00C448ED"/>
    <w:rsid w:val="00C456A7"/>
    <w:rsid w:val="00C466C9"/>
    <w:rsid w:val="00C46832"/>
    <w:rsid w:val="00C470DF"/>
    <w:rsid w:val="00C47484"/>
    <w:rsid w:val="00C47D59"/>
    <w:rsid w:val="00C50B47"/>
    <w:rsid w:val="00C53F15"/>
    <w:rsid w:val="00C5472E"/>
    <w:rsid w:val="00C54BCC"/>
    <w:rsid w:val="00C56A21"/>
    <w:rsid w:val="00C56B96"/>
    <w:rsid w:val="00C57DCD"/>
    <w:rsid w:val="00C60EBB"/>
    <w:rsid w:val="00C61734"/>
    <w:rsid w:val="00C61830"/>
    <w:rsid w:val="00C632C3"/>
    <w:rsid w:val="00C6368A"/>
    <w:rsid w:val="00C638E9"/>
    <w:rsid w:val="00C641DC"/>
    <w:rsid w:val="00C64432"/>
    <w:rsid w:val="00C6534E"/>
    <w:rsid w:val="00C6660B"/>
    <w:rsid w:val="00C66CB2"/>
    <w:rsid w:val="00C66D32"/>
    <w:rsid w:val="00C66F94"/>
    <w:rsid w:val="00C67F1A"/>
    <w:rsid w:val="00C7006B"/>
    <w:rsid w:val="00C70211"/>
    <w:rsid w:val="00C7292C"/>
    <w:rsid w:val="00C7435A"/>
    <w:rsid w:val="00C753E2"/>
    <w:rsid w:val="00C75C0A"/>
    <w:rsid w:val="00C76198"/>
    <w:rsid w:val="00C761AE"/>
    <w:rsid w:val="00C76C72"/>
    <w:rsid w:val="00C801F9"/>
    <w:rsid w:val="00C81E47"/>
    <w:rsid w:val="00C82D5D"/>
    <w:rsid w:val="00C8376B"/>
    <w:rsid w:val="00C840C9"/>
    <w:rsid w:val="00C84ABE"/>
    <w:rsid w:val="00C84B2C"/>
    <w:rsid w:val="00C84DA4"/>
    <w:rsid w:val="00C84F21"/>
    <w:rsid w:val="00C859FC"/>
    <w:rsid w:val="00C85C83"/>
    <w:rsid w:val="00C86371"/>
    <w:rsid w:val="00C86A95"/>
    <w:rsid w:val="00C86AAD"/>
    <w:rsid w:val="00C879D7"/>
    <w:rsid w:val="00C879E4"/>
    <w:rsid w:val="00C910F6"/>
    <w:rsid w:val="00C91257"/>
    <w:rsid w:val="00C9188F"/>
    <w:rsid w:val="00C92258"/>
    <w:rsid w:val="00C92A65"/>
    <w:rsid w:val="00C935AF"/>
    <w:rsid w:val="00C94657"/>
    <w:rsid w:val="00C94BEE"/>
    <w:rsid w:val="00C94CCD"/>
    <w:rsid w:val="00C95B77"/>
    <w:rsid w:val="00C95D96"/>
    <w:rsid w:val="00C963C8"/>
    <w:rsid w:val="00CA0A4C"/>
    <w:rsid w:val="00CA13E0"/>
    <w:rsid w:val="00CA1570"/>
    <w:rsid w:val="00CA1B71"/>
    <w:rsid w:val="00CA1F68"/>
    <w:rsid w:val="00CA21B8"/>
    <w:rsid w:val="00CA3107"/>
    <w:rsid w:val="00CA3253"/>
    <w:rsid w:val="00CA3B72"/>
    <w:rsid w:val="00CA42B3"/>
    <w:rsid w:val="00CA44C8"/>
    <w:rsid w:val="00CA5883"/>
    <w:rsid w:val="00CA62A9"/>
    <w:rsid w:val="00CA6B30"/>
    <w:rsid w:val="00CA712B"/>
    <w:rsid w:val="00CA7882"/>
    <w:rsid w:val="00CA78E2"/>
    <w:rsid w:val="00CA7EF1"/>
    <w:rsid w:val="00CB0159"/>
    <w:rsid w:val="00CB0A46"/>
    <w:rsid w:val="00CB234E"/>
    <w:rsid w:val="00CB2BA0"/>
    <w:rsid w:val="00CB317E"/>
    <w:rsid w:val="00CB37CE"/>
    <w:rsid w:val="00CB3E04"/>
    <w:rsid w:val="00CB422B"/>
    <w:rsid w:val="00CB440C"/>
    <w:rsid w:val="00CB479F"/>
    <w:rsid w:val="00CB5E6B"/>
    <w:rsid w:val="00CB70E7"/>
    <w:rsid w:val="00CB77A4"/>
    <w:rsid w:val="00CB7AA1"/>
    <w:rsid w:val="00CC177A"/>
    <w:rsid w:val="00CC17F7"/>
    <w:rsid w:val="00CC2795"/>
    <w:rsid w:val="00CC27BA"/>
    <w:rsid w:val="00CC3CD6"/>
    <w:rsid w:val="00CC3FF8"/>
    <w:rsid w:val="00CC40FD"/>
    <w:rsid w:val="00CC41C5"/>
    <w:rsid w:val="00CC4249"/>
    <w:rsid w:val="00CC5042"/>
    <w:rsid w:val="00CC534B"/>
    <w:rsid w:val="00CC5923"/>
    <w:rsid w:val="00CC61D8"/>
    <w:rsid w:val="00CC74DC"/>
    <w:rsid w:val="00CC7A52"/>
    <w:rsid w:val="00CD156E"/>
    <w:rsid w:val="00CD2AB2"/>
    <w:rsid w:val="00CD2F85"/>
    <w:rsid w:val="00CD3595"/>
    <w:rsid w:val="00CD3A4F"/>
    <w:rsid w:val="00CD44DB"/>
    <w:rsid w:val="00CD5FFF"/>
    <w:rsid w:val="00CD6817"/>
    <w:rsid w:val="00CD7056"/>
    <w:rsid w:val="00CD71CF"/>
    <w:rsid w:val="00CD7563"/>
    <w:rsid w:val="00CD79D4"/>
    <w:rsid w:val="00CD7B02"/>
    <w:rsid w:val="00CD7D91"/>
    <w:rsid w:val="00CE0591"/>
    <w:rsid w:val="00CE0C43"/>
    <w:rsid w:val="00CE17F4"/>
    <w:rsid w:val="00CE3273"/>
    <w:rsid w:val="00CE33F2"/>
    <w:rsid w:val="00CE458B"/>
    <w:rsid w:val="00CE4625"/>
    <w:rsid w:val="00CE5043"/>
    <w:rsid w:val="00CE53E8"/>
    <w:rsid w:val="00CE54D3"/>
    <w:rsid w:val="00CE5C10"/>
    <w:rsid w:val="00CE6F64"/>
    <w:rsid w:val="00CE7185"/>
    <w:rsid w:val="00CE71EE"/>
    <w:rsid w:val="00CF0F83"/>
    <w:rsid w:val="00CF18A3"/>
    <w:rsid w:val="00CF1A33"/>
    <w:rsid w:val="00CF1A57"/>
    <w:rsid w:val="00CF1CB9"/>
    <w:rsid w:val="00CF2FB5"/>
    <w:rsid w:val="00CF32FF"/>
    <w:rsid w:val="00CF33FD"/>
    <w:rsid w:val="00CF478D"/>
    <w:rsid w:val="00CF599B"/>
    <w:rsid w:val="00CF6C70"/>
    <w:rsid w:val="00CF7FBD"/>
    <w:rsid w:val="00D01BB5"/>
    <w:rsid w:val="00D01D3D"/>
    <w:rsid w:val="00D022B6"/>
    <w:rsid w:val="00D02506"/>
    <w:rsid w:val="00D026C7"/>
    <w:rsid w:val="00D02779"/>
    <w:rsid w:val="00D03EB4"/>
    <w:rsid w:val="00D0431D"/>
    <w:rsid w:val="00D04358"/>
    <w:rsid w:val="00D0699D"/>
    <w:rsid w:val="00D06FAA"/>
    <w:rsid w:val="00D071ED"/>
    <w:rsid w:val="00D07CEE"/>
    <w:rsid w:val="00D1094F"/>
    <w:rsid w:val="00D113AD"/>
    <w:rsid w:val="00D125AB"/>
    <w:rsid w:val="00D13FA1"/>
    <w:rsid w:val="00D1430E"/>
    <w:rsid w:val="00D145A1"/>
    <w:rsid w:val="00D147DA"/>
    <w:rsid w:val="00D14CEC"/>
    <w:rsid w:val="00D154FE"/>
    <w:rsid w:val="00D15537"/>
    <w:rsid w:val="00D159DC"/>
    <w:rsid w:val="00D16CA1"/>
    <w:rsid w:val="00D17198"/>
    <w:rsid w:val="00D17F17"/>
    <w:rsid w:val="00D2033A"/>
    <w:rsid w:val="00D20F51"/>
    <w:rsid w:val="00D219B0"/>
    <w:rsid w:val="00D22407"/>
    <w:rsid w:val="00D2291C"/>
    <w:rsid w:val="00D22B0D"/>
    <w:rsid w:val="00D22D0A"/>
    <w:rsid w:val="00D22F0E"/>
    <w:rsid w:val="00D241F7"/>
    <w:rsid w:val="00D24701"/>
    <w:rsid w:val="00D24A8A"/>
    <w:rsid w:val="00D24F26"/>
    <w:rsid w:val="00D24FEC"/>
    <w:rsid w:val="00D254DC"/>
    <w:rsid w:val="00D25F75"/>
    <w:rsid w:val="00D2621F"/>
    <w:rsid w:val="00D268B7"/>
    <w:rsid w:val="00D275B7"/>
    <w:rsid w:val="00D27BCA"/>
    <w:rsid w:val="00D27BD8"/>
    <w:rsid w:val="00D27FF7"/>
    <w:rsid w:val="00D30952"/>
    <w:rsid w:val="00D31592"/>
    <w:rsid w:val="00D31781"/>
    <w:rsid w:val="00D320B4"/>
    <w:rsid w:val="00D32823"/>
    <w:rsid w:val="00D328AC"/>
    <w:rsid w:val="00D33637"/>
    <w:rsid w:val="00D337B4"/>
    <w:rsid w:val="00D33812"/>
    <w:rsid w:val="00D33D17"/>
    <w:rsid w:val="00D33DA8"/>
    <w:rsid w:val="00D3476A"/>
    <w:rsid w:val="00D358AD"/>
    <w:rsid w:val="00D35F22"/>
    <w:rsid w:val="00D36181"/>
    <w:rsid w:val="00D3622A"/>
    <w:rsid w:val="00D36261"/>
    <w:rsid w:val="00D40231"/>
    <w:rsid w:val="00D4094B"/>
    <w:rsid w:val="00D41560"/>
    <w:rsid w:val="00D41F1D"/>
    <w:rsid w:val="00D4271B"/>
    <w:rsid w:val="00D42947"/>
    <w:rsid w:val="00D42989"/>
    <w:rsid w:val="00D42F0C"/>
    <w:rsid w:val="00D4311C"/>
    <w:rsid w:val="00D431B8"/>
    <w:rsid w:val="00D4480F"/>
    <w:rsid w:val="00D44CA2"/>
    <w:rsid w:val="00D450D3"/>
    <w:rsid w:val="00D45E66"/>
    <w:rsid w:val="00D467DC"/>
    <w:rsid w:val="00D50E7D"/>
    <w:rsid w:val="00D50F9D"/>
    <w:rsid w:val="00D510A8"/>
    <w:rsid w:val="00D513D4"/>
    <w:rsid w:val="00D51825"/>
    <w:rsid w:val="00D51C00"/>
    <w:rsid w:val="00D51C1D"/>
    <w:rsid w:val="00D52AD8"/>
    <w:rsid w:val="00D53071"/>
    <w:rsid w:val="00D53335"/>
    <w:rsid w:val="00D54057"/>
    <w:rsid w:val="00D5431F"/>
    <w:rsid w:val="00D54A29"/>
    <w:rsid w:val="00D54C69"/>
    <w:rsid w:val="00D54E1A"/>
    <w:rsid w:val="00D54FC0"/>
    <w:rsid w:val="00D55EFC"/>
    <w:rsid w:val="00D55F96"/>
    <w:rsid w:val="00D564C1"/>
    <w:rsid w:val="00D56784"/>
    <w:rsid w:val="00D57627"/>
    <w:rsid w:val="00D57A98"/>
    <w:rsid w:val="00D615A9"/>
    <w:rsid w:val="00D6197D"/>
    <w:rsid w:val="00D629F9"/>
    <w:rsid w:val="00D62C98"/>
    <w:rsid w:val="00D62EC7"/>
    <w:rsid w:val="00D64237"/>
    <w:rsid w:val="00D64428"/>
    <w:rsid w:val="00D64674"/>
    <w:rsid w:val="00D65797"/>
    <w:rsid w:val="00D65F94"/>
    <w:rsid w:val="00D662DD"/>
    <w:rsid w:val="00D702F3"/>
    <w:rsid w:val="00D71799"/>
    <w:rsid w:val="00D71A08"/>
    <w:rsid w:val="00D726BF"/>
    <w:rsid w:val="00D72C3A"/>
    <w:rsid w:val="00D7349C"/>
    <w:rsid w:val="00D7353A"/>
    <w:rsid w:val="00D73657"/>
    <w:rsid w:val="00D73852"/>
    <w:rsid w:val="00D744D6"/>
    <w:rsid w:val="00D74A0B"/>
    <w:rsid w:val="00D75B14"/>
    <w:rsid w:val="00D75FF0"/>
    <w:rsid w:val="00D771F9"/>
    <w:rsid w:val="00D77EF9"/>
    <w:rsid w:val="00D80793"/>
    <w:rsid w:val="00D808F9"/>
    <w:rsid w:val="00D809A3"/>
    <w:rsid w:val="00D83013"/>
    <w:rsid w:val="00D83E42"/>
    <w:rsid w:val="00D84810"/>
    <w:rsid w:val="00D85649"/>
    <w:rsid w:val="00D85D1F"/>
    <w:rsid w:val="00D85E0A"/>
    <w:rsid w:val="00D85F30"/>
    <w:rsid w:val="00D860DF"/>
    <w:rsid w:val="00D863F4"/>
    <w:rsid w:val="00D8691B"/>
    <w:rsid w:val="00D86F5B"/>
    <w:rsid w:val="00D87B19"/>
    <w:rsid w:val="00D90119"/>
    <w:rsid w:val="00D908E7"/>
    <w:rsid w:val="00D90EBA"/>
    <w:rsid w:val="00D91A5A"/>
    <w:rsid w:val="00D91C74"/>
    <w:rsid w:val="00D92D50"/>
    <w:rsid w:val="00D932AF"/>
    <w:rsid w:val="00D9389C"/>
    <w:rsid w:val="00D93C82"/>
    <w:rsid w:val="00D94C9D"/>
    <w:rsid w:val="00D94E99"/>
    <w:rsid w:val="00D953F9"/>
    <w:rsid w:val="00D95F74"/>
    <w:rsid w:val="00D964C4"/>
    <w:rsid w:val="00D96A20"/>
    <w:rsid w:val="00D970C3"/>
    <w:rsid w:val="00D979CE"/>
    <w:rsid w:val="00DA01F8"/>
    <w:rsid w:val="00DA0E10"/>
    <w:rsid w:val="00DA117B"/>
    <w:rsid w:val="00DA2467"/>
    <w:rsid w:val="00DA2E8E"/>
    <w:rsid w:val="00DA54AD"/>
    <w:rsid w:val="00DA63BB"/>
    <w:rsid w:val="00DA722B"/>
    <w:rsid w:val="00DA7C3A"/>
    <w:rsid w:val="00DA7E99"/>
    <w:rsid w:val="00DB14D2"/>
    <w:rsid w:val="00DB18AB"/>
    <w:rsid w:val="00DB254E"/>
    <w:rsid w:val="00DB2F56"/>
    <w:rsid w:val="00DB478E"/>
    <w:rsid w:val="00DB4B00"/>
    <w:rsid w:val="00DB5120"/>
    <w:rsid w:val="00DB5154"/>
    <w:rsid w:val="00DB51A0"/>
    <w:rsid w:val="00DC00A7"/>
    <w:rsid w:val="00DC264F"/>
    <w:rsid w:val="00DC3158"/>
    <w:rsid w:val="00DC3A21"/>
    <w:rsid w:val="00DC4334"/>
    <w:rsid w:val="00DC48DB"/>
    <w:rsid w:val="00DC5408"/>
    <w:rsid w:val="00DD2866"/>
    <w:rsid w:val="00DD3255"/>
    <w:rsid w:val="00DD448C"/>
    <w:rsid w:val="00DD4D9A"/>
    <w:rsid w:val="00DD5BEB"/>
    <w:rsid w:val="00DD6332"/>
    <w:rsid w:val="00DD63CF"/>
    <w:rsid w:val="00DD6842"/>
    <w:rsid w:val="00DD7316"/>
    <w:rsid w:val="00DD7459"/>
    <w:rsid w:val="00DD7876"/>
    <w:rsid w:val="00DE0A8B"/>
    <w:rsid w:val="00DE301C"/>
    <w:rsid w:val="00DE381D"/>
    <w:rsid w:val="00DE3E94"/>
    <w:rsid w:val="00DE41A1"/>
    <w:rsid w:val="00DE4EB2"/>
    <w:rsid w:val="00DE5AD0"/>
    <w:rsid w:val="00DE5ECC"/>
    <w:rsid w:val="00DE7601"/>
    <w:rsid w:val="00DF07F1"/>
    <w:rsid w:val="00DF0D41"/>
    <w:rsid w:val="00DF0D70"/>
    <w:rsid w:val="00DF1397"/>
    <w:rsid w:val="00DF1F7A"/>
    <w:rsid w:val="00DF212C"/>
    <w:rsid w:val="00DF2800"/>
    <w:rsid w:val="00DF294E"/>
    <w:rsid w:val="00DF36D8"/>
    <w:rsid w:val="00DF42A4"/>
    <w:rsid w:val="00DF4480"/>
    <w:rsid w:val="00DF51EC"/>
    <w:rsid w:val="00DF584C"/>
    <w:rsid w:val="00DF590D"/>
    <w:rsid w:val="00DF607F"/>
    <w:rsid w:val="00DF7304"/>
    <w:rsid w:val="00E0015A"/>
    <w:rsid w:val="00E00921"/>
    <w:rsid w:val="00E01756"/>
    <w:rsid w:val="00E02396"/>
    <w:rsid w:val="00E0278B"/>
    <w:rsid w:val="00E04392"/>
    <w:rsid w:val="00E0441A"/>
    <w:rsid w:val="00E04549"/>
    <w:rsid w:val="00E045D0"/>
    <w:rsid w:val="00E0488B"/>
    <w:rsid w:val="00E06C56"/>
    <w:rsid w:val="00E06E83"/>
    <w:rsid w:val="00E07063"/>
    <w:rsid w:val="00E07342"/>
    <w:rsid w:val="00E07B62"/>
    <w:rsid w:val="00E07BD3"/>
    <w:rsid w:val="00E104CB"/>
    <w:rsid w:val="00E111C2"/>
    <w:rsid w:val="00E1120C"/>
    <w:rsid w:val="00E11350"/>
    <w:rsid w:val="00E12248"/>
    <w:rsid w:val="00E12339"/>
    <w:rsid w:val="00E12B17"/>
    <w:rsid w:val="00E134ED"/>
    <w:rsid w:val="00E13AD1"/>
    <w:rsid w:val="00E13E6A"/>
    <w:rsid w:val="00E14138"/>
    <w:rsid w:val="00E14F75"/>
    <w:rsid w:val="00E150BE"/>
    <w:rsid w:val="00E16AC1"/>
    <w:rsid w:val="00E17D79"/>
    <w:rsid w:val="00E2068F"/>
    <w:rsid w:val="00E20E1B"/>
    <w:rsid w:val="00E223C8"/>
    <w:rsid w:val="00E2256E"/>
    <w:rsid w:val="00E22E33"/>
    <w:rsid w:val="00E237A6"/>
    <w:rsid w:val="00E257E5"/>
    <w:rsid w:val="00E25F23"/>
    <w:rsid w:val="00E264FA"/>
    <w:rsid w:val="00E2692B"/>
    <w:rsid w:val="00E26FE1"/>
    <w:rsid w:val="00E271C4"/>
    <w:rsid w:val="00E2720E"/>
    <w:rsid w:val="00E30616"/>
    <w:rsid w:val="00E30EA3"/>
    <w:rsid w:val="00E3178A"/>
    <w:rsid w:val="00E318AD"/>
    <w:rsid w:val="00E320A6"/>
    <w:rsid w:val="00E32DB9"/>
    <w:rsid w:val="00E33EC8"/>
    <w:rsid w:val="00E34238"/>
    <w:rsid w:val="00E346E5"/>
    <w:rsid w:val="00E34DE7"/>
    <w:rsid w:val="00E35412"/>
    <w:rsid w:val="00E35D02"/>
    <w:rsid w:val="00E36012"/>
    <w:rsid w:val="00E367C2"/>
    <w:rsid w:val="00E36D30"/>
    <w:rsid w:val="00E37DF1"/>
    <w:rsid w:val="00E37E03"/>
    <w:rsid w:val="00E40549"/>
    <w:rsid w:val="00E4277C"/>
    <w:rsid w:val="00E42867"/>
    <w:rsid w:val="00E4499B"/>
    <w:rsid w:val="00E44E07"/>
    <w:rsid w:val="00E458F8"/>
    <w:rsid w:val="00E459E1"/>
    <w:rsid w:val="00E45A08"/>
    <w:rsid w:val="00E46ADF"/>
    <w:rsid w:val="00E51A96"/>
    <w:rsid w:val="00E51D3F"/>
    <w:rsid w:val="00E521C2"/>
    <w:rsid w:val="00E52676"/>
    <w:rsid w:val="00E52682"/>
    <w:rsid w:val="00E531F4"/>
    <w:rsid w:val="00E537DE"/>
    <w:rsid w:val="00E5380B"/>
    <w:rsid w:val="00E5452E"/>
    <w:rsid w:val="00E55135"/>
    <w:rsid w:val="00E56AB5"/>
    <w:rsid w:val="00E57376"/>
    <w:rsid w:val="00E61009"/>
    <w:rsid w:val="00E61168"/>
    <w:rsid w:val="00E614C2"/>
    <w:rsid w:val="00E61654"/>
    <w:rsid w:val="00E6243D"/>
    <w:rsid w:val="00E62701"/>
    <w:rsid w:val="00E629D5"/>
    <w:rsid w:val="00E63337"/>
    <w:rsid w:val="00E654EC"/>
    <w:rsid w:val="00E67324"/>
    <w:rsid w:val="00E6742F"/>
    <w:rsid w:val="00E70917"/>
    <w:rsid w:val="00E709C6"/>
    <w:rsid w:val="00E715B1"/>
    <w:rsid w:val="00E71886"/>
    <w:rsid w:val="00E7202E"/>
    <w:rsid w:val="00E7234B"/>
    <w:rsid w:val="00E72861"/>
    <w:rsid w:val="00E72B5C"/>
    <w:rsid w:val="00E731EC"/>
    <w:rsid w:val="00E73B09"/>
    <w:rsid w:val="00E73C29"/>
    <w:rsid w:val="00E73E9C"/>
    <w:rsid w:val="00E74052"/>
    <w:rsid w:val="00E74876"/>
    <w:rsid w:val="00E7494D"/>
    <w:rsid w:val="00E74ED9"/>
    <w:rsid w:val="00E7594D"/>
    <w:rsid w:val="00E775E1"/>
    <w:rsid w:val="00E801D3"/>
    <w:rsid w:val="00E809AA"/>
    <w:rsid w:val="00E80FFF"/>
    <w:rsid w:val="00E82217"/>
    <w:rsid w:val="00E823BD"/>
    <w:rsid w:val="00E827D8"/>
    <w:rsid w:val="00E843AA"/>
    <w:rsid w:val="00E8473D"/>
    <w:rsid w:val="00E8477C"/>
    <w:rsid w:val="00E848AB"/>
    <w:rsid w:val="00E859BA"/>
    <w:rsid w:val="00E867B3"/>
    <w:rsid w:val="00E9041C"/>
    <w:rsid w:val="00E90A55"/>
    <w:rsid w:val="00E91611"/>
    <w:rsid w:val="00E9286D"/>
    <w:rsid w:val="00E928C0"/>
    <w:rsid w:val="00E928C6"/>
    <w:rsid w:val="00E94AB2"/>
    <w:rsid w:val="00E95120"/>
    <w:rsid w:val="00E95950"/>
    <w:rsid w:val="00E968BE"/>
    <w:rsid w:val="00E96B8F"/>
    <w:rsid w:val="00E970AD"/>
    <w:rsid w:val="00EA0B1E"/>
    <w:rsid w:val="00EA15A3"/>
    <w:rsid w:val="00EA211D"/>
    <w:rsid w:val="00EA2B1B"/>
    <w:rsid w:val="00EA3F89"/>
    <w:rsid w:val="00EA59BE"/>
    <w:rsid w:val="00EA5EEF"/>
    <w:rsid w:val="00EA7EC4"/>
    <w:rsid w:val="00EB035D"/>
    <w:rsid w:val="00EB080B"/>
    <w:rsid w:val="00EB08EF"/>
    <w:rsid w:val="00EB094C"/>
    <w:rsid w:val="00EB0BC2"/>
    <w:rsid w:val="00EB1899"/>
    <w:rsid w:val="00EB25BC"/>
    <w:rsid w:val="00EB28C6"/>
    <w:rsid w:val="00EB2BD6"/>
    <w:rsid w:val="00EB2F58"/>
    <w:rsid w:val="00EB3226"/>
    <w:rsid w:val="00EB3966"/>
    <w:rsid w:val="00EB4317"/>
    <w:rsid w:val="00EB4373"/>
    <w:rsid w:val="00EB4FDF"/>
    <w:rsid w:val="00EB53FB"/>
    <w:rsid w:val="00EB5DDC"/>
    <w:rsid w:val="00EB7993"/>
    <w:rsid w:val="00EB7C3A"/>
    <w:rsid w:val="00EB7F86"/>
    <w:rsid w:val="00EC054B"/>
    <w:rsid w:val="00EC19AF"/>
    <w:rsid w:val="00EC1B14"/>
    <w:rsid w:val="00EC1DDC"/>
    <w:rsid w:val="00EC1F92"/>
    <w:rsid w:val="00EC20BF"/>
    <w:rsid w:val="00EC269F"/>
    <w:rsid w:val="00EC3812"/>
    <w:rsid w:val="00EC41ED"/>
    <w:rsid w:val="00EC42BF"/>
    <w:rsid w:val="00EC4CCC"/>
    <w:rsid w:val="00EC510B"/>
    <w:rsid w:val="00EC6DE9"/>
    <w:rsid w:val="00EC7A3C"/>
    <w:rsid w:val="00EC7DB0"/>
    <w:rsid w:val="00ED025B"/>
    <w:rsid w:val="00ED0577"/>
    <w:rsid w:val="00ED0A1A"/>
    <w:rsid w:val="00ED0D1B"/>
    <w:rsid w:val="00ED31E3"/>
    <w:rsid w:val="00ED3379"/>
    <w:rsid w:val="00ED3D09"/>
    <w:rsid w:val="00ED4561"/>
    <w:rsid w:val="00ED4C09"/>
    <w:rsid w:val="00ED5958"/>
    <w:rsid w:val="00ED6226"/>
    <w:rsid w:val="00ED68D0"/>
    <w:rsid w:val="00ED7304"/>
    <w:rsid w:val="00ED7B5A"/>
    <w:rsid w:val="00EE0441"/>
    <w:rsid w:val="00EE14E5"/>
    <w:rsid w:val="00EE215C"/>
    <w:rsid w:val="00EE22CD"/>
    <w:rsid w:val="00EE3053"/>
    <w:rsid w:val="00EE39EB"/>
    <w:rsid w:val="00EE4664"/>
    <w:rsid w:val="00EE4688"/>
    <w:rsid w:val="00EE4BC5"/>
    <w:rsid w:val="00EE569D"/>
    <w:rsid w:val="00EE5732"/>
    <w:rsid w:val="00EE6BA5"/>
    <w:rsid w:val="00EE7322"/>
    <w:rsid w:val="00EF0BB7"/>
    <w:rsid w:val="00EF1244"/>
    <w:rsid w:val="00EF1A47"/>
    <w:rsid w:val="00EF207B"/>
    <w:rsid w:val="00EF2E30"/>
    <w:rsid w:val="00EF3801"/>
    <w:rsid w:val="00EF63CC"/>
    <w:rsid w:val="00EF683A"/>
    <w:rsid w:val="00EF6B46"/>
    <w:rsid w:val="00EF7FAA"/>
    <w:rsid w:val="00F00EE6"/>
    <w:rsid w:val="00F015C9"/>
    <w:rsid w:val="00F01819"/>
    <w:rsid w:val="00F02407"/>
    <w:rsid w:val="00F037A2"/>
    <w:rsid w:val="00F03EC3"/>
    <w:rsid w:val="00F04BAF"/>
    <w:rsid w:val="00F06C3E"/>
    <w:rsid w:val="00F07E79"/>
    <w:rsid w:val="00F10C4A"/>
    <w:rsid w:val="00F110EE"/>
    <w:rsid w:val="00F11177"/>
    <w:rsid w:val="00F13D61"/>
    <w:rsid w:val="00F14AAD"/>
    <w:rsid w:val="00F14B86"/>
    <w:rsid w:val="00F14C8E"/>
    <w:rsid w:val="00F1692B"/>
    <w:rsid w:val="00F16C05"/>
    <w:rsid w:val="00F16EB6"/>
    <w:rsid w:val="00F16F2F"/>
    <w:rsid w:val="00F174B7"/>
    <w:rsid w:val="00F17898"/>
    <w:rsid w:val="00F21EBB"/>
    <w:rsid w:val="00F22B2B"/>
    <w:rsid w:val="00F23204"/>
    <w:rsid w:val="00F23643"/>
    <w:rsid w:val="00F2364F"/>
    <w:rsid w:val="00F23C99"/>
    <w:rsid w:val="00F23EF0"/>
    <w:rsid w:val="00F24617"/>
    <w:rsid w:val="00F248C7"/>
    <w:rsid w:val="00F25E81"/>
    <w:rsid w:val="00F26C6E"/>
    <w:rsid w:val="00F30398"/>
    <w:rsid w:val="00F30743"/>
    <w:rsid w:val="00F311C1"/>
    <w:rsid w:val="00F31363"/>
    <w:rsid w:val="00F31EA6"/>
    <w:rsid w:val="00F32685"/>
    <w:rsid w:val="00F32820"/>
    <w:rsid w:val="00F333F2"/>
    <w:rsid w:val="00F334A3"/>
    <w:rsid w:val="00F33A85"/>
    <w:rsid w:val="00F33A94"/>
    <w:rsid w:val="00F34640"/>
    <w:rsid w:val="00F348FE"/>
    <w:rsid w:val="00F34F34"/>
    <w:rsid w:val="00F3645B"/>
    <w:rsid w:val="00F367DF"/>
    <w:rsid w:val="00F36AC9"/>
    <w:rsid w:val="00F36DF9"/>
    <w:rsid w:val="00F37105"/>
    <w:rsid w:val="00F407BB"/>
    <w:rsid w:val="00F41895"/>
    <w:rsid w:val="00F41AA2"/>
    <w:rsid w:val="00F425F1"/>
    <w:rsid w:val="00F42D2B"/>
    <w:rsid w:val="00F43190"/>
    <w:rsid w:val="00F43520"/>
    <w:rsid w:val="00F44245"/>
    <w:rsid w:val="00F4494E"/>
    <w:rsid w:val="00F450B5"/>
    <w:rsid w:val="00F456CC"/>
    <w:rsid w:val="00F459CF"/>
    <w:rsid w:val="00F45BF6"/>
    <w:rsid w:val="00F47306"/>
    <w:rsid w:val="00F4741F"/>
    <w:rsid w:val="00F50590"/>
    <w:rsid w:val="00F5107D"/>
    <w:rsid w:val="00F510BB"/>
    <w:rsid w:val="00F515E4"/>
    <w:rsid w:val="00F528A9"/>
    <w:rsid w:val="00F52C1B"/>
    <w:rsid w:val="00F52C8E"/>
    <w:rsid w:val="00F530EE"/>
    <w:rsid w:val="00F531A7"/>
    <w:rsid w:val="00F5454C"/>
    <w:rsid w:val="00F55771"/>
    <w:rsid w:val="00F56D43"/>
    <w:rsid w:val="00F56F8E"/>
    <w:rsid w:val="00F571ED"/>
    <w:rsid w:val="00F575E2"/>
    <w:rsid w:val="00F575EE"/>
    <w:rsid w:val="00F618A9"/>
    <w:rsid w:val="00F61BB5"/>
    <w:rsid w:val="00F62B14"/>
    <w:rsid w:val="00F6346C"/>
    <w:rsid w:val="00F640AA"/>
    <w:rsid w:val="00F64C4C"/>
    <w:rsid w:val="00F656B3"/>
    <w:rsid w:val="00F6622D"/>
    <w:rsid w:val="00F706A9"/>
    <w:rsid w:val="00F708B2"/>
    <w:rsid w:val="00F70C2F"/>
    <w:rsid w:val="00F70E8A"/>
    <w:rsid w:val="00F71B48"/>
    <w:rsid w:val="00F71BE0"/>
    <w:rsid w:val="00F72229"/>
    <w:rsid w:val="00F72B6C"/>
    <w:rsid w:val="00F74275"/>
    <w:rsid w:val="00F74939"/>
    <w:rsid w:val="00F75379"/>
    <w:rsid w:val="00F764C0"/>
    <w:rsid w:val="00F7665C"/>
    <w:rsid w:val="00F77A07"/>
    <w:rsid w:val="00F77AA0"/>
    <w:rsid w:val="00F801A9"/>
    <w:rsid w:val="00F805F2"/>
    <w:rsid w:val="00F80BEC"/>
    <w:rsid w:val="00F8112A"/>
    <w:rsid w:val="00F81272"/>
    <w:rsid w:val="00F81504"/>
    <w:rsid w:val="00F81A21"/>
    <w:rsid w:val="00F81D61"/>
    <w:rsid w:val="00F820F0"/>
    <w:rsid w:val="00F82C2A"/>
    <w:rsid w:val="00F8389D"/>
    <w:rsid w:val="00F8542D"/>
    <w:rsid w:val="00F85A20"/>
    <w:rsid w:val="00F86259"/>
    <w:rsid w:val="00F86918"/>
    <w:rsid w:val="00F86BC4"/>
    <w:rsid w:val="00F86C94"/>
    <w:rsid w:val="00F86E95"/>
    <w:rsid w:val="00F878CE"/>
    <w:rsid w:val="00F87A6F"/>
    <w:rsid w:val="00F87FB4"/>
    <w:rsid w:val="00F905A2"/>
    <w:rsid w:val="00F909A3"/>
    <w:rsid w:val="00F91F31"/>
    <w:rsid w:val="00F93CE1"/>
    <w:rsid w:val="00F94E70"/>
    <w:rsid w:val="00F957DF"/>
    <w:rsid w:val="00F95AAA"/>
    <w:rsid w:val="00F95B9B"/>
    <w:rsid w:val="00F95ECA"/>
    <w:rsid w:val="00F963DD"/>
    <w:rsid w:val="00F963F7"/>
    <w:rsid w:val="00F96671"/>
    <w:rsid w:val="00F96744"/>
    <w:rsid w:val="00F96DFB"/>
    <w:rsid w:val="00FA021E"/>
    <w:rsid w:val="00FA0EC0"/>
    <w:rsid w:val="00FA123B"/>
    <w:rsid w:val="00FA1304"/>
    <w:rsid w:val="00FA261C"/>
    <w:rsid w:val="00FA2B55"/>
    <w:rsid w:val="00FA3589"/>
    <w:rsid w:val="00FA387A"/>
    <w:rsid w:val="00FA3AE4"/>
    <w:rsid w:val="00FA3E9D"/>
    <w:rsid w:val="00FA40EE"/>
    <w:rsid w:val="00FA4128"/>
    <w:rsid w:val="00FA48D4"/>
    <w:rsid w:val="00FA5741"/>
    <w:rsid w:val="00FA59D5"/>
    <w:rsid w:val="00FA5F3E"/>
    <w:rsid w:val="00FA64E7"/>
    <w:rsid w:val="00FA68A9"/>
    <w:rsid w:val="00FA699C"/>
    <w:rsid w:val="00FA790B"/>
    <w:rsid w:val="00FB069F"/>
    <w:rsid w:val="00FB12A3"/>
    <w:rsid w:val="00FB232D"/>
    <w:rsid w:val="00FB309A"/>
    <w:rsid w:val="00FB42C5"/>
    <w:rsid w:val="00FB4698"/>
    <w:rsid w:val="00FB4A07"/>
    <w:rsid w:val="00FB4B30"/>
    <w:rsid w:val="00FB4F58"/>
    <w:rsid w:val="00FB55EC"/>
    <w:rsid w:val="00FB7540"/>
    <w:rsid w:val="00FB7E22"/>
    <w:rsid w:val="00FC0BD8"/>
    <w:rsid w:val="00FC1466"/>
    <w:rsid w:val="00FC2245"/>
    <w:rsid w:val="00FC2650"/>
    <w:rsid w:val="00FC323F"/>
    <w:rsid w:val="00FC3358"/>
    <w:rsid w:val="00FC3384"/>
    <w:rsid w:val="00FC385F"/>
    <w:rsid w:val="00FC5AA2"/>
    <w:rsid w:val="00FC6508"/>
    <w:rsid w:val="00FC6682"/>
    <w:rsid w:val="00FC6B2E"/>
    <w:rsid w:val="00FC6D61"/>
    <w:rsid w:val="00FC7147"/>
    <w:rsid w:val="00FC7885"/>
    <w:rsid w:val="00FC791B"/>
    <w:rsid w:val="00FD1838"/>
    <w:rsid w:val="00FD1A9E"/>
    <w:rsid w:val="00FD1B8E"/>
    <w:rsid w:val="00FD2603"/>
    <w:rsid w:val="00FD28A2"/>
    <w:rsid w:val="00FD65D8"/>
    <w:rsid w:val="00FD6E72"/>
    <w:rsid w:val="00FD72FD"/>
    <w:rsid w:val="00FD7CF2"/>
    <w:rsid w:val="00FD7FE0"/>
    <w:rsid w:val="00FE0936"/>
    <w:rsid w:val="00FE0B95"/>
    <w:rsid w:val="00FE1604"/>
    <w:rsid w:val="00FE1FA8"/>
    <w:rsid w:val="00FE28CC"/>
    <w:rsid w:val="00FE2D1C"/>
    <w:rsid w:val="00FE301D"/>
    <w:rsid w:val="00FE33C2"/>
    <w:rsid w:val="00FE3DB1"/>
    <w:rsid w:val="00FE408D"/>
    <w:rsid w:val="00FE56C6"/>
    <w:rsid w:val="00FE5DBD"/>
    <w:rsid w:val="00FE5F00"/>
    <w:rsid w:val="00FE608B"/>
    <w:rsid w:val="00FE620A"/>
    <w:rsid w:val="00FE6D59"/>
    <w:rsid w:val="00FE6DC0"/>
    <w:rsid w:val="00FE7CAF"/>
    <w:rsid w:val="00FE7E49"/>
    <w:rsid w:val="00FF21A0"/>
    <w:rsid w:val="00FF2432"/>
    <w:rsid w:val="00FF2BB9"/>
    <w:rsid w:val="00FF4194"/>
    <w:rsid w:val="00FF4907"/>
    <w:rsid w:val="00FF5979"/>
    <w:rsid w:val="00FF63CD"/>
    <w:rsid w:val="00FF6455"/>
    <w:rsid w:val="00FF6832"/>
    <w:rsid w:val="00FF6D35"/>
    <w:rsid w:val="00FF6FC8"/>
    <w:rsid w:val="00FF7C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36"/>
    <w:rPr>
      <w:lang w:val="es-ES_tradnl"/>
    </w:rPr>
  </w:style>
  <w:style w:type="paragraph" w:styleId="Ttulo1">
    <w:name w:val="heading 1"/>
    <w:basedOn w:val="Normal"/>
    <w:next w:val="Normal"/>
    <w:qFormat/>
    <w:pPr>
      <w:keepNext/>
      <w:framePr w:w="3870" w:h="348" w:hSpace="141" w:wrap="around" w:vAnchor="text" w:hAnchor="page" w:x="6784" w:y="128"/>
      <w:outlineLvl w:val="0"/>
    </w:pPr>
    <w:rPr>
      <w:rFonts w:ascii="Lucida Sans" w:hAnsi="Lucida Sans"/>
      <w:b/>
      <w:color w:val="808080"/>
      <w:sz w:val="28"/>
      <w:szCs w:val="28"/>
    </w:rPr>
  </w:style>
  <w:style w:type="paragraph" w:styleId="Ttulo2">
    <w:name w:val="heading 2"/>
    <w:basedOn w:val="Normal"/>
    <w:next w:val="Normal"/>
    <w:qFormat/>
    <w:pPr>
      <w:keepNext/>
      <w:tabs>
        <w:tab w:val="right" w:pos="8222"/>
      </w:tabs>
      <w:ind w:left="3402" w:right="992"/>
      <w:jc w:val="both"/>
      <w:outlineLvl w:val="1"/>
    </w:pPr>
    <w:rPr>
      <w:b/>
      <w:sz w:val="24"/>
    </w:rPr>
  </w:style>
  <w:style w:type="paragraph" w:styleId="Ttulo3">
    <w:name w:val="heading 3"/>
    <w:basedOn w:val="Normal"/>
    <w:next w:val="Normal"/>
    <w:qFormat/>
    <w:pPr>
      <w:keepNext/>
      <w:tabs>
        <w:tab w:val="center" w:pos="1843"/>
        <w:tab w:val="center" w:pos="5387"/>
        <w:tab w:val="center" w:pos="5812"/>
        <w:tab w:val="left" w:pos="7655"/>
      </w:tabs>
      <w:ind w:left="426"/>
      <w:jc w:val="both"/>
      <w:outlineLvl w:val="2"/>
    </w:pPr>
    <w:rPr>
      <w:sz w:val="24"/>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tabs>
        <w:tab w:val="center" w:pos="1843"/>
        <w:tab w:val="center" w:pos="5671"/>
        <w:tab w:val="center" w:pos="7797"/>
      </w:tabs>
      <w:overflowPunct w:val="0"/>
      <w:autoSpaceDE w:val="0"/>
      <w:autoSpaceDN w:val="0"/>
      <w:adjustRightInd w:val="0"/>
      <w:ind w:firstLine="567"/>
      <w:jc w:val="both"/>
      <w:textAlignment w:val="baseline"/>
      <w:outlineLvl w:val="4"/>
    </w:pPr>
    <w:rPr>
      <w:bCs/>
      <w:sz w:val="28"/>
    </w:rPr>
  </w:style>
  <w:style w:type="paragraph" w:styleId="Ttulo6">
    <w:name w:val="heading 6"/>
    <w:basedOn w:val="Normal"/>
    <w:next w:val="Normal"/>
    <w:qFormat/>
    <w:pPr>
      <w:keepNext/>
      <w:tabs>
        <w:tab w:val="right" w:pos="8364"/>
      </w:tabs>
      <w:overflowPunct w:val="0"/>
      <w:autoSpaceDE w:val="0"/>
      <w:autoSpaceDN w:val="0"/>
      <w:adjustRightInd w:val="0"/>
      <w:spacing w:before="240"/>
      <w:ind w:left="567" w:right="992"/>
      <w:jc w:val="both"/>
      <w:textAlignment w:val="baseline"/>
      <w:outlineLvl w:val="5"/>
    </w:pPr>
    <w:rPr>
      <w:sz w:val="24"/>
    </w:rPr>
  </w:style>
  <w:style w:type="paragraph" w:styleId="Ttulo7">
    <w:name w:val="heading 7"/>
    <w:basedOn w:val="Normal"/>
    <w:next w:val="Normal"/>
    <w:qFormat/>
    <w:pPr>
      <w:keepNext/>
      <w:tabs>
        <w:tab w:val="left" w:pos="1985"/>
        <w:tab w:val="right" w:pos="8364"/>
      </w:tabs>
      <w:overflowPunct w:val="0"/>
      <w:autoSpaceDE w:val="0"/>
      <w:autoSpaceDN w:val="0"/>
      <w:adjustRightInd w:val="0"/>
      <w:spacing w:before="360"/>
      <w:ind w:left="851"/>
      <w:jc w:val="both"/>
      <w:textAlignment w:val="baseline"/>
      <w:outlineLvl w:val="6"/>
    </w:pPr>
    <w:rPr>
      <w:sz w:val="24"/>
    </w:rPr>
  </w:style>
  <w:style w:type="paragraph" w:styleId="Ttulo8">
    <w:name w:val="heading 8"/>
    <w:basedOn w:val="Normal"/>
    <w:next w:val="Normal"/>
    <w:qFormat/>
    <w:pPr>
      <w:keepNext/>
      <w:tabs>
        <w:tab w:val="right" w:pos="8364"/>
      </w:tabs>
      <w:spacing w:before="120"/>
      <w:ind w:left="567" w:right="426"/>
      <w:jc w:val="both"/>
      <w:outlineLvl w:val="7"/>
    </w:pPr>
    <w:rPr>
      <w:bCs/>
      <w:sz w:val="24"/>
    </w:rPr>
  </w:style>
  <w:style w:type="paragraph" w:styleId="Ttulo9">
    <w:name w:val="heading 9"/>
    <w:basedOn w:val="Normal"/>
    <w:next w:val="Normal"/>
    <w:qFormat/>
    <w:pPr>
      <w:keepNext/>
      <w:tabs>
        <w:tab w:val="right" w:pos="8222"/>
      </w:tabs>
      <w:overflowPunct w:val="0"/>
      <w:autoSpaceDE w:val="0"/>
      <w:autoSpaceDN w:val="0"/>
      <w:adjustRightInd w:val="0"/>
      <w:spacing w:before="240"/>
      <w:ind w:left="568" w:right="850"/>
      <w:jc w:val="both"/>
      <w:textAlignment w:val="baseline"/>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paragraph" w:styleId="Encabezado">
    <w:name w:val="header"/>
    <w:basedOn w:val="Normal"/>
    <w:semiHidden/>
    <w:pPr>
      <w:tabs>
        <w:tab w:val="center" w:pos="4819"/>
        <w:tab w:val="right" w:pos="9071"/>
      </w:tabs>
    </w:pPr>
  </w:style>
  <w:style w:type="character" w:styleId="Hipervnculo">
    <w:name w:val="Hyperlink"/>
    <w:uiPriority w:val="99"/>
    <w:semiHidden/>
    <w:rPr>
      <w:color w:val="FF0000"/>
      <w:u w:val="single"/>
    </w:rPr>
  </w:style>
  <w:style w:type="paragraph" w:styleId="Encabezadodemensaje">
    <w:name w:val="Message Header"/>
    <w:basedOn w:val="Textoindependiente"/>
    <w:semiHidden/>
    <w:pPr>
      <w:keepLines/>
      <w:tabs>
        <w:tab w:val="left" w:pos="720"/>
        <w:tab w:val="left" w:pos="4320"/>
        <w:tab w:val="left" w:pos="5040"/>
        <w:tab w:val="right" w:pos="8640"/>
      </w:tabs>
      <w:spacing w:after="40" w:line="440" w:lineRule="atLeast"/>
      <w:ind w:left="720" w:hanging="720"/>
    </w:pPr>
    <w:rPr>
      <w:rFonts w:ascii="Arial" w:hAnsi="Arial"/>
      <w:spacing w:val="-5"/>
      <w:lang w:val="es-ES" w:eastAsia="en-US"/>
    </w:rPr>
  </w:style>
  <w:style w:type="paragraph" w:styleId="Textoindependiente">
    <w:name w:val="Body Text"/>
    <w:basedOn w:val="Normal"/>
    <w:semiHidden/>
    <w:pPr>
      <w:spacing w:after="120"/>
    </w:pPr>
  </w:style>
  <w:style w:type="paragraph" w:customStyle="1" w:styleId="Encabezadodemensaje-primera">
    <w:name w:val="Encabezado de mensaje - primera"/>
    <w:basedOn w:val="Encabezadodemensaje"/>
    <w:next w:val="Encabezadodemensaje"/>
  </w:style>
  <w:style w:type="character" w:styleId="Textoennegrita">
    <w:name w:val="Strong"/>
    <w:qFormat/>
    <w:rPr>
      <w:b/>
      <w:bCs/>
      <w:lang w:val="es-ES" w:bidi="ar-SA"/>
    </w:rPr>
  </w:style>
  <w:style w:type="character" w:styleId="Nmerodepgina">
    <w:name w:val="page number"/>
    <w:basedOn w:val="Fuentedeprrafopredeter"/>
    <w:semiHidden/>
  </w:style>
  <w:style w:type="paragraph" w:styleId="Sangradetextonormal">
    <w:name w:val="Body Text Indent"/>
    <w:basedOn w:val="Normal"/>
    <w:semiHidden/>
    <w:pPr>
      <w:tabs>
        <w:tab w:val="right" w:pos="8364"/>
      </w:tabs>
      <w:overflowPunct w:val="0"/>
      <w:autoSpaceDE w:val="0"/>
      <w:autoSpaceDN w:val="0"/>
      <w:adjustRightInd w:val="0"/>
      <w:ind w:firstLine="567"/>
      <w:jc w:val="both"/>
      <w:textAlignment w:val="baseline"/>
    </w:pPr>
    <w:rPr>
      <w:sz w:val="24"/>
    </w:rPr>
  </w:style>
  <w:style w:type="paragraph" w:styleId="Sangra3detindependiente">
    <w:name w:val="Body Text Indent 3"/>
    <w:basedOn w:val="Normal"/>
    <w:link w:val="Sangra3detindependienteCar"/>
    <w:semiHidden/>
    <w:pPr>
      <w:tabs>
        <w:tab w:val="center" w:pos="5671"/>
        <w:tab w:val="center" w:pos="7797"/>
      </w:tabs>
      <w:ind w:firstLine="540"/>
      <w:jc w:val="both"/>
    </w:pPr>
    <w:rPr>
      <w:sz w:val="24"/>
      <w:szCs w:val="24"/>
    </w:rPr>
  </w:style>
  <w:style w:type="paragraph" w:styleId="Sangra2detindependiente">
    <w:name w:val="Body Text Indent 2"/>
    <w:basedOn w:val="Normal"/>
    <w:link w:val="Sangra2detindependienteCar"/>
    <w:semiHidden/>
    <w:pPr>
      <w:tabs>
        <w:tab w:val="center" w:pos="1843"/>
        <w:tab w:val="center" w:pos="5671"/>
        <w:tab w:val="center" w:pos="7797"/>
      </w:tabs>
      <w:ind w:firstLine="568"/>
      <w:jc w:val="both"/>
    </w:pPr>
    <w:rPr>
      <w:sz w:val="24"/>
    </w:rPr>
  </w:style>
  <w:style w:type="paragraph" w:customStyle="1" w:styleId="xl28">
    <w:name w:val="xl28"/>
    <w:basedOn w:val="Normal"/>
    <w:pPr>
      <w:spacing w:before="100" w:beforeAutospacing="1" w:after="100" w:afterAutospacing="1"/>
    </w:pPr>
    <w:rPr>
      <w:rFonts w:ascii="Arial" w:eastAsia="Arial Unicode MS" w:hAnsi="Arial" w:cs="Arial"/>
      <w:sz w:val="14"/>
      <w:szCs w:val="14"/>
      <w:lang w:val="es-ES"/>
    </w:rPr>
  </w:style>
  <w:style w:type="paragraph" w:styleId="Epgrafe">
    <w:name w:val="caption"/>
    <w:basedOn w:val="Normal"/>
    <w:next w:val="Normal"/>
    <w:qFormat/>
    <w:rPr>
      <w:b/>
      <w:bCs/>
      <w:sz w:val="28"/>
      <w:u w:val="single"/>
    </w:rPr>
  </w:style>
  <w:style w:type="paragraph" w:styleId="Textoindependiente2">
    <w:name w:val="Body Text 2"/>
    <w:basedOn w:val="Normal"/>
    <w:semiHidden/>
    <w:pPr>
      <w:tabs>
        <w:tab w:val="right" w:pos="8364"/>
      </w:tabs>
      <w:jc w:val="both"/>
    </w:pPr>
    <w:rPr>
      <w:bCs/>
      <w:sz w:val="24"/>
      <w:szCs w:val="24"/>
    </w:rPr>
  </w:style>
  <w:style w:type="paragraph" w:styleId="NormalWeb">
    <w:name w:val="Normal (Web)"/>
    <w:basedOn w:val="Normal"/>
    <w:uiPriority w:val="99"/>
    <w:semiHidden/>
    <w:pPr>
      <w:suppressAutoHyphens/>
      <w:spacing w:before="280" w:after="280"/>
    </w:pPr>
    <w:rPr>
      <w:sz w:val="24"/>
      <w:szCs w:val="24"/>
      <w:lang w:eastAsia="ar-SA"/>
    </w:rPr>
  </w:style>
  <w:style w:type="paragraph" w:customStyle="1" w:styleId="ListParagraph1">
    <w:name w:val="List Paragraph1"/>
    <w:basedOn w:val="Normal"/>
    <w:qFormat/>
    <w:pPr>
      <w:ind w:left="720"/>
    </w:p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s-ES_tradnl"/>
    </w:rPr>
  </w:style>
  <w:style w:type="paragraph" w:customStyle="1" w:styleId="BSFigures">
    <w:name w:val="BS Figures"/>
    <w:pPr>
      <w:widowControl w:val="0"/>
      <w:autoSpaceDE w:val="0"/>
      <w:autoSpaceDN w:val="0"/>
      <w:adjustRightInd w:val="0"/>
      <w:ind w:left="113" w:right="113"/>
      <w:jc w:val="right"/>
    </w:pPr>
    <w:rPr>
      <w:color w:val="000000"/>
      <w:sz w:val="18"/>
      <w:szCs w:val="18"/>
    </w:rPr>
  </w:style>
  <w:style w:type="paragraph" w:customStyle="1" w:styleId="Body2">
    <w:name w:val="Body2"/>
    <w:pPr>
      <w:keepLines/>
      <w:widowControl w:val="0"/>
      <w:autoSpaceDE w:val="0"/>
      <w:autoSpaceDN w:val="0"/>
      <w:adjustRightInd w:val="0"/>
      <w:spacing w:before="238"/>
      <w:ind w:left="1417" w:hanging="226"/>
      <w:jc w:val="both"/>
    </w:pPr>
    <w:rPr>
      <w:color w:val="000000"/>
      <w:sz w:val="22"/>
      <w:szCs w:val="22"/>
    </w:rPr>
  </w:style>
  <w:style w:type="paragraph" w:customStyle="1" w:styleId="Body3">
    <w:name w:val="Body3"/>
    <w:pPr>
      <w:keepLines/>
      <w:widowControl w:val="0"/>
      <w:autoSpaceDE w:val="0"/>
      <w:autoSpaceDN w:val="0"/>
      <w:adjustRightInd w:val="0"/>
      <w:spacing w:before="238"/>
      <w:ind w:left="1559" w:hanging="226"/>
      <w:jc w:val="both"/>
    </w:pPr>
    <w:rPr>
      <w:color w:val="000000"/>
      <w:sz w:val="22"/>
      <w:szCs w:val="22"/>
    </w:rPr>
  </w:style>
  <w:style w:type="paragraph" w:customStyle="1" w:styleId="Footer2">
    <w:name w:val="Footer2"/>
    <w:pPr>
      <w:widowControl w:val="0"/>
      <w:autoSpaceDE w:val="0"/>
      <w:autoSpaceDN w:val="0"/>
      <w:adjustRightInd w:val="0"/>
      <w:jc w:val="right"/>
    </w:pPr>
    <w:rPr>
      <w:color w:val="000000"/>
      <w:sz w:val="22"/>
      <w:szCs w:val="22"/>
    </w:rPr>
  </w:style>
  <w:style w:type="paragraph" w:customStyle="1" w:styleId="Memhead">
    <w:name w:val="Mem head"/>
    <w:pPr>
      <w:widowControl w:val="0"/>
      <w:autoSpaceDE w:val="0"/>
      <w:autoSpaceDN w:val="0"/>
      <w:adjustRightInd w:val="0"/>
      <w:jc w:val="center"/>
    </w:pPr>
    <w:rPr>
      <w:color w:val="000000"/>
      <w:sz w:val="22"/>
      <w:szCs w:val="22"/>
    </w:rPr>
  </w:style>
  <w:style w:type="paragraph" w:customStyle="1" w:styleId="Memheadspace">
    <w:name w:val="Mem head space"/>
    <w:pPr>
      <w:widowControl w:val="0"/>
      <w:autoSpaceDE w:val="0"/>
      <w:autoSpaceDN w:val="0"/>
      <w:adjustRightInd w:val="0"/>
      <w:spacing w:before="119"/>
      <w:jc w:val="center"/>
    </w:pPr>
    <w:rPr>
      <w:color w:val="000000"/>
      <w:sz w:val="22"/>
      <w:szCs w:val="22"/>
    </w:rPr>
  </w:style>
  <w:style w:type="character" w:customStyle="1" w:styleId="BodyTextChar">
    <w:name w:val="Body Text Char"/>
    <w:semiHidden/>
    <w:rPr>
      <w:lang w:val="es-ES_tradnl" w:eastAsia="es-ES"/>
    </w:rPr>
  </w:style>
  <w:style w:type="paragraph" w:styleId="Textodeglobo">
    <w:name w:val="Balloon Text"/>
    <w:basedOn w:val="Normal"/>
    <w:link w:val="TextodegloboCar"/>
    <w:uiPriority w:val="99"/>
    <w:semiHidden/>
    <w:unhideWhenUsed/>
    <w:rsid w:val="00490E9C"/>
    <w:rPr>
      <w:rFonts w:ascii="Tahoma" w:hAnsi="Tahoma"/>
      <w:sz w:val="16"/>
      <w:szCs w:val="16"/>
      <w:lang w:val="x-none"/>
    </w:rPr>
  </w:style>
  <w:style w:type="character" w:customStyle="1" w:styleId="TextodegloboCar">
    <w:name w:val="Texto de globo Car"/>
    <w:link w:val="Textodeglobo"/>
    <w:uiPriority w:val="99"/>
    <w:semiHidden/>
    <w:rsid w:val="00490E9C"/>
    <w:rPr>
      <w:rFonts w:ascii="Tahoma" w:hAnsi="Tahoma" w:cs="Tahoma"/>
      <w:sz w:val="16"/>
      <w:szCs w:val="16"/>
      <w:lang w:eastAsia="es-ES"/>
    </w:rPr>
  </w:style>
  <w:style w:type="table" w:styleId="Tablaconcuadrcula">
    <w:name w:val="Table Grid"/>
    <w:basedOn w:val="Tablanormal"/>
    <w:uiPriority w:val="59"/>
    <w:rsid w:val="007F1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4432"/>
    <w:pPr>
      <w:ind w:left="708"/>
    </w:pPr>
  </w:style>
  <w:style w:type="character" w:customStyle="1" w:styleId="Sangra2detindependienteCar">
    <w:name w:val="Sangría 2 de t. independiente Car"/>
    <w:link w:val="Sangra2detindependiente"/>
    <w:semiHidden/>
    <w:rsid w:val="00E90A55"/>
    <w:rPr>
      <w:sz w:val="24"/>
      <w:lang w:val="es-ES_tradnl"/>
    </w:rPr>
  </w:style>
  <w:style w:type="paragraph" w:styleId="Revisin">
    <w:name w:val="Revision"/>
    <w:hidden/>
    <w:uiPriority w:val="99"/>
    <w:semiHidden/>
    <w:rsid w:val="0020324A"/>
    <w:rPr>
      <w:lang w:val="es-ES_tradnl"/>
    </w:rPr>
  </w:style>
  <w:style w:type="character" w:customStyle="1" w:styleId="Sangra3detindependienteCar">
    <w:name w:val="Sangría 3 de t. independiente Car"/>
    <w:basedOn w:val="Fuentedeprrafopredeter"/>
    <w:link w:val="Sangra3detindependiente"/>
    <w:semiHidden/>
    <w:rsid w:val="00357986"/>
    <w:rPr>
      <w:sz w:val="24"/>
      <w:szCs w:val="24"/>
      <w:lang w:val="es-ES_tradnl"/>
    </w:rPr>
  </w:style>
  <w:style w:type="paragraph" w:styleId="TtulodeTDC">
    <w:name w:val="TOC Heading"/>
    <w:basedOn w:val="Ttulo1"/>
    <w:next w:val="Normal"/>
    <w:uiPriority w:val="39"/>
    <w:semiHidden/>
    <w:unhideWhenUsed/>
    <w:qFormat/>
    <w:rsid w:val="007411C0"/>
    <w:pPr>
      <w:keepLines/>
      <w:framePr w:w="0" w:hRule="auto" w:hSpace="0" w:wrap="auto" w:vAnchor="margin" w:hAnchor="text" w:xAlign="left" w:yAlign="inline"/>
      <w:spacing w:before="480" w:line="276" w:lineRule="auto"/>
      <w:outlineLvl w:val="9"/>
    </w:pPr>
    <w:rPr>
      <w:rFonts w:asciiTheme="majorHAnsi" w:eastAsiaTheme="majorEastAsia" w:hAnsiTheme="majorHAnsi" w:cstheme="majorBidi"/>
      <w:bCs/>
      <w:color w:val="365F91" w:themeColor="accent1" w:themeShade="BF"/>
      <w:lang w:val="es-ES"/>
    </w:rPr>
  </w:style>
  <w:style w:type="paragraph" w:customStyle="1" w:styleId="Default">
    <w:name w:val="Default"/>
    <w:rsid w:val="00E775E1"/>
    <w:pPr>
      <w:autoSpaceDE w:val="0"/>
      <w:autoSpaceDN w:val="0"/>
      <w:adjustRightInd w:val="0"/>
    </w:pPr>
    <w:rPr>
      <w:color w:val="000000"/>
      <w:sz w:val="24"/>
      <w:szCs w:val="24"/>
    </w:rPr>
  </w:style>
  <w:style w:type="character" w:styleId="Hipervnculovisitado">
    <w:name w:val="FollowedHyperlink"/>
    <w:basedOn w:val="Fuentedeprrafopredeter"/>
    <w:uiPriority w:val="99"/>
    <w:semiHidden/>
    <w:unhideWhenUsed/>
    <w:rsid w:val="00507DEF"/>
    <w:rPr>
      <w:color w:val="800080"/>
      <w:u w:val="single"/>
    </w:rPr>
  </w:style>
  <w:style w:type="paragraph" w:customStyle="1" w:styleId="xl65">
    <w:name w:val="xl65"/>
    <w:basedOn w:val="Normal"/>
    <w:rsid w:val="00507DEF"/>
    <w:pPr>
      <w:spacing w:before="100" w:beforeAutospacing="1" w:after="100" w:afterAutospacing="1"/>
    </w:pPr>
    <w:rPr>
      <w:rFonts w:ascii="Lucida Bright" w:hAnsi="Lucida Bright"/>
      <w:sz w:val="16"/>
      <w:szCs w:val="16"/>
      <w:lang w:val="es-ES"/>
    </w:rPr>
  </w:style>
  <w:style w:type="paragraph" w:customStyle="1" w:styleId="xl66">
    <w:name w:val="xl66"/>
    <w:basedOn w:val="Normal"/>
    <w:rsid w:val="00507DEF"/>
    <w:pPr>
      <w:spacing w:before="100" w:beforeAutospacing="1" w:after="100" w:afterAutospacing="1"/>
    </w:pPr>
    <w:rPr>
      <w:rFonts w:ascii="Lucida Bright" w:hAnsi="Lucida Bright"/>
      <w:b/>
      <w:bCs/>
      <w:sz w:val="16"/>
      <w:szCs w:val="16"/>
      <w:lang w:val="es-ES"/>
    </w:rPr>
  </w:style>
  <w:style w:type="paragraph" w:customStyle="1" w:styleId="xl67">
    <w:name w:val="xl67"/>
    <w:basedOn w:val="Normal"/>
    <w:rsid w:val="00507DEF"/>
    <w:pPr>
      <w:pBdr>
        <w:left w:val="single" w:sz="8" w:space="0" w:color="auto"/>
      </w:pBdr>
      <w:spacing w:before="100" w:beforeAutospacing="1" w:after="100" w:afterAutospacing="1"/>
    </w:pPr>
    <w:rPr>
      <w:rFonts w:ascii="Lucida Bright" w:hAnsi="Lucida Bright"/>
      <w:sz w:val="14"/>
      <w:szCs w:val="14"/>
      <w:lang w:val="es-ES"/>
    </w:rPr>
  </w:style>
  <w:style w:type="paragraph" w:customStyle="1" w:styleId="xl68">
    <w:name w:val="xl68"/>
    <w:basedOn w:val="Normal"/>
    <w:rsid w:val="00507DEF"/>
    <w:pPr>
      <w:pBdr>
        <w:top w:val="single" w:sz="8" w:space="0" w:color="auto"/>
        <w:lef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69">
    <w:name w:val="xl69"/>
    <w:basedOn w:val="Normal"/>
    <w:rsid w:val="00507DEF"/>
    <w:pPr>
      <w:pBdr>
        <w:top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0">
    <w:name w:val="xl70"/>
    <w:basedOn w:val="Normal"/>
    <w:rsid w:val="00507DEF"/>
    <w:pPr>
      <w:pBdr>
        <w:top w:val="single" w:sz="8" w:space="0" w:color="auto"/>
        <w:righ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1">
    <w:name w:val="xl71"/>
    <w:basedOn w:val="Normal"/>
    <w:rsid w:val="00507DEF"/>
    <w:pPr>
      <w:pBdr>
        <w:left w:val="single" w:sz="8" w:space="0" w:color="auto"/>
        <w:bottom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2">
    <w:name w:val="xl72"/>
    <w:basedOn w:val="Normal"/>
    <w:rsid w:val="00507DEF"/>
    <w:pPr>
      <w:pBdr>
        <w:bottom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3">
    <w:name w:val="xl73"/>
    <w:basedOn w:val="Normal"/>
    <w:rsid w:val="00507DEF"/>
    <w:pPr>
      <w:pBdr>
        <w:bottom w:val="single" w:sz="8" w:space="0" w:color="auto"/>
        <w:righ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4">
    <w:name w:val="xl74"/>
    <w:basedOn w:val="Normal"/>
    <w:rsid w:val="00507DEF"/>
    <w:pPr>
      <w:pBdr>
        <w:top w:val="single" w:sz="8" w:space="0" w:color="auto"/>
        <w:left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5">
    <w:name w:val="xl75"/>
    <w:basedOn w:val="Normal"/>
    <w:rsid w:val="00507DEF"/>
    <w:pPr>
      <w:pBdr>
        <w:top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6">
    <w:name w:val="xl76"/>
    <w:basedOn w:val="Normal"/>
    <w:rsid w:val="00507DEF"/>
    <w:pPr>
      <w:pBdr>
        <w:top w:val="single" w:sz="8" w:space="0" w:color="auto"/>
        <w:left w:val="single" w:sz="8" w:space="0" w:color="auto"/>
        <w:bottom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7">
    <w:name w:val="xl77"/>
    <w:basedOn w:val="Normal"/>
    <w:rsid w:val="00507DEF"/>
    <w:pPr>
      <w:pBdr>
        <w:left w:val="single" w:sz="8" w:space="0" w:color="auto"/>
      </w:pBdr>
      <w:spacing w:before="100" w:beforeAutospacing="1" w:after="100" w:afterAutospacing="1"/>
    </w:pPr>
    <w:rPr>
      <w:rFonts w:ascii="Lucida Bright" w:hAnsi="Lucida Bright"/>
      <w:sz w:val="14"/>
      <w:szCs w:val="14"/>
      <w:lang w:val="es-ES"/>
    </w:rPr>
  </w:style>
  <w:style w:type="paragraph" w:customStyle="1" w:styleId="xl78">
    <w:name w:val="xl78"/>
    <w:basedOn w:val="Normal"/>
    <w:rsid w:val="00507DEF"/>
    <w:pPr>
      <w:spacing w:before="100" w:beforeAutospacing="1" w:after="100" w:afterAutospacing="1"/>
    </w:pPr>
    <w:rPr>
      <w:rFonts w:ascii="Lucida Bright" w:hAnsi="Lucida Bright"/>
      <w:b/>
      <w:bCs/>
      <w:sz w:val="14"/>
      <w:szCs w:val="14"/>
      <w:lang w:val="es-ES"/>
    </w:rPr>
  </w:style>
  <w:style w:type="paragraph" w:customStyle="1" w:styleId="xl79">
    <w:name w:val="xl79"/>
    <w:basedOn w:val="Normal"/>
    <w:rsid w:val="00507DEF"/>
    <w:pPr>
      <w:spacing w:before="100" w:beforeAutospacing="1" w:after="100" w:afterAutospacing="1"/>
    </w:pPr>
    <w:rPr>
      <w:rFonts w:ascii="Lucida Bright" w:hAnsi="Lucida Bright"/>
      <w:sz w:val="14"/>
      <w:szCs w:val="14"/>
      <w:lang w:val="es-ES"/>
    </w:rPr>
  </w:style>
  <w:style w:type="paragraph" w:customStyle="1" w:styleId="xl80">
    <w:name w:val="xl8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81">
    <w:name w:val="xl81"/>
    <w:basedOn w:val="Normal"/>
    <w:rsid w:val="00507DEF"/>
    <w:pPr>
      <w:pBdr>
        <w:left w:val="single" w:sz="8" w:space="0" w:color="auto"/>
        <w:right w:val="single" w:sz="4" w:space="0" w:color="auto"/>
      </w:pBdr>
      <w:spacing w:before="100" w:beforeAutospacing="1" w:after="100" w:afterAutospacing="1"/>
      <w:textAlignment w:val="center"/>
    </w:pPr>
    <w:rPr>
      <w:rFonts w:ascii="Lucida Bright" w:hAnsi="Lucida Bright"/>
      <w:sz w:val="14"/>
      <w:szCs w:val="14"/>
      <w:lang w:val="es-ES"/>
    </w:rPr>
  </w:style>
  <w:style w:type="paragraph" w:customStyle="1" w:styleId="xl82">
    <w:name w:val="xl82"/>
    <w:basedOn w:val="Normal"/>
    <w:rsid w:val="00507DEF"/>
    <w:pPr>
      <w:pBdr>
        <w:left w:val="single" w:sz="4"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 w:type="paragraph" w:customStyle="1" w:styleId="xl83">
    <w:name w:val="xl83"/>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4">
    <w:name w:val="xl84"/>
    <w:basedOn w:val="Normal"/>
    <w:rsid w:val="00507DEF"/>
    <w:pPr>
      <w:pBdr>
        <w:left w:val="single" w:sz="8" w:space="0" w:color="auto"/>
      </w:pBdr>
      <w:spacing w:before="100" w:beforeAutospacing="1" w:after="100" w:afterAutospacing="1"/>
      <w:jc w:val="right"/>
      <w:textAlignment w:val="center"/>
    </w:pPr>
    <w:rPr>
      <w:rFonts w:ascii="Lucida Bright" w:hAnsi="Lucida Bright"/>
      <w:sz w:val="14"/>
      <w:szCs w:val="14"/>
      <w:lang w:val="es-ES"/>
    </w:rPr>
  </w:style>
  <w:style w:type="paragraph" w:customStyle="1" w:styleId="xl85">
    <w:name w:val="xl85"/>
    <w:basedOn w:val="Normal"/>
    <w:rsid w:val="00507DEF"/>
    <w:pPr>
      <w:pBdr>
        <w:left w:val="single" w:sz="8" w:space="0" w:color="auto"/>
      </w:pBdr>
      <w:spacing w:before="100" w:beforeAutospacing="1" w:after="100" w:afterAutospacing="1"/>
      <w:jc w:val="right"/>
      <w:textAlignment w:val="center"/>
    </w:pPr>
    <w:rPr>
      <w:rFonts w:ascii="Lucida Bright" w:hAnsi="Lucida Bright"/>
      <w:sz w:val="14"/>
      <w:szCs w:val="14"/>
      <w:lang w:val="es-ES"/>
    </w:rPr>
  </w:style>
  <w:style w:type="paragraph" w:customStyle="1" w:styleId="xl86">
    <w:name w:val="xl86"/>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7">
    <w:name w:val="xl87"/>
    <w:basedOn w:val="Normal"/>
    <w:rsid w:val="00507DEF"/>
    <w:pPr>
      <w:pBdr>
        <w:left w:val="single" w:sz="8" w:space="0" w:color="auto"/>
        <w:bottom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8">
    <w:name w:val="xl88"/>
    <w:basedOn w:val="Normal"/>
    <w:rsid w:val="00507DEF"/>
    <w:pPr>
      <w:pBdr>
        <w:left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89">
    <w:name w:val="xl89"/>
    <w:basedOn w:val="Normal"/>
    <w:rsid w:val="00507DEF"/>
    <w:pPr>
      <w:pBdr>
        <w:left w:val="single" w:sz="8"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 w:type="paragraph" w:customStyle="1" w:styleId="xl90">
    <w:name w:val="xl9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1">
    <w:name w:val="xl91"/>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2">
    <w:name w:val="xl92"/>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3">
    <w:name w:val="xl93"/>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4">
    <w:name w:val="xl94"/>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5">
    <w:name w:val="xl95"/>
    <w:basedOn w:val="Normal"/>
    <w:rsid w:val="00507DEF"/>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96">
    <w:name w:val="xl96"/>
    <w:basedOn w:val="Normal"/>
    <w:rsid w:val="00507DEF"/>
    <w:pPr>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97">
    <w:name w:val="xl97"/>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98">
    <w:name w:val="xl98"/>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9">
    <w:name w:val="xl99"/>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0">
    <w:name w:val="xl10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1">
    <w:name w:val="xl101"/>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2">
    <w:name w:val="xl102"/>
    <w:basedOn w:val="Normal"/>
    <w:rsid w:val="00507DEF"/>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103">
    <w:name w:val="xl103"/>
    <w:basedOn w:val="Normal"/>
    <w:rsid w:val="00507DEF"/>
    <w:pPr>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104">
    <w:name w:val="xl104"/>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5">
    <w:name w:val="xl105"/>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6">
    <w:name w:val="xl106"/>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7">
    <w:name w:val="xl107"/>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8">
    <w:name w:val="xl108"/>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9">
    <w:name w:val="xl109"/>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0">
    <w:name w:val="xl110"/>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1">
    <w:name w:val="xl111"/>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12">
    <w:name w:val="xl112"/>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3">
    <w:name w:val="xl113"/>
    <w:basedOn w:val="Normal"/>
    <w:rsid w:val="007131C1"/>
    <w:pPr>
      <w:pBdr>
        <w:left w:val="single" w:sz="8" w:space="0" w:color="auto"/>
      </w:pBdr>
      <w:spacing w:before="100" w:beforeAutospacing="1" w:after="100" w:afterAutospacing="1"/>
      <w:textAlignment w:val="center"/>
    </w:pPr>
    <w:rPr>
      <w:rFonts w:ascii="Lucida Bright" w:hAnsi="Lucida Bright"/>
      <w:sz w:val="14"/>
      <w:szCs w:val="1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36"/>
    <w:rPr>
      <w:lang w:val="es-ES_tradnl"/>
    </w:rPr>
  </w:style>
  <w:style w:type="paragraph" w:styleId="Ttulo1">
    <w:name w:val="heading 1"/>
    <w:basedOn w:val="Normal"/>
    <w:next w:val="Normal"/>
    <w:qFormat/>
    <w:pPr>
      <w:keepNext/>
      <w:framePr w:w="3870" w:h="348" w:hSpace="141" w:wrap="around" w:vAnchor="text" w:hAnchor="page" w:x="6784" w:y="128"/>
      <w:outlineLvl w:val="0"/>
    </w:pPr>
    <w:rPr>
      <w:rFonts w:ascii="Lucida Sans" w:hAnsi="Lucida Sans"/>
      <w:b/>
      <w:color w:val="808080"/>
      <w:sz w:val="28"/>
      <w:szCs w:val="28"/>
    </w:rPr>
  </w:style>
  <w:style w:type="paragraph" w:styleId="Ttulo2">
    <w:name w:val="heading 2"/>
    <w:basedOn w:val="Normal"/>
    <w:next w:val="Normal"/>
    <w:qFormat/>
    <w:pPr>
      <w:keepNext/>
      <w:tabs>
        <w:tab w:val="right" w:pos="8222"/>
      </w:tabs>
      <w:ind w:left="3402" w:right="992"/>
      <w:jc w:val="both"/>
      <w:outlineLvl w:val="1"/>
    </w:pPr>
    <w:rPr>
      <w:b/>
      <w:sz w:val="24"/>
    </w:rPr>
  </w:style>
  <w:style w:type="paragraph" w:styleId="Ttulo3">
    <w:name w:val="heading 3"/>
    <w:basedOn w:val="Normal"/>
    <w:next w:val="Normal"/>
    <w:qFormat/>
    <w:pPr>
      <w:keepNext/>
      <w:tabs>
        <w:tab w:val="center" w:pos="1843"/>
        <w:tab w:val="center" w:pos="5387"/>
        <w:tab w:val="center" w:pos="5812"/>
        <w:tab w:val="left" w:pos="7655"/>
      </w:tabs>
      <w:ind w:left="426"/>
      <w:jc w:val="both"/>
      <w:outlineLvl w:val="2"/>
    </w:pPr>
    <w:rPr>
      <w:sz w:val="24"/>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tabs>
        <w:tab w:val="center" w:pos="1843"/>
        <w:tab w:val="center" w:pos="5671"/>
        <w:tab w:val="center" w:pos="7797"/>
      </w:tabs>
      <w:overflowPunct w:val="0"/>
      <w:autoSpaceDE w:val="0"/>
      <w:autoSpaceDN w:val="0"/>
      <w:adjustRightInd w:val="0"/>
      <w:ind w:firstLine="567"/>
      <w:jc w:val="both"/>
      <w:textAlignment w:val="baseline"/>
      <w:outlineLvl w:val="4"/>
    </w:pPr>
    <w:rPr>
      <w:bCs/>
      <w:sz w:val="28"/>
    </w:rPr>
  </w:style>
  <w:style w:type="paragraph" w:styleId="Ttulo6">
    <w:name w:val="heading 6"/>
    <w:basedOn w:val="Normal"/>
    <w:next w:val="Normal"/>
    <w:qFormat/>
    <w:pPr>
      <w:keepNext/>
      <w:tabs>
        <w:tab w:val="right" w:pos="8364"/>
      </w:tabs>
      <w:overflowPunct w:val="0"/>
      <w:autoSpaceDE w:val="0"/>
      <w:autoSpaceDN w:val="0"/>
      <w:adjustRightInd w:val="0"/>
      <w:spacing w:before="240"/>
      <w:ind w:left="567" w:right="992"/>
      <w:jc w:val="both"/>
      <w:textAlignment w:val="baseline"/>
      <w:outlineLvl w:val="5"/>
    </w:pPr>
    <w:rPr>
      <w:sz w:val="24"/>
    </w:rPr>
  </w:style>
  <w:style w:type="paragraph" w:styleId="Ttulo7">
    <w:name w:val="heading 7"/>
    <w:basedOn w:val="Normal"/>
    <w:next w:val="Normal"/>
    <w:qFormat/>
    <w:pPr>
      <w:keepNext/>
      <w:tabs>
        <w:tab w:val="left" w:pos="1985"/>
        <w:tab w:val="right" w:pos="8364"/>
      </w:tabs>
      <w:overflowPunct w:val="0"/>
      <w:autoSpaceDE w:val="0"/>
      <w:autoSpaceDN w:val="0"/>
      <w:adjustRightInd w:val="0"/>
      <w:spacing w:before="360"/>
      <w:ind w:left="851"/>
      <w:jc w:val="both"/>
      <w:textAlignment w:val="baseline"/>
      <w:outlineLvl w:val="6"/>
    </w:pPr>
    <w:rPr>
      <w:sz w:val="24"/>
    </w:rPr>
  </w:style>
  <w:style w:type="paragraph" w:styleId="Ttulo8">
    <w:name w:val="heading 8"/>
    <w:basedOn w:val="Normal"/>
    <w:next w:val="Normal"/>
    <w:qFormat/>
    <w:pPr>
      <w:keepNext/>
      <w:tabs>
        <w:tab w:val="right" w:pos="8364"/>
      </w:tabs>
      <w:spacing w:before="120"/>
      <w:ind w:left="567" w:right="426"/>
      <w:jc w:val="both"/>
      <w:outlineLvl w:val="7"/>
    </w:pPr>
    <w:rPr>
      <w:bCs/>
      <w:sz w:val="24"/>
    </w:rPr>
  </w:style>
  <w:style w:type="paragraph" w:styleId="Ttulo9">
    <w:name w:val="heading 9"/>
    <w:basedOn w:val="Normal"/>
    <w:next w:val="Normal"/>
    <w:qFormat/>
    <w:pPr>
      <w:keepNext/>
      <w:tabs>
        <w:tab w:val="right" w:pos="8222"/>
      </w:tabs>
      <w:overflowPunct w:val="0"/>
      <w:autoSpaceDE w:val="0"/>
      <w:autoSpaceDN w:val="0"/>
      <w:adjustRightInd w:val="0"/>
      <w:spacing w:before="240"/>
      <w:ind w:left="568" w:right="850"/>
      <w:jc w:val="both"/>
      <w:textAlignment w:val="baseline"/>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paragraph" w:styleId="Encabezado">
    <w:name w:val="header"/>
    <w:basedOn w:val="Normal"/>
    <w:semiHidden/>
    <w:pPr>
      <w:tabs>
        <w:tab w:val="center" w:pos="4819"/>
        <w:tab w:val="right" w:pos="9071"/>
      </w:tabs>
    </w:pPr>
  </w:style>
  <w:style w:type="character" w:styleId="Hipervnculo">
    <w:name w:val="Hyperlink"/>
    <w:uiPriority w:val="99"/>
    <w:semiHidden/>
    <w:rPr>
      <w:color w:val="FF0000"/>
      <w:u w:val="single"/>
    </w:rPr>
  </w:style>
  <w:style w:type="paragraph" w:styleId="Encabezadodemensaje">
    <w:name w:val="Message Header"/>
    <w:basedOn w:val="Textoindependiente"/>
    <w:semiHidden/>
    <w:pPr>
      <w:keepLines/>
      <w:tabs>
        <w:tab w:val="left" w:pos="720"/>
        <w:tab w:val="left" w:pos="4320"/>
        <w:tab w:val="left" w:pos="5040"/>
        <w:tab w:val="right" w:pos="8640"/>
      </w:tabs>
      <w:spacing w:after="40" w:line="440" w:lineRule="atLeast"/>
      <w:ind w:left="720" w:hanging="720"/>
    </w:pPr>
    <w:rPr>
      <w:rFonts w:ascii="Arial" w:hAnsi="Arial"/>
      <w:spacing w:val="-5"/>
      <w:lang w:val="es-ES" w:eastAsia="en-US"/>
    </w:rPr>
  </w:style>
  <w:style w:type="paragraph" w:styleId="Textoindependiente">
    <w:name w:val="Body Text"/>
    <w:basedOn w:val="Normal"/>
    <w:semiHidden/>
    <w:pPr>
      <w:spacing w:after="120"/>
    </w:pPr>
  </w:style>
  <w:style w:type="paragraph" w:customStyle="1" w:styleId="Encabezadodemensaje-primera">
    <w:name w:val="Encabezado de mensaje - primera"/>
    <w:basedOn w:val="Encabezadodemensaje"/>
    <w:next w:val="Encabezadodemensaje"/>
  </w:style>
  <w:style w:type="character" w:styleId="Textoennegrita">
    <w:name w:val="Strong"/>
    <w:qFormat/>
    <w:rPr>
      <w:b/>
      <w:bCs/>
      <w:lang w:val="es-ES" w:bidi="ar-SA"/>
    </w:rPr>
  </w:style>
  <w:style w:type="character" w:styleId="Nmerodepgina">
    <w:name w:val="page number"/>
    <w:basedOn w:val="Fuentedeprrafopredeter"/>
    <w:semiHidden/>
  </w:style>
  <w:style w:type="paragraph" w:styleId="Sangradetextonormal">
    <w:name w:val="Body Text Indent"/>
    <w:basedOn w:val="Normal"/>
    <w:semiHidden/>
    <w:pPr>
      <w:tabs>
        <w:tab w:val="right" w:pos="8364"/>
      </w:tabs>
      <w:overflowPunct w:val="0"/>
      <w:autoSpaceDE w:val="0"/>
      <w:autoSpaceDN w:val="0"/>
      <w:adjustRightInd w:val="0"/>
      <w:ind w:firstLine="567"/>
      <w:jc w:val="both"/>
      <w:textAlignment w:val="baseline"/>
    </w:pPr>
    <w:rPr>
      <w:sz w:val="24"/>
    </w:rPr>
  </w:style>
  <w:style w:type="paragraph" w:styleId="Sangra3detindependiente">
    <w:name w:val="Body Text Indent 3"/>
    <w:basedOn w:val="Normal"/>
    <w:link w:val="Sangra3detindependienteCar"/>
    <w:semiHidden/>
    <w:pPr>
      <w:tabs>
        <w:tab w:val="center" w:pos="5671"/>
        <w:tab w:val="center" w:pos="7797"/>
      </w:tabs>
      <w:ind w:firstLine="540"/>
      <w:jc w:val="both"/>
    </w:pPr>
    <w:rPr>
      <w:sz w:val="24"/>
      <w:szCs w:val="24"/>
    </w:rPr>
  </w:style>
  <w:style w:type="paragraph" w:styleId="Sangra2detindependiente">
    <w:name w:val="Body Text Indent 2"/>
    <w:basedOn w:val="Normal"/>
    <w:link w:val="Sangra2detindependienteCar"/>
    <w:semiHidden/>
    <w:pPr>
      <w:tabs>
        <w:tab w:val="center" w:pos="1843"/>
        <w:tab w:val="center" w:pos="5671"/>
        <w:tab w:val="center" w:pos="7797"/>
      </w:tabs>
      <w:ind w:firstLine="568"/>
      <w:jc w:val="both"/>
    </w:pPr>
    <w:rPr>
      <w:sz w:val="24"/>
    </w:rPr>
  </w:style>
  <w:style w:type="paragraph" w:customStyle="1" w:styleId="xl28">
    <w:name w:val="xl28"/>
    <w:basedOn w:val="Normal"/>
    <w:pPr>
      <w:spacing w:before="100" w:beforeAutospacing="1" w:after="100" w:afterAutospacing="1"/>
    </w:pPr>
    <w:rPr>
      <w:rFonts w:ascii="Arial" w:eastAsia="Arial Unicode MS" w:hAnsi="Arial" w:cs="Arial"/>
      <w:sz w:val="14"/>
      <w:szCs w:val="14"/>
      <w:lang w:val="es-ES"/>
    </w:rPr>
  </w:style>
  <w:style w:type="paragraph" w:styleId="Epgrafe">
    <w:name w:val="caption"/>
    <w:basedOn w:val="Normal"/>
    <w:next w:val="Normal"/>
    <w:qFormat/>
    <w:rPr>
      <w:b/>
      <w:bCs/>
      <w:sz w:val="28"/>
      <w:u w:val="single"/>
    </w:rPr>
  </w:style>
  <w:style w:type="paragraph" w:styleId="Textoindependiente2">
    <w:name w:val="Body Text 2"/>
    <w:basedOn w:val="Normal"/>
    <w:semiHidden/>
    <w:pPr>
      <w:tabs>
        <w:tab w:val="right" w:pos="8364"/>
      </w:tabs>
      <w:jc w:val="both"/>
    </w:pPr>
    <w:rPr>
      <w:bCs/>
      <w:sz w:val="24"/>
      <w:szCs w:val="24"/>
    </w:rPr>
  </w:style>
  <w:style w:type="paragraph" w:styleId="NormalWeb">
    <w:name w:val="Normal (Web)"/>
    <w:basedOn w:val="Normal"/>
    <w:uiPriority w:val="99"/>
    <w:semiHidden/>
    <w:pPr>
      <w:suppressAutoHyphens/>
      <w:spacing w:before="280" w:after="280"/>
    </w:pPr>
    <w:rPr>
      <w:sz w:val="24"/>
      <w:szCs w:val="24"/>
      <w:lang w:eastAsia="ar-SA"/>
    </w:rPr>
  </w:style>
  <w:style w:type="paragraph" w:customStyle="1" w:styleId="ListParagraph1">
    <w:name w:val="List Paragraph1"/>
    <w:basedOn w:val="Normal"/>
    <w:qFormat/>
    <w:pPr>
      <w:ind w:left="720"/>
    </w:p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s-ES_tradnl"/>
    </w:rPr>
  </w:style>
  <w:style w:type="paragraph" w:customStyle="1" w:styleId="BSFigures">
    <w:name w:val="BS Figures"/>
    <w:pPr>
      <w:widowControl w:val="0"/>
      <w:autoSpaceDE w:val="0"/>
      <w:autoSpaceDN w:val="0"/>
      <w:adjustRightInd w:val="0"/>
      <w:ind w:left="113" w:right="113"/>
      <w:jc w:val="right"/>
    </w:pPr>
    <w:rPr>
      <w:color w:val="000000"/>
      <w:sz w:val="18"/>
      <w:szCs w:val="18"/>
    </w:rPr>
  </w:style>
  <w:style w:type="paragraph" w:customStyle="1" w:styleId="Body2">
    <w:name w:val="Body2"/>
    <w:pPr>
      <w:keepLines/>
      <w:widowControl w:val="0"/>
      <w:autoSpaceDE w:val="0"/>
      <w:autoSpaceDN w:val="0"/>
      <w:adjustRightInd w:val="0"/>
      <w:spacing w:before="238"/>
      <w:ind w:left="1417" w:hanging="226"/>
      <w:jc w:val="both"/>
    </w:pPr>
    <w:rPr>
      <w:color w:val="000000"/>
      <w:sz w:val="22"/>
      <w:szCs w:val="22"/>
    </w:rPr>
  </w:style>
  <w:style w:type="paragraph" w:customStyle="1" w:styleId="Body3">
    <w:name w:val="Body3"/>
    <w:pPr>
      <w:keepLines/>
      <w:widowControl w:val="0"/>
      <w:autoSpaceDE w:val="0"/>
      <w:autoSpaceDN w:val="0"/>
      <w:adjustRightInd w:val="0"/>
      <w:spacing w:before="238"/>
      <w:ind w:left="1559" w:hanging="226"/>
      <w:jc w:val="both"/>
    </w:pPr>
    <w:rPr>
      <w:color w:val="000000"/>
      <w:sz w:val="22"/>
      <w:szCs w:val="22"/>
    </w:rPr>
  </w:style>
  <w:style w:type="paragraph" w:customStyle="1" w:styleId="Footer2">
    <w:name w:val="Footer2"/>
    <w:pPr>
      <w:widowControl w:val="0"/>
      <w:autoSpaceDE w:val="0"/>
      <w:autoSpaceDN w:val="0"/>
      <w:adjustRightInd w:val="0"/>
      <w:jc w:val="right"/>
    </w:pPr>
    <w:rPr>
      <w:color w:val="000000"/>
      <w:sz w:val="22"/>
      <w:szCs w:val="22"/>
    </w:rPr>
  </w:style>
  <w:style w:type="paragraph" w:customStyle="1" w:styleId="Memhead">
    <w:name w:val="Mem head"/>
    <w:pPr>
      <w:widowControl w:val="0"/>
      <w:autoSpaceDE w:val="0"/>
      <w:autoSpaceDN w:val="0"/>
      <w:adjustRightInd w:val="0"/>
      <w:jc w:val="center"/>
    </w:pPr>
    <w:rPr>
      <w:color w:val="000000"/>
      <w:sz w:val="22"/>
      <w:szCs w:val="22"/>
    </w:rPr>
  </w:style>
  <w:style w:type="paragraph" w:customStyle="1" w:styleId="Memheadspace">
    <w:name w:val="Mem head space"/>
    <w:pPr>
      <w:widowControl w:val="0"/>
      <w:autoSpaceDE w:val="0"/>
      <w:autoSpaceDN w:val="0"/>
      <w:adjustRightInd w:val="0"/>
      <w:spacing w:before="119"/>
      <w:jc w:val="center"/>
    </w:pPr>
    <w:rPr>
      <w:color w:val="000000"/>
      <w:sz w:val="22"/>
      <w:szCs w:val="22"/>
    </w:rPr>
  </w:style>
  <w:style w:type="character" w:customStyle="1" w:styleId="BodyTextChar">
    <w:name w:val="Body Text Char"/>
    <w:semiHidden/>
    <w:rPr>
      <w:lang w:val="es-ES_tradnl" w:eastAsia="es-ES"/>
    </w:rPr>
  </w:style>
  <w:style w:type="paragraph" w:styleId="Textodeglobo">
    <w:name w:val="Balloon Text"/>
    <w:basedOn w:val="Normal"/>
    <w:link w:val="TextodegloboCar"/>
    <w:uiPriority w:val="99"/>
    <w:semiHidden/>
    <w:unhideWhenUsed/>
    <w:rsid w:val="00490E9C"/>
    <w:rPr>
      <w:rFonts w:ascii="Tahoma" w:hAnsi="Tahoma"/>
      <w:sz w:val="16"/>
      <w:szCs w:val="16"/>
      <w:lang w:val="x-none"/>
    </w:rPr>
  </w:style>
  <w:style w:type="character" w:customStyle="1" w:styleId="TextodegloboCar">
    <w:name w:val="Texto de globo Car"/>
    <w:link w:val="Textodeglobo"/>
    <w:uiPriority w:val="99"/>
    <w:semiHidden/>
    <w:rsid w:val="00490E9C"/>
    <w:rPr>
      <w:rFonts w:ascii="Tahoma" w:hAnsi="Tahoma" w:cs="Tahoma"/>
      <w:sz w:val="16"/>
      <w:szCs w:val="16"/>
      <w:lang w:eastAsia="es-ES"/>
    </w:rPr>
  </w:style>
  <w:style w:type="table" w:styleId="Tablaconcuadrcula">
    <w:name w:val="Table Grid"/>
    <w:basedOn w:val="Tablanormal"/>
    <w:uiPriority w:val="59"/>
    <w:rsid w:val="007F1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64432"/>
    <w:pPr>
      <w:ind w:left="708"/>
    </w:pPr>
  </w:style>
  <w:style w:type="character" w:customStyle="1" w:styleId="Sangra2detindependienteCar">
    <w:name w:val="Sangría 2 de t. independiente Car"/>
    <w:link w:val="Sangra2detindependiente"/>
    <w:semiHidden/>
    <w:rsid w:val="00E90A55"/>
    <w:rPr>
      <w:sz w:val="24"/>
      <w:lang w:val="es-ES_tradnl"/>
    </w:rPr>
  </w:style>
  <w:style w:type="paragraph" w:styleId="Revisin">
    <w:name w:val="Revision"/>
    <w:hidden/>
    <w:uiPriority w:val="99"/>
    <w:semiHidden/>
    <w:rsid w:val="0020324A"/>
    <w:rPr>
      <w:lang w:val="es-ES_tradnl"/>
    </w:rPr>
  </w:style>
  <w:style w:type="character" w:customStyle="1" w:styleId="Sangra3detindependienteCar">
    <w:name w:val="Sangría 3 de t. independiente Car"/>
    <w:basedOn w:val="Fuentedeprrafopredeter"/>
    <w:link w:val="Sangra3detindependiente"/>
    <w:semiHidden/>
    <w:rsid w:val="00357986"/>
    <w:rPr>
      <w:sz w:val="24"/>
      <w:szCs w:val="24"/>
      <w:lang w:val="es-ES_tradnl"/>
    </w:rPr>
  </w:style>
  <w:style w:type="paragraph" w:styleId="TtulodeTDC">
    <w:name w:val="TOC Heading"/>
    <w:basedOn w:val="Ttulo1"/>
    <w:next w:val="Normal"/>
    <w:uiPriority w:val="39"/>
    <w:semiHidden/>
    <w:unhideWhenUsed/>
    <w:qFormat/>
    <w:rsid w:val="007411C0"/>
    <w:pPr>
      <w:keepLines/>
      <w:framePr w:w="0" w:hRule="auto" w:hSpace="0" w:wrap="auto" w:vAnchor="margin" w:hAnchor="text" w:xAlign="left" w:yAlign="inline"/>
      <w:spacing w:before="480" w:line="276" w:lineRule="auto"/>
      <w:outlineLvl w:val="9"/>
    </w:pPr>
    <w:rPr>
      <w:rFonts w:asciiTheme="majorHAnsi" w:eastAsiaTheme="majorEastAsia" w:hAnsiTheme="majorHAnsi" w:cstheme="majorBidi"/>
      <w:bCs/>
      <w:color w:val="365F91" w:themeColor="accent1" w:themeShade="BF"/>
      <w:lang w:val="es-ES"/>
    </w:rPr>
  </w:style>
  <w:style w:type="paragraph" w:customStyle="1" w:styleId="Default">
    <w:name w:val="Default"/>
    <w:rsid w:val="00E775E1"/>
    <w:pPr>
      <w:autoSpaceDE w:val="0"/>
      <w:autoSpaceDN w:val="0"/>
      <w:adjustRightInd w:val="0"/>
    </w:pPr>
    <w:rPr>
      <w:color w:val="000000"/>
      <w:sz w:val="24"/>
      <w:szCs w:val="24"/>
    </w:rPr>
  </w:style>
  <w:style w:type="character" w:styleId="Hipervnculovisitado">
    <w:name w:val="FollowedHyperlink"/>
    <w:basedOn w:val="Fuentedeprrafopredeter"/>
    <w:uiPriority w:val="99"/>
    <w:semiHidden/>
    <w:unhideWhenUsed/>
    <w:rsid w:val="00507DEF"/>
    <w:rPr>
      <w:color w:val="800080"/>
      <w:u w:val="single"/>
    </w:rPr>
  </w:style>
  <w:style w:type="paragraph" w:customStyle="1" w:styleId="xl65">
    <w:name w:val="xl65"/>
    <w:basedOn w:val="Normal"/>
    <w:rsid w:val="00507DEF"/>
    <w:pPr>
      <w:spacing w:before="100" w:beforeAutospacing="1" w:after="100" w:afterAutospacing="1"/>
    </w:pPr>
    <w:rPr>
      <w:rFonts w:ascii="Lucida Bright" w:hAnsi="Lucida Bright"/>
      <w:sz w:val="16"/>
      <w:szCs w:val="16"/>
      <w:lang w:val="es-ES"/>
    </w:rPr>
  </w:style>
  <w:style w:type="paragraph" w:customStyle="1" w:styleId="xl66">
    <w:name w:val="xl66"/>
    <w:basedOn w:val="Normal"/>
    <w:rsid w:val="00507DEF"/>
    <w:pPr>
      <w:spacing w:before="100" w:beforeAutospacing="1" w:after="100" w:afterAutospacing="1"/>
    </w:pPr>
    <w:rPr>
      <w:rFonts w:ascii="Lucida Bright" w:hAnsi="Lucida Bright"/>
      <w:b/>
      <w:bCs/>
      <w:sz w:val="16"/>
      <w:szCs w:val="16"/>
      <w:lang w:val="es-ES"/>
    </w:rPr>
  </w:style>
  <w:style w:type="paragraph" w:customStyle="1" w:styleId="xl67">
    <w:name w:val="xl67"/>
    <w:basedOn w:val="Normal"/>
    <w:rsid w:val="00507DEF"/>
    <w:pPr>
      <w:pBdr>
        <w:left w:val="single" w:sz="8" w:space="0" w:color="auto"/>
      </w:pBdr>
      <w:spacing w:before="100" w:beforeAutospacing="1" w:after="100" w:afterAutospacing="1"/>
    </w:pPr>
    <w:rPr>
      <w:rFonts w:ascii="Lucida Bright" w:hAnsi="Lucida Bright"/>
      <w:sz w:val="14"/>
      <w:szCs w:val="14"/>
      <w:lang w:val="es-ES"/>
    </w:rPr>
  </w:style>
  <w:style w:type="paragraph" w:customStyle="1" w:styleId="xl68">
    <w:name w:val="xl68"/>
    <w:basedOn w:val="Normal"/>
    <w:rsid w:val="00507DEF"/>
    <w:pPr>
      <w:pBdr>
        <w:top w:val="single" w:sz="8" w:space="0" w:color="auto"/>
        <w:lef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69">
    <w:name w:val="xl69"/>
    <w:basedOn w:val="Normal"/>
    <w:rsid w:val="00507DEF"/>
    <w:pPr>
      <w:pBdr>
        <w:top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0">
    <w:name w:val="xl70"/>
    <w:basedOn w:val="Normal"/>
    <w:rsid w:val="00507DEF"/>
    <w:pPr>
      <w:pBdr>
        <w:top w:val="single" w:sz="8" w:space="0" w:color="auto"/>
        <w:righ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1">
    <w:name w:val="xl71"/>
    <w:basedOn w:val="Normal"/>
    <w:rsid w:val="00507DEF"/>
    <w:pPr>
      <w:pBdr>
        <w:left w:val="single" w:sz="8" w:space="0" w:color="auto"/>
        <w:bottom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2">
    <w:name w:val="xl72"/>
    <w:basedOn w:val="Normal"/>
    <w:rsid w:val="00507DEF"/>
    <w:pPr>
      <w:pBdr>
        <w:bottom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3">
    <w:name w:val="xl73"/>
    <w:basedOn w:val="Normal"/>
    <w:rsid w:val="00507DEF"/>
    <w:pPr>
      <w:pBdr>
        <w:bottom w:val="single" w:sz="8" w:space="0" w:color="auto"/>
        <w:right w:val="single" w:sz="8" w:space="0" w:color="auto"/>
      </w:pBdr>
      <w:shd w:val="clear" w:color="000000" w:fill="CCFFCC"/>
      <w:spacing w:before="100" w:beforeAutospacing="1" w:after="100" w:afterAutospacing="1"/>
    </w:pPr>
    <w:rPr>
      <w:rFonts w:ascii="Lucida Bright" w:hAnsi="Lucida Bright"/>
      <w:sz w:val="14"/>
      <w:szCs w:val="14"/>
      <w:lang w:val="es-ES"/>
    </w:rPr>
  </w:style>
  <w:style w:type="paragraph" w:customStyle="1" w:styleId="xl74">
    <w:name w:val="xl74"/>
    <w:basedOn w:val="Normal"/>
    <w:rsid w:val="00507DEF"/>
    <w:pPr>
      <w:pBdr>
        <w:top w:val="single" w:sz="8" w:space="0" w:color="auto"/>
        <w:left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5">
    <w:name w:val="xl75"/>
    <w:basedOn w:val="Normal"/>
    <w:rsid w:val="00507DEF"/>
    <w:pPr>
      <w:pBdr>
        <w:top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6">
    <w:name w:val="xl76"/>
    <w:basedOn w:val="Normal"/>
    <w:rsid w:val="00507DEF"/>
    <w:pPr>
      <w:pBdr>
        <w:top w:val="single" w:sz="8" w:space="0" w:color="auto"/>
        <w:left w:val="single" w:sz="8" w:space="0" w:color="auto"/>
        <w:bottom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77">
    <w:name w:val="xl77"/>
    <w:basedOn w:val="Normal"/>
    <w:rsid w:val="00507DEF"/>
    <w:pPr>
      <w:pBdr>
        <w:left w:val="single" w:sz="8" w:space="0" w:color="auto"/>
      </w:pBdr>
      <w:spacing w:before="100" w:beforeAutospacing="1" w:after="100" w:afterAutospacing="1"/>
    </w:pPr>
    <w:rPr>
      <w:rFonts w:ascii="Lucida Bright" w:hAnsi="Lucida Bright"/>
      <w:sz w:val="14"/>
      <w:szCs w:val="14"/>
      <w:lang w:val="es-ES"/>
    </w:rPr>
  </w:style>
  <w:style w:type="paragraph" w:customStyle="1" w:styleId="xl78">
    <w:name w:val="xl78"/>
    <w:basedOn w:val="Normal"/>
    <w:rsid w:val="00507DEF"/>
    <w:pPr>
      <w:spacing w:before="100" w:beforeAutospacing="1" w:after="100" w:afterAutospacing="1"/>
    </w:pPr>
    <w:rPr>
      <w:rFonts w:ascii="Lucida Bright" w:hAnsi="Lucida Bright"/>
      <w:b/>
      <w:bCs/>
      <w:sz w:val="14"/>
      <w:szCs w:val="14"/>
      <w:lang w:val="es-ES"/>
    </w:rPr>
  </w:style>
  <w:style w:type="paragraph" w:customStyle="1" w:styleId="xl79">
    <w:name w:val="xl79"/>
    <w:basedOn w:val="Normal"/>
    <w:rsid w:val="00507DEF"/>
    <w:pPr>
      <w:spacing w:before="100" w:beforeAutospacing="1" w:after="100" w:afterAutospacing="1"/>
    </w:pPr>
    <w:rPr>
      <w:rFonts w:ascii="Lucida Bright" w:hAnsi="Lucida Bright"/>
      <w:sz w:val="14"/>
      <w:szCs w:val="14"/>
      <w:lang w:val="es-ES"/>
    </w:rPr>
  </w:style>
  <w:style w:type="paragraph" w:customStyle="1" w:styleId="xl80">
    <w:name w:val="xl8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81">
    <w:name w:val="xl81"/>
    <w:basedOn w:val="Normal"/>
    <w:rsid w:val="00507DEF"/>
    <w:pPr>
      <w:pBdr>
        <w:left w:val="single" w:sz="8" w:space="0" w:color="auto"/>
        <w:right w:val="single" w:sz="4" w:space="0" w:color="auto"/>
      </w:pBdr>
      <w:spacing w:before="100" w:beforeAutospacing="1" w:after="100" w:afterAutospacing="1"/>
      <w:textAlignment w:val="center"/>
    </w:pPr>
    <w:rPr>
      <w:rFonts w:ascii="Lucida Bright" w:hAnsi="Lucida Bright"/>
      <w:sz w:val="14"/>
      <w:szCs w:val="14"/>
      <w:lang w:val="es-ES"/>
    </w:rPr>
  </w:style>
  <w:style w:type="paragraph" w:customStyle="1" w:styleId="xl82">
    <w:name w:val="xl82"/>
    <w:basedOn w:val="Normal"/>
    <w:rsid w:val="00507DEF"/>
    <w:pPr>
      <w:pBdr>
        <w:left w:val="single" w:sz="4"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 w:type="paragraph" w:customStyle="1" w:styleId="xl83">
    <w:name w:val="xl83"/>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4">
    <w:name w:val="xl84"/>
    <w:basedOn w:val="Normal"/>
    <w:rsid w:val="00507DEF"/>
    <w:pPr>
      <w:pBdr>
        <w:left w:val="single" w:sz="8" w:space="0" w:color="auto"/>
      </w:pBdr>
      <w:spacing w:before="100" w:beforeAutospacing="1" w:after="100" w:afterAutospacing="1"/>
      <w:jc w:val="right"/>
      <w:textAlignment w:val="center"/>
    </w:pPr>
    <w:rPr>
      <w:rFonts w:ascii="Lucida Bright" w:hAnsi="Lucida Bright"/>
      <w:sz w:val="14"/>
      <w:szCs w:val="14"/>
      <w:lang w:val="es-ES"/>
    </w:rPr>
  </w:style>
  <w:style w:type="paragraph" w:customStyle="1" w:styleId="xl85">
    <w:name w:val="xl85"/>
    <w:basedOn w:val="Normal"/>
    <w:rsid w:val="00507DEF"/>
    <w:pPr>
      <w:pBdr>
        <w:left w:val="single" w:sz="8" w:space="0" w:color="auto"/>
      </w:pBdr>
      <w:spacing w:before="100" w:beforeAutospacing="1" w:after="100" w:afterAutospacing="1"/>
      <w:jc w:val="right"/>
      <w:textAlignment w:val="center"/>
    </w:pPr>
    <w:rPr>
      <w:rFonts w:ascii="Lucida Bright" w:hAnsi="Lucida Bright"/>
      <w:sz w:val="14"/>
      <w:szCs w:val="14"/>
      <w:lang w:val="es-ES"/>
    </w:rPr>
  </w:style>
  <w:style w:type="paragraph" w:customStyle="1" w:styleId="xl86">
    <w:name w:val="xl86"/>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7">
    <w:name w:val="xl87"/>
    <w:basedOn w:val="Normal"/>
    <w:rsid w:val="00507DEF"/>
    <w:pPr>
      <w:pBdr>
        <w:left w:val="single" w:sz="8" w:space="0" w:color="auto"/>
        <w:bottom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88">
    <w:name w:val="xl88"/>
    <w:basedOn w:val="Normal"/>
    <w:rsid w:val="00507DEF"/>
    <w:pPr>
      <w:pBdr>
        <w:left w:val="single" w:sz="8" w:space="0" w:color="auto"/>
        <w:right w:val="single" w:sz="8" w:space="0" w:color="auto"/>
      </w:pBdr>
      <w:spacing w:before="100" w:beforeAutospacing="1" w:after="100" w:afterAutospacing="1"/>
    </w:pPr>
    <w:rPr>
      <w:rFonts w:ascii="Lucida Bright" w:hAnsi="Lucida Bright"/>
      <w:sz w:val="14"/>
      <w:szCs w:val="14"/>
      <w:lang w:val="es-ES"/>
    </w:rPr>
  </w:style>
  <w:style w:type="paragraph" w:customStyle="1" w:styleId="xl89">
    <w:name w:val="xl89"/>
    <w:basedOn w:val="Normal"/>
    <w:rsid w:val="00507DEF"/>
    <w:pPr>
      <w:pBdr>
        <w:left w:val="single" w:sz="8" w:space="0" w:color="auto"/>
        <w:right w:val="single" w:sz="8" w:space="0" w:color="auto"/>
      </w:pBdr>
      <w:spacing w:before="100" w:beforeAutospacing="1" w:after="100" w:afterAutospacing="1"/>
      <w:jc w:val="center"/>
      <w:textAlignment w:val="center"/>
    </w:pPr>
    <w:rPr>
      <w:rFonts w:ascii="Lucida Bright" w:hAnsi="Lucida Bright"/>
      <w:sz w:val="14"/>
      <w:szCs w:val="14"/>
      <w:lang w:val="es-ES"/>
    </w:rPr>
  </w:style>
  <w:style w:type="paragraph" w:customStyle="1" w:styleId="xl90">
    <w:name w:val="xl9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1">
    <w:name w:val="xl91"/>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2">
    <w:name w:val="xl92"/>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3">
    <w:name w:val="xl93"/>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4">
    <w:name w:val="xl94"/>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5">
    <w:name w:val="xl95"/>
    <w:basedOn w:val="Normal"/>
    <w:rsid w:val="00507DEF"/>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96">
    <w:name w:val="xl96"/>
    <w:basedOn w:val="Normal"/>
    <w:rsid w:val="00507DEF"/>
    <w:pPr>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97">
    <w:name w:val="xl97"/>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98">
    <w:name w:val="xl98"/>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99">
    <w:name w:val="xl99"/>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0">
    <w:name w:val="xl100"/>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1">
    <w:name w:val="xl101"/>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2">
    <w:name w:val="xl102"/>
    <w:basedOn w:val="Normal"/>
    <w:rsid w:val="00507DEF"/>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103">
    <w:name w:val="xl103"/>
    <w:basedOn w:val="Normal"/>
    <w:rsid w:val="00507DEF"/>
    <w:pPr>
      <w:pBdr>
        <w:top w:val="single" w:sz="8" w:space="0" w:color="auto"/>
        <w:bottom w:val="single" w:sz="8" w:space="0" w:color="auto"/>
        <w:right w:val="single" w:sz="8" w:space="0" w:color="auto"/>
      </w:pBdr>
      <w:shd w:val="clear" w:color="000000" w:fill="CCFFCC"/>
      <w:spacing w:before="100" w:beforeAutospacing="1" w:after="100" w:afterAutospacing="1"/>
      <w:jc w:val="center"/>
    </w:pPr>
    <w:rPr>
      <w:rFonts w:ascii="Lucida Bright" w:hAnsi="Lucida Bright"/>
      <w:b/>
      <w:bCs/>
      <w:sz w:val="14"/>
      <w:szCs w:val="14"/>
      <w:lang w:val="es-ES"/>
    </w:rPr>
  </w:style>
  <w:style w:type="paragraph" w:customStyle="1" w:styleId="xl104">
    <w:name w:val="xl104"/>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5">
    <w:name w:val="xl105"/>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6">
    <w:name w:val="xl106"/>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7">
    <w:name w:val="xl107"/>
    <w:basedOn w:val="Normal"/>
    <w:rsid w:val="00507DEF"/>
    <w:pPr>
      <w:pBdr>
        <w:lef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08">
    <w:name w:val="xl108"/>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09">
    <w:name w:val="xl109"/>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0">
    <w:name w:val="xl110"/>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1">
    <w:name w:val="xl111"/>
    <w:basedOn w:val="Normal"/>
    <w:rsid w:val="00507DEF"/>
    <w:pPr>
      <w:spacing w:before="100" w:beforeAutospacing="1" w:after="100" w:afterAutospacing="1"/>
      <w:textAlignment w:val="center"/>
    </w:pPr>
    <w:rPr>
      <w:rFonts w:ascii="Lucida Bright" w:hAnsi="Lucida Bright"/>
      <w:sz w:val="14"/>
      <w:szCs w:val="14"/>
      <w:lang w:val="es-ES"/>
    </w:rPr>
  </w:style>
  <w:style w:type="paragraph" w:customStyle="1" w:styleId="xl112">
    <w:name w:val="xl112"/>
    <w:basedOn w:val="Normal"/>
    <w:rsid w:val="00507DEF"/>
    <w:pPr>
      <w:pBdr>
        <w:right w:val="single" w:sz="8" w:space="0" w:color="auto"/>
      </w:pBdr>
      <w:spacing w:before="100" w:beforeAutospacing="1" w:after="100" w:afterAutospacing="1"/>
      <w:textAlignment w:val="center"/>
    </w:pPr>
    <w:rPr>
      <w:rFonts w:ascii="Lucida Bright" w:hAnsi="Lucida Bright"/>
      <w:sz w:val="14"/>
      <w:szCs w:val="14"/>
      <w:lang w:val="es-ES"/>
    </w:rPr>
  </w:style>
  <w:style w:type="paragraph" w:customStyle="1" w:styleId="xl113">
    <w:name w:val="xl113"/>
    <w:basedOn w:val="Normal"/>
    <w:rsid w:val="007131C1"/>
    <w:pPr>
      <w:pBdr>
        <w:left w:val="single" w:sz="8" w:space="0" w:color="auto"/>
      </w:pBdr>
      <w:spacing w:before="100" w:beforeAutospacing="1" w:after="100" w:afterAutospacing="1"/>
      <w:textAlignment w:val="center"/>
    </w:pPr>
    <w:rPr>
      <w:rFonts w:ascii="Lucida Bright" w:hAnsi="Lucida Bright"/>
      <w:sz w:val="14"/>
      <w:szCs w:val="1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73">
      <w:bodyDiv w:val="1"/>
      <w:marLeft w:val="0"/>
      <w:marRight w:val="0"/>
      <w:marTop w:val="0"/>
      <w:marBottom w:val="0"/>
      <w:divBdr>
        <w:top w:val="none" w:sz="0" w:space="0" w:color="auto"/>
        <w:left w:val="none" w:sz="0" w:space="0" w:color="auto"/>
        <w:bottom w:val="none" w:sz="0" w:space="0" w:color="auto"/>
        <w:right w:val="none" w:sz="0" w:space="0" w:color="auto"/>
      </w:divBdr>
    </w:div>
    <w:div w:id="21133376">
      <w:bodyDiv w:val="1"/>
      <w:marLeft w:val="0"/>
      <w:marRight w:val="0"/>
      <w:marTop w:val="0"/>
      <w:marBottom w:val="0"/>
      <w:divBdr>
        <w:top w:val="none" w:sz="0" w:space="0" w:color="auto"/>
        <w:left w:val="none" w:sz="0" w:space="0" w:color="auto"/>
        <w:bottom w:val="none" w:sz="0" w:space="0" w:color="auto"/>
        <w:right w:val="none" w:sz="0" w:space="0" w:color="auto"/>
      </w:divBdr>
    </w:div>
    <w:div w:id="24722488">
      <w:bodyDiv w:val="1"/>
      <w:marLeft w:val="0"/>
      <w:marRight w:val="0"/>
      <w:marTop w:val="0"/>
      <w:marBottom w:val="0"/>
      <w:divBdr>
        <w:top w:val="none" w:sz="0" w:space="0" w:color="auto"/>
        <w:left w:val="none" w:sz="0" w:space="0" w:color="auto"/>
        <w:bottom w:val="none" w:sz="0" w:space="0" w:color="auto"/>
        <w:right w:val="none" w:sz="0" w:space="0" w:color="auto"/>
      </w:divBdr>
    </w:div>
    <w:div w:id="27682747">
      <w:bodyDiv w:val="1"/>
      <w:marLeft w:val="0"/>
      <w:marRight w:val="0"/>
      <w:marTop w:val="0"/>
      <w:marBottom w:val="0"/>
      <w:divBdr>
        <w:top w:val="none" w:sz="0" w:space="0" w:color="auto"/>
        <w:left w:val="none" w:sz="0" w:space="0" w:color="auto"/>
        <w:bottom w:val="none" w:sz="0" w:space="0" w:color="auto"/>
        <w:right w:val="none" w:sz="0" w:space="0" w:color="auto"/>
      </w:divBdr>
    </w:div>
    <w:div w:id="30881691">
      <w:bodyDiv w:val="1"/>
      <w:marLeft w:val="0"/>
      <w:marRight w:val="0"/>
      <w:marTop w:val="0"/>
      <w:marBottom w:val="0"/>
      <w:divBdr>
        <w:top w:val="none" w:sz="0" w:space="0" w:color="auto"/>
        <w:left w:val="none" w:sz="0" w:space="0" w:color="auto"/>
        <w:bottom w:val="none" w:sz="0" w:space="0" w:color="auto"/>
        <w:right w:val="none" w:sz="0" w:space="0" w:color="auto"/>
      </w:divBdr>
    </w:div>
    <w:div w:id="36046933">
      <w:bodyDiv w:val="1"/>
      <w:marLeft w:val="0"/>
      <w:marRight w:val="0"/>
      <w:marTop w:val="0"/>
      <w:marBottom w:val="0"/>
      <w:divBdr>
        <w:top w:val="none" w:sz="0" w:space="0" w:color="auto"/>
        <w:left w:val="none" w:sz="0" w:space="0" w:color="auto"/>
        <w:bottom w:val="none" w:sz="0" w:space="0" w:color="auto"/>
        <w:right w:val="none" w:sz="0" w:space="0" w:color="auto"/>
      </w:divBdr>
    </w:div>
    <w:div w:id="58210873">
      <w:bodyDiv w:val="1"/>
      <w:marLeft w:val="0"/>
      <w:marRight w:val="0"/>
      <w:marTop w:val="0"/>
      <w:marBottom w:val="0"/>
      <w:divBdr>
        <w:top w:val="none" w:sz="0" w:space="0" w:color="auto"/>
        <w:left w:val="none" w:sz="0" w:space="0" w:color="auto"/>
        <w:bottom w:val="none" w:sz="0" w:space="0" w:color="auto"/>
        <w:right w:val="none" w:sz="0" w:space="0" w:color="auto"/>
      </w:divBdr>
    </w:div>
    <w:div w:id="59989305">
      <w:bodyDiv w:val="1"/>
      <w:marLeft w:val="0"/>
      <w:marRight w:val="0"/>
      <w:marTop w:val="0"/>
      <w:marBottom w:val="0"/>
      <w:divBdr>
        <w:top w:val="none" w:sz="0" w:space="0" w:color="auto"/>
        <w:left w:val="none" w:sz="0" w:space="0" w:color="auto"/>
        <w:bottom w:val="none" w:sz="0" w:space="0" w:color="auto"/>
        <w:right w:val="none" w:sz="0" w:space="0" w:color="auto"/>
      </w:divBdr>
    </w:div>
    <w:div w:id="62417845">
      <w:bodyDiv w:val="1"/>
      <w:marLeft w:val="0"/>
      <w:marRight w:val="0"/>
      <w:marTop w:val="0"/>
      <w:marBottom w:val="0"/>
      <w:divBdr>
        <w:top w:val="none" w:sz="0" w:space="0" w:color="auto"/>
        <w:left w:val="none" w:sz="0" w:space="0" w:color="auto"/>
        <w:bottom w:val="none" w:sz="0" w:space="0" w:color="auto"/>
        <w:right w:val="none" w:sz="0" w:space="0" w:color="auto"/>
      </w:divBdr>
    </w:div>
    <w:div w:id="66268995">
      <w:bodyDiv w:val="1"/>
      <w:marLeft w:val="0"/>
      <w:marRight w:val="0"/>
      <w:marTop w:val="0"/>
      <w:marBottom w:val="0"/>
      <w:divBdr>
        <w:top w:val="none" w:sz="0" w:space="0" w:color="auto"/>
        <w:left w:val="none" w:sz="0" w:space="0" w:color="auto"/>
        <w:bottom w:val="none" w:sz="0" w:space="0" w:color="auto"/>
        <w:right w:val="none" w:sz="0" w:space="0" w:color="auto"/>
      </w:divBdr>
    </w:div>
    <w:div w:id="76096359">
      <w:bodyDiv w:val="1"/>
      <w:marLeft w:val="0"/>
      <w:marRight w:val="0"/>
      <w:marTop w:val="0"/>
      <w:marBottom w:val="0"/>
      <w:divBdr>
        <w:top w:val="none" w:sz="0" w:space="0" w:color="auto"/>
        <w:left w:val="none" w:sz="0" w:space="0" w:color="auto"/>
        <w:bottom w:val="none" w:sz="0" w:space="0" w:color="auto"/>
        <w:right w:val="none" w:sz="0" w:space="0" w:color="auto"/>
      </w:divBdr>
    </w:div>
    <w:div w:id="78139775">
      <w:bodyDiv w:val="1"/>
      <w:marLeft w:val="0"/>
      <w:marRight w:val="0"/>
      <w:marTop w:val="0"/>
      <w:marBottom w:val="0"/>
      <w:divBdr>
        <w:top w:val="none" w:sz="0" w:space="0" w:color="auto"/>
        <w:left w:val="none" w:sz="0" w:space="0" w:color="auto"/>
        <w:bottom w:val="none" w:sz="0" w:space="0" w:color="auto"/>
        <w:right w:val="none" w:sz="0" w:space="0" w:color="auto"/>
      </w:divBdr>
    </w:div>
    <w:div w:id="79103734">
      <w:bodyDiv w:val="1"/>
      <w:marLeft w:val="0"/>
      <w:marRight w:val="0"/>
      <w:marTop w:val="0"/>
      <w:marBottom w:val="0"/>
      <w:divBdr>
        <w:top w:val="none" w:sz="0" w:space="0" w:color="auto"/>
        <w:left w:val="none" w:sz="0" w:space="0" w:color="auto"/>
        <w:bottom w:val="none" w:sz="0" w:space="0" w:color="auto"/>
        <w:right w:val="none" w:sz="0" w:space="0" w:color="auto"/>
      </w:divBdr>
    </w:div>
    <w:div w:id="91782486">
      <w:bodyDiv w:val="1"/>
      <w:marLeft w:val="0"/>
      <w:marRight w:val="0"/>
      <w:marTop w:val="0"/>
      <w:marBottom w:val="0"/>
      <w:divBdr>
        <w:top w:val="none" w:sz="0" w:space="0" w:color="auto"/>
        <w:left w:val="none" w:sz="0" w:space="0" w:color="auto"/>
        <w:bottom w:val="none" w:sz="0" w:space="0" w:color="auto"/>
        <w:right w:val="none" w:sz="0" w:space="0" w:color="auto"/>
      </w:divBdr>
    </w:div>
    <w:div w:id="94912797">
      <w:bodyDiv w:val="1"/>
      <w:marLeft w:val="0"/>
      <w:marRight w:val="0"/>
      <w:marTop w:val="0"/>
      <w:marBottom w:val="0"/>
      <w:divBdr>
        <w:top w:val="none" w:sz="0" w:space="0" w:color="auto"/>
        <w:left w:val="none" w:sz="0" w:space="0" w:color="auto"/>
        <w:bottom w:val="none" w:sz="0" w:space="0" w:color="auto"/>
        <w:right w:val="none" w:sz="0" w:space="0" w:color="auto"/>
      </w:divBdr>
    </w:div>
    <w:div w:id="97912127">
      <w:bodyDiv w:val="1"/>
      <w:marLeft w:val="0"/>
      <w:marRight w:val="0"/>
      <w:marTop w:val="0"/>
      <w:marBottom w:val="0"/>
      <w:divBdr>
        <w:top w:val="none" w:sz="0" w:space="0" w:color="auto"/>
        <w:left w:val="none" w:sz="0" w:space="0" w:color="auto"/>
        <w:bottom w:val="none" w:sz="0" w:space="0" w:color="auto"/>
        <w:right w:val="none" w:sz="0" w:space="0" w:color="auto"/>
      </w:divBdr>
    </w:div>
    <w:div w:id="99034370">
      <w:bodyDiv w:val="1"/>
      <w:marLeft w:val="0"/>
      <w:marRight w:val="0"/>
      <w:marTop w:val="0"/>
      <w:marBottom w:val="0"/>
      <w:divBdr>
        <w:top w:val="none" w:sz="0" w:space="0" w:color="auto"/>
        <w:left w:val="none" w:sz="0" w:space="0" w:color="auto"/>
        <w:bottom w:val="none" w:sz="0" w:space="0" w:color="auto"/>
        <w:right w:val="none" w:sz="0" w:space="0" w:color="auto"/>
      </w:divBdr>
    </w:div>
    <w:div w:id="102261659">
      <w:bodyDiv w:val="1"/>
      <w:marLeft w:val="0"/>
      <w:marRight w:val="0"/>
      <w:marTop w:val="0"/>
      <w:marBottom w:val="0"/>
      <w:divBdr>
        <w:top w:val="none" w:sz="0" w:space="0" w:color="auto"/>
        <w:left w:val="none" w:sz="0" w:space="0" w:color="auto"/>
        <w:bottom w:val="none" w:sz="0" w:space="0" w:color="auto"/>
        <w:right w:val="none" w:sz="0" w:space="0" w:color="auto"/>
      </w:divBdr>
    </w:div>
    <w:div w:id="106511164">
      <w:bodyDiv w:val="1"/>
      <w:marLeft w:val="0"/>
      <w:marRight w:val="0"/>
      <w:marTop w:val="0"/>
      <w:marBottom w:val="0"/>
      <w:divBdr>
        <w:top w:val="none" w:sz="0" w:space="0" w:color="auto"/>
        <w:left w:val="none" w:sz="0" w:space="0" w:color="auto"/>
        <w:bottom w:val="none" w:sz="0" w:space="0" w:color="auto"/>
        <w:right w:val="none" w:sz="0" w:space="0" w:color="auto"/>
      </w:divBdr>
    </w:div>
    <w:div w:id="108010197">
      <w:bodyDiv w:val="1"/>
      <w:marLeft w:val="0"/>
      <w:marRight w:val="0"/>
      <w:marTop w:val="0"/>
      <w:marBottom w:val="0"/>
      <w:divBdr>
        <w:top w:val="none" w:sz="0" w:space="0" w:color="auto"/>
        <w:left w:val="none" w:sz="0" w:space="0" w:color="auto"/>
        <w:bottom w:val="none" w:sz="0" w:space="0" w:color="auto"/>
        <w:right w:val="none" w:sz="0" w:space="0" w:color="auto"/>
      </w:divBdr>
    </w:div>
    <w:div w:id="108666009">
      <w:bodyDiv w:val="1"/>
      <w:marLeft w:val="0"/>
      <w:marRight w:val="0"/>
      <w:marTop w:val="0"/>
      <w:marBottom w:val="0"/>
      <w:divBdr>
        <w:top w:val="none" w:sz="0" w:space="0" w:color="auto"/>
        <w:left w:val="none" w:sz="0" w:space="0" w:color="auto"/>
        <w:bottom w:val="none" w:sz="0" w:space="0" w:color="auto"/>
        <w:right w:val="none" w:sz="0" w:space="0" w:color="auto"/>
      </w:divBdr>
    </w:div>
    <w:div w:id="119226448">
      <w:bodyDiv w:val="1"/>
      <w:marLeft w:val="0"/>
      <w:marRight w:val="0"/>
      <w:marTop w:val="0"/>
      <w:marBottom w:val="0"/>
      <w:divBdr>
        <w:top w:val="none" w:sz="0" w:space="0" w:color="auto"/>
        <w:left w:val="none" w:sz="0" w:space="0" w:color="auto"/>
        <w:bottom w:val="none" w:sz="0" w:space="0" w:color="auto"/>
        <w:right w:val="none" w:sz="0" w:space="0" w:color="auto"/>
      </w:divBdr>
    </w:div>
    <w:div w:id="123548694">
      <w:bodyDiv w:val="1"/>
      <w:marLeft w:val="0"/>
      <w:marRight w:val="0"/>
      <w:marTop w:val="0"/>
      <w:marBottom w:val="0"/>
      <w:divBdr>
        <w:top w:val="none" w:sz="0" w:space="0" w:color="auto"/>
        <w:left w:val="none" w:sz="0" w:space="0" w:color="auto"/>
        <w:bottom w:val="none" w:sz="0" w:space="0" w:color="auto"/>
        <w:right w:val="none" w:sz="0" w:space="0" w:color="auto"/>
      </w:divBdr>
    </w:div>
    <w:div w:id="124783368">
      <w:bodyDiv w:val="1"/>
      <w:marLeft w:val="0"/>
      <w:marRight w:val="0"/>
      <w:marTop w:val="0"/>
      <w:marBottom w:val="0"/>
      <w:divBdr>
        <w:top w:val="none" w:sz="0" w:space="0" w:color="auto"/>
        <w:left w:val="none" w:sz="0" w:space="0" w:color="auto"/>
        <w:bottom w:val="none" w:sz="0" w:space="0" w:color="auto"/>
        <w:right w:val="none" w:sz="0" w:space="0" w:color="auto"/>
      </w:divBdr>
    </w:div>
    <w:div w:id="130680895">
      <w:bodyDiv w:val="1"/>
      <w:marLeft w:val="0"/>
      <w:marRight w:val="0"/>
      <w:marTop w:val="0"/>
      <w:marBottom w:val="0"/>
      <w:divBdr>
        <w:top w:val="none" w:sz="0" w:space="0" w:color="auto"/>
        <w:left w:val="none" w:sz="0" w:space="0" w:color="auto"/>
        <w:bottom w:val="none" w:sz="0" w:space="0" w:color="auto"/>
        <w:right w:val="none" w:sz="0" w:space="0" w:color="auto"/>
      </w:divBdr>
    </w:div>
    <w:div w:id="140781537">
      <w:bodyDiv w:val="1"/>
      <w:marLeft w:val="0"/>
      <w:marRight w:val="0"/>
      <w:marTop w:val="0"/>
      <w:marBottom w:val="0"/>
      <w:divBdr>
        <w:top w:val="none" w:sz="0" w:space="0" w:color="auto"/>
        <w:left w:val="none" w:sz="0" w:space="0" w:color="auto"/>
        <w:bottom w:val="none" w:sz="0" w:space="0" w:color="auto"/>
        <w:right w:val="none" w:sz="0" w:space="0" w:color="auto"/>
      </w:divBdr>
    </w:div>
    <w:div w:id="145515375">
      <w:bodyDiv w:val="1"/>
      <w:marLeft w:val="0"/>
      <w:marRight w:val="0"/>
      <w:marTop w:val="0"/>
      <w:marBottom w:val="0"/>
      <w:divBdr>
        <w:top w:val="none" w:sz="0" w:space="0" w:color="auto"/>
        <w:left w:val="none" w:sz="0" w:space="0" w:color="auto"/>
        <w:bottom w:val="none" w:sz="0" w:space="0" w:color="auto"/>
        <w:right w:val="none" w:sz="0" w:space="0" w:color="auto"/>
      </w:divBdr>
    </w:div>
    <w:div w:id="147678012">
      <w:bodyDiv w:val="1"/>
      <w:marLeft w:val="0"/>
      <w:marRight w:val="0"/>
      <w:marTop w:val="0"/>
      <w:marBottom w:val="0"/>
      <w:divBdr>
        <w:top w:val="none" w:sz="0" w:space="0" w:color="auto"/>
        <w:left w:val="none" w:sz="0" w:space="0" w:color="auto"/>
        <w:bottom w:val="none" w:sz="0" w:space="0" w:color="auto"/>
        <w:right w:val="none" w:sz="0" w:space="0" w:color="auto"/>
      </w:divBdr>
    </w:div>
    <w:div w:id="154806244">
      <w:bodyDiv w:val="1"/>
      <w:marLeft w:val="0"/>
      <w:marRight w:val="0"/>
      <w:marTop w:val="0"/>
      <w:marBottom w:val="0"/>
      <w:divBdr>
        <w:top w:val="none" w:sz="0" w:space="0" w:color="auto"/>
        <w:left w:val="none" w:sz="0" w:space="0" w:color="auto"/>
        <w:bottom w:val="none" w:sz="0" w:space="0" w:color="auto"/>
        <w:right w:val="none" w:sz="0" w:space="0" w:color="auto"/>
      </w:divBdr>
    </w:div>
    <w:div w:id="158548866">
      <w:bodyDiv w:val="1"/>
      <w:marLeft w:val="0"/>
      <w:marRight w:val="0"/>
      <w:marTop w:val="0"/>
      <w:marBottom w:val="0"/>
      <w:divBdr>
        <w:top w:val="none" w:sz="0" w:space="0" w:color="auto"/>
        <w:left w:val="none" w:sz="0" w:space="0" w:color="auto"/>
        <w:bottom w:val="none" w:sz="0" w:space="0" w:color="auto"/>
        <w:right w:val="none" w:sz="0" w:space="0" w:color="auto"/>
      </w:divBdr>
    </w:div>
    <w:div w:id="158733072">
      <w:bodyDiv w:val="1"/>
      <w:marLeft w:val="0"/>
      <w:marRight w:val="0"/>
      <w:marTop w:val="0"/>
      <w:marBottom w:val="0"/>
      <w:divBdr>
        <w:top w:val="none" w:sz="0" w:space="0" w:color="auto"/>
        <w:left w:val="none" w:sz="0" w:space="0" w:color="auto"/>
        <w:bottom w:val="none" w:sz="0" w:space="0" w:color="auto"/>
        <w:right w:val="none" w:sz="0" w:space="0" w:color="auto"/>
      </w:divBdr>
    </w:div>
    <w:div w:id="164129190">
      <w:bodyDiv w:val="1"/>
      <w:marLeft w:val="0"/>
      <w:marRight w:val="0"/>
      <w:marTop w:val="0"/>
      <w:marBottom w:val="0"/>
      <w:divBdr>
        <w:top w:val="none" w:sz="0" w:space="0" w:color="auto"/>
        <w:left w:val="none" w:sz="0" w:space="0" w:color="auto"/>
        <w:bottom w:val="none" w:sz="0" w:space="0" w:color="auto"/>
        <w:right w:val="none" w:sz="0" w:space="0" w:color="auto"/>
      </w:divBdr>
    </w:div>
    <w:div w:id="177893012">
      <w:bodyDiv w:val="1"/>
      <w:marLeft w:val="0"/>
      <w:marRight w:val="0"/>
      <w:marTop w:val="0"/>
      <w:marBottom w:val="0"/>
      <w:divBdr>
        <w:top w:val="none" w:sz="0" w:space="0" w:color="auto"/>
        <w:left w:val="none" w:sz="0" w:space="0" w:color="auto"/>
        <w:bottom w:val="none" w:sz="0" w:space="0" w:color="auto"/>
        <w:right w:val="none" w:sz="0" w:space="0" w:color="auto"/>
      </w:divBdr>
    </w:div>
    <w:div w:id="188447747">
      <w:bodyDiv w:val="1"/>
      <w:marLeft w:val="0"/>
      <w:marRight w:val="0"/>
      <w:marTop w:val="0"/>
      <w:marBottom w:val="0"/>
      <w:divBdr>
        <w:top w:val="none" w:sz="0" w:space="0" w:color="auto"/>
        <w:left w:val="none" w:sz="0" w:space="0" w:color="auto"/>
        <w:bottom w:val="none" w:sz="0" w:space="0" w:color="auto"/>
        <w:right w:val="none" w:sz="0" w:space="0" w:color="auto"/>
      </w:divBdr>
    </w:div>
    <w:div w:id="189221451">
      <w:bodyDiv w:val="1"/>
      <w:marLeft w:val="0"/>
      <w:marRight w:val="0"/>
      <w:marTop w:val="0"/>
      <w:marBottom w:val="0"/>
      <w:divBdr>
        <w:top w:val="none" w:sz="0" w:space="0" w:color="auto"/>
        <w:left w:val="none" w:sz="0" w:space="0" w:color="auto"/>
        <w:bottom w:val="none" w:sz="0" w:space="0" w:color="auto"/>
        <w:right w:val="none" w:sz="0" w:space="0" w:color="auto"/>
      </w:divBdr>
    </w:div>
    <w:div w:id="207570464">
      <w:bodyDiv w:val="1"/>
      <w:marLeft w:val="0"/>
      <w:marRight w:val="0"/>
      <w:marTop w:val="0"/>
      <w:marBottom w:val="0"/>
      <w:divBdr>
        <w:top w:val="none" w:sz="0" w:space="0" w:color="auto"/>
        <w:left w:val="none" w:sz="0" w:space="0" w:color="auto"/>
        <w:bottom w:val="none" w:sz="0" w:space="0" w:color="auto"/>
        <w:right w:val="none" w:sz="0" w:space="0" w:color="auto"/>
      </w:divBdr>
    </w:div>
    <w:div w:id="216480491">
      <w:bodyDiv w:val="1"/>
      <w:marLeft w:val="0"/>
      <w:marRight w:val="0"/>
      <w:marTop w:val="0"/>
      <w:marBottom w:val="0"/>
      <w:divBdr>
        <w:top w:val="none" w:sz="0" w:space="0" w:color="auto"/>
        <w:left w:val="none" w:sz="0" w:space="0" w:color="auto"/>
        <w:bottom w:val="none" w:sz="0" w:space="0" w:color="auto"/>
        <w:right w:val="none" w:sz="0" w:space="0" w:color="auto"/>
      </w:divBdr>
    </w:div>
    <w:div w:id="218783511">
      <w:bodyDiv w:val="1"/>
      <w:marLeft w:val="0"/>
      <w:marRight w:val="0"/>
      <w:marTop w:val="0"/>
      <w:marBottom w:val="0"/>
      <w:divBdr>
        <w:top w:val="none" w:sz="0" w:space="0" w:color="auto"/>
        <w:left w:val="none" w:sz="0" w:space="0" w:color="auto"/>
        <w:bottom w:val="none" w:sz="0" w:space="0" w:color="auto"/>
        <w:right w:val="none" w:sz="0" w:space="0" w:color="auto"/>
      </w:divBdr>
    </w:div>
    <w:div w:id="229123232">
      <w:bodyDiv w:val="1"/>
      <w:marLeft w:val="0"/>
      <w:marRight w:val="0"/>
      <w:marTop w:val="0"/>
      <w:marBottom w:val="0"/>
      <w:divBdr>
        <w:top w:val="none" w:sz="0" w:space="0" w:color="auto"/>
        <w:left w:val="none" w:sz="0" w:space="0" w:color="auto"/>
        <w:bottom w:val="none" w:sz="0" w:space="0" w:color="auto"/>
        <w:right w:val="none" w:sz="0" w:space="0" w:color="auto"/>
      </w:divBdr>
    </w:div>
    <w:div w:id="229967121">
      <w:bodyDiv w:val="1"/>
      <w:marLeft w:val="0"/>
      <w:marRight w:val="0"/>
      <w:marTop w:val="0"/>
      <w:marBottom w:val="0"/>
      <w:divBdr>
        <w:top w:val="none" w:sz="0" w:space="0" w:color="auto"/>
        <w:left w:val="none" w:sz="0" w:space="0" w:color="auto"/>
        <w:bottom w:val="none" w:sz="0" w:space="0" w:color="auto"/>
        <w:right w:val="none" w:sz="0" w:space="0" w:color="auto"/>
      </w:divBdr>
    </w:div>
    <w:div w:id="230967663">
      <w:bodyDiv w:val="1"/>
      <w:marLeft w:val="0"/>
      <w:marRight w:val="0"/>
      <w:marTop w:val="0"/>
      <w:marBottom w:val="0"/>
      <w:divBdr>
        <w:top w:val="none" w:sz="0" w:space="0" w:color="auto"/>
        <w:left w:val="none" w:sz="0" w:space="0" w:color="auto"/>
        <w:bottom w:val="none" w:sz="0" w:space="0" w:color="auto"/>
        <w:right w:val="none" w:sz="0" w:space="0" w:color="auto"/>
      </w:divBdr>
    </w:div>
    <w:div w:id="235022256">
      <w:bodyDiv w:val="1"/>
      <w:marLeft w:val="0"/>
      <w:marRight w:val="0"/>
      <w:marTop w:val="0"/>
      <w:marBottom w:val="0"/>
      <w:divBdr>
        <w:top w:val="none" w:sz="0" w:space="0" w:color="auto"/>
        <w:left w:val="none" w:sz="0" w:space="0" w:color="auto"/>
        <w:bottom w:val="none" w:sz="0" w:space="0" w:color="auto"/>
        <w:right w:val="none" w:sz="0" w:space="0" w:color="auto"/>
      </w:divBdr>
    </w:div>
    <w:div w:id="240916730">
      <w:bodyDiv w:val="1"/>
      <w:marLeft w:val="0"/>
      <w:marRight w:val="0"/>
      <w:marTop w:val="0"/>
      <w:marBottom w:val="0"/>
      <w:divBdr>
        <w:top w:val="none" w:sz="0" w:space="0" w:color="auto"/>
        <w:left w:val="none" w:sz="0" w:space="0" w:color="auto"/>
        <w:bottom w:val="none" w:sz="0" w:space="0" w:color="auto"/>
        <w:right w:val="none" w:sz="0" w:space="0" w:color="auto"/>
      </w:divBdr>
    </w:div>
    <w:div w:id="249508262">
      <w:bodyDiv w:val="1"/>
      <w:marLeft w:val="0"/>
      <w:marRight w:val="0"/>
      <w:marTop w:val="0"/>
      <w:marBottom w:val="0"/>
      <w:divBdr>
        <w:top w:val="none" w:sz="0" w:space="0" w:color="auto"/>
        <w:left w:val="none" w:sz="0" w:space="0" w:color="auto"/>
        <w:bottom w:val="none" w:sz="0" w:space="0" w:color="auto"/>
        <w:right w:val="none" w:sz="0" w:space="0" w:color="auto"/>
      </w:divBdr>
    </w:div>
    <w:div w:id="250772700">
      <w:bodyDiv w:val="1"/>
      <w:marLeft w:val="0"/>
      <w:marRight w:val="0"/>
      <w:marTop w:val="0"/>
      <w:marBottom w:val="0"/>
      <w:divBdr>
        <w:top w:val="none" w:sz="0" w:space="0" w:color="auto"/>
        <w:left w:val="none" w:sz="0" w:space="0" w:color="auto"/>
        <w:bottom w:val="none" w:sz="0" w:space="0" w:color="auto"/>
        <w:right w:val="none" w:sz="0" w:space="0" w:color="auto"/>
      </w:divBdr>
    </w:div>
    <w:div w:id="254171519">
      <w:bodyDiv w:val="1"/>
      <w:marLeft w:val="0"/>
      <w:marRight w:val="0"/>
      <w:marTop w:val="0"/>
      <w:marBottom w:val="0"/>
      <w:divBdr>
        <w:top w:val="none" w:sz="0" w:space="0" w:color="auto"/>
        <w:left w:val="none" w:sz="0" w:space="0" w:color="auto"/>
        <w:bottom w:val="none" w:sz="0" w:space="0" w:color="auto"/>
        <w:right w:val="none" w:sz="0" w:space="0" w:color="auto"/>
      </w:divBdr>
    </w:div>
    <w:div w:id="257565653">
      <w:bodyDiv w:val="1"/>
      <w:marLeft w:val="0"/>
      <w:marRight w:val="0"/>
      <w:marTop w:val="0"/>
      <w:marBottom w:val="0"/>
      <w:divBdr>
        <w:top w:val="none" w:sz="0" w:space="0" w:color="auto"/>
        <w:left w:val="none" w:sz="0" w:space="0" w:color="auto"/>
        <w:bottom w:val="none" w:sz="0" w:space="0" w:color="auto"/>
        <w:right w:val="none" w:sz="0" w:space="0" w:color="auto"/>
      </w:divBdr>
    </w:div>
    <w:div w:id="273907552">
      <w:bodyDiv w:val="1"/>
      <w:marLeft w:val="0"/>
      <w:marRight w:val="0"/>
      <w:marTop w:val="0"/>
      <w:marBottom w:val="0"/>
      <w:divBdr>
        <w:top w:val="none" w:sz="0" w:space="0" w:color="auto"/>
        <w:left w:val="none" w:sz="0" w:space="0" w:color="auto"/>
        <w:bottom w:val="none" w:sz="0" w:space="0" w:color="auto"/>
        <w:right w:val="none" w:sz="0" w:space="0" w:color="auto"/>
      </w:divBdr>
    </w:div>
    <w:div w:id="283461291">
      <w:bodyDiv w:val="1"/>
      <w:marLeft w:val="0"/>
      <w:marRight w:val="0"/>
      <w:marTop w:val="0"/>
      <w:marBottom w:val="0"/>
      <w:divBdr>
        <w:top w:val="none" w:sz="0" w:space="0" w:color="auto"/>
        <w:left w:val="none" w:sz="0" w:space="0" w:color="auto"/>
        <w:bottom w:val="none" w:sz="0" w:space="0" w:color="auto"/>
        <w:right w:val="none" w:sz="0" w:space="0" w:color="auto"/>
      </w:divBdr>
    </w:div>
    <w:div w:id="290747674">
      <w:bodyDiv w:val="1"/>
      <w:marLeft w:val="0"/>
      <w:marRight w:val="0"/>
      <w:marTop w:val="0"/>
      <w:marBottom w:val="0"/>
      <w:divBdr>
        <w:top w:val="none" w:sz="0" w:space="0" w:color="auto"/>
        <w:left w:val="none" w:sz="0" w:space="0" w:color="auto"/>
        <w:bottom w:val="none" w:sz="0" w:space="0" w:color="auto"/>
        <w:right w:val="none" w:sz="0" w:space="0" w:color="auto"/>
      </w:divBdr>
    </w:div>
    <w:div w:id="293101519">
      <w:bodyDiv w:val="1"/>
      <w:marLeft w:val="0"/>
      <w:marRight w:val="0"/>
      <w:marTop w:val="0"/>
      <w:marBottom w:val="0"/>
      <w:divBdr>
        <w:top w:val="none" w:sz="0" w:space="0" w:color="auto"/>
        <w:left w:val="none" w:sz="0" w:space="0" w:color="auto"/>
        <w:bottom w:val="none" w:sz="0" w:space="0" w:color="auto"/>
        <w:right w:val="none" w:sz="0" w:space="0" w:color="auto"/>
      </w:divBdr>
    </w:div>
    <w:div w:id="297032028">
      <w:bodyDiv w:val="1"/>
      <w:marLeft w:val="0"/>
      <w:marRight w:val="0"/>
      <w:marTop w:val="0"/>
      <w:marBottom w:val="0"/>
      <w:divBdr>
        <w:top w:val="none" w:sz="0" w:space="0" w:color="auto"/>
        <w:left w:val="none" w:sz="0" w:space="0" w:color="auto"/>
        <w:bottom w:val="none" w:sz="0" w:space="0" w:color="auto"/>
        <w:right w:val="none" w:sz="0" w:space="0" w:color="auto"/>
      </w:divBdr>
    </w:div>
    <w:div w:id="303586160">
      <w:bodyDiv w:val="1"/>
      <w:marLeft w:val="0"/>
      <w:marRight w:val="0"/>
      <w:marTop w:val="0"/>
      <w:marBottom w:val="0"/>
      <w:divBdr>
        <w:top w:val="none" w:sz="0" w:space="0" w:color="auto"/>
        <w:left w:val="none" w:sz="0" w:space="0" w:color="auto"/>
        <w:bottom w:val="none" w:sz="0" w:space="0" w:color="auto"/>
        <w:right w:val="none" w:sz="0" w:space="0" w:color="auto"/>
      </w:divBdr>
    </w:div>
    <w:div w:id="305936170">
      <w:bodyDiv w:val="1"/>
      <w:marLeft w:val="0"/>
      <w:marRight w:val="0"/>
      <w:marTop w:val="0"/>
      <w:marBottom w:val="0"/>
      <w:divBdr>
        <w:top w:val="none" w:sz="0" w:space="0" w:color="auto"/>
        <w:left w:val="none" w:sz="0" w:space="0" w:color="auto"/>
        <w:bottom w:val="none" w:sz="0" w:space="0" w:color="auto"/>
        <w:right w:val="none" w:sz="0" w:space="0" w:color="auto"/>
      </w:divBdr>
    </w:div>
    <w:div w:id="319504163">
      <w:bodyDiv w:val="1"/>
      <w:marLeft w:val="0"/>
      <w:marRight w:val="0"/>
      <w:marTop w:val="0"/>
      <w:marBottom w:val="0"/>
      <w:divBdr>
        <w:top w:val="none" w:sz="0" w:space="0" w:color="auto"/>
        <w:left w:val="none" w:sz="0" w:space="0" w:color="auto"/>
        <w:bottom w:val="none" w:sz="0" w:space="0" w:color="auto"/>
        <w:right w:val="none" w:sz="0" w:space="0" w:color="auto"/>
      </w:divBdr>
    </w:div>
    <w:div w:id="319816887">
      <w:bodyDiv w:val="1"/>
      <w:marLeft w:val="0"/>
      <w:marRight w:val="0"/>
      <w:marTop w:val="0"/>
      <w:marBottom w:val="0"/>
      <w:divBdr>
        <w:top w:val="none" w:sz="0" w:space="0" w:color="auto"/>
        <w:left w:val="none" w:sz="0" w:space="0" w:color="auto"/>
        <w:bottom w:val="none" w:sz="0" w:space="0" w:color="auto"/>
        <w:right w:val="none" w:sz="0" w:space="0" w:color="auto"/>
      </w:divBdr>
    </w:div>
    <w:div w:id="326834716">
      <w:bodyDiv w:val="1"/>
      <w:marLeft w:val="0"/>
      <w:marRight w:val="0"/>
      <w:marTop w:val="0"/>
      <w:marBottom w:val="0"/>
      <w:divBdr>
        <w:top w:val="none" w:sz="0" w:space="0" w:color="auto"/>
        <w:left w:val="none" w:sz="0" w:space="0" w:color="auto"/>
        <w:bottom w:val="none" w:sz="0" w:space="0" w:color="auto"/>
        <w:right w:val="none" w:sz="0" w:space="0" w:color="auto"/>
      </w:divBdr>
    </w:div>
    <w:div w:id="330375450">
      <w:bodyDiv w:val="1"/>
      <w:marLeft w:val="0"/>
      <w:marRight w:val="0"/>
      <w:marTop w:val="0"/>
      <w:marBottom w:val="0"/>
      <w:divBdr>
        <w:top w:val="none" w:sz="0" w:space="0" w:color="auto"/>
        <w:left w:val="none" w:sz="0" w:space="0" w:color="auto"/>
        <w:bottom w:val="none" w:sz="0" w:space="0" w:color="auto"/>
        <w:right w:val="none" w:sz="0" w:space="0" w:color="auto"/>
      </w:divBdr>
    </w:div>
    <w:div w:id="335424116">
      <w:bodyDiv w:val="1"/>
      <w:marLeft w:val="0"/>
      <w:marRight w:val="0"/>
      <w:marTop w:val="0"/>
      <w:marBottom w:val="0"/>
      <w:divBdr>
        <w:top w:val="none" w:sz="0" w:space="0" w:color="auto"/>
        <w:left w:val="none" w:sz="0" w:space="0" w:color="auto"/>
        <w:bottom w:val="none" w:sz="0" w:space="0" w:color="auto"/>
        <w:right w:val="none" w:sz="0" w:space="0" w:color="auto"/>
      </w:divBdr>
    </w:div>
    <w:div w:id="336998881">
      <w:bodyDiv w:val="1"/>
      <w:marLeft w:val="0"/>
      <w:marRight w:val="0"/>
      <w:marTop w:val="0"/>
      <w:marBottom w:val="0"/>
      <w:divBdr>
        <w:top w:val="none" w:sz="0" w:space="0" w:color="auto"/>
        <w:left w:val="none" w:sz="0" w:space="0" w:color="auto"/>
        <w:bottom w:val="none" w:sz="0" w:space="0" w:color="auto"/>
        <w:right w:val="none" w:sz="0" w:space="0" w:color="auto"/>
      </w:divBdr>
    </w:div>
    <w:div w:id="337389375">
      <w:bodyDiv w:val="1"/>
      <w:marLeft w:val="0"/>
      <w:marRight w:val="0"/>
      <w:marTop w:val="0"/>
      <w:marBottom w:val="0"/>
      <w:divBdr>
        <w:top w:val="none" w:sz="0" w:space="0" w:color="auto"/>
        <w:left w:val="none" w:sz="0" w:space="0" w:color="auto"/>
        <w:bottom w:val="none" w:sz="0" w:space="0" w:color="auto"/>
        <w:right w:val="none" w:sz="0" w:space="0" w:color="auto"/>
      </w:divBdr>
    </w:div>
    <w:div w:id="346296814">
      <w:bodyDiv w:val="1"/>
      <w:marLeft w:val="0"/>
      <w:marRight w:val="0"/>
      <w:marTop w:val="0"/>
      <w:marBottom w:val="0"/>
      <w:divBdr>
        <w:top w:val="none" w:sz="0" w:space="0" w:color="auto"/>
        <w:left w:val="none" w:sz="0" w:space="0" w:color="auto"/>
        <w:bottom w:val="none" w:sz="0" w:space="0" w:color="auto"/>
        <w:right w:val="none" w:sz="0" w:space="0" w:color="auto"/>
      </w:divBdr>
    </w:div>
    <w:div w:id="347684461">
      <w:bodyDiv w:val="1"/>
      <w:marLeft w:val="0"/>
      <w:marRight w:val="0"/>
      <w:marTop w:val="0"/>
      <w:marBottom w:val="0"/>
      <w:divBdr>
        <w:top w:val="none" w:sz="0" w:space="0" w:color="auto"/>
        <w:left w:val="none" w:sz="0" w:space="0" w:color="auto"/>
        <w:bottom w:val="none" w:sz="0" w:space="0" w:color="auto"/>
        <w:right w:val="none" w:sz="0" w:space="0" w:color="auto"/>
      </w:divBdr>
    </w:div>
    <w:div w:id="355086373">
      <w:bodyDiv w:val="1"/>
      <w:marLeft w:val="0"/>
      <w:marRight w:val="0"/>
      <w:marTop w:val="0"/>
      <w:marBottom w:val="0"/>
      <w:divBdr>
        <w:top w:val="none" w:sz="0" w:space="0" w:color="auto"/>
        <w:left w:val="none" w:sz="0" w:space="0" w:color="auto"/>
        <w:bottom w:val="none" w:sz="0" w:space="0" w:color="auto"/>
        <w:right w:val="none" w:sz="0" w:space="0" w:color="auto"/>
      </w:divBdr>
    </w:div>
    <w:div w:id="355350420">
      <w:bodyDiv w:val="1"/>
      <w:marLeft w:val="0"/>
      <w:marRight w:val="0"/>
      <w:marTop w:val="0"/>
      <w:marBottom w:val="0"/>
      <w:divBdr>
        <w:top w:val="none" w:sz="0" w:space="0" w:color="auto"/>
        <w:left w:val="none" w:sz="0" w:space="0" w:color="auto"/>
        <w:bottom w:val="none" w:sz="0" w:space="0" w:color="auto"/>
        <w:right w:val="none" w:sz="0" w:space="0" w:color="auto"/>
      </w:divBdr>
    </w:div>
    <w:div w:id="358360148">
      <w:bodyDiv w:val="1"/>
      <w:marLeft w:val="0"/>
      <w:marRight w:val="0"/>
      <w:marTop w:val="0"/>
      <w:marBottom w:val="0"/>
      <w:divBdr>
        <w:top w:val="none" w:sz="0" w:space="0" w:color="auto"/>
        <w:left w:val="none" w:sz="0" w:space="0" w:color="auto"/>
        <w:bottom w:val="none" w:sz="0" w:space="0" w:color="auto"/>
        <w:right w:val="none" w:sz="0" w:space="0" w:color="auto"/>
      </w:divBdr>
    </w:div>
    <w:div w:id="364722675">
      <w:bodyDiv w:val="1"/>
      <w:marLeft w:val="0"/>
      <w:marRight w:val="0"/>
      <w:marTop w:val="0"/>
      <w:marBottom w:val="0"/>
      <w:divBdr>
        <w:top w:val="none" w:sz="0" w:space="0" w:color="auto"/>
        <w:left w:val="none" w:sz="0" w:space="0" w:color="auto"/>
        <w:bottom w:val="none" w:sz="0" w:space="0" w:color="auto"/>
        <w:right w:val="none" w:sz="0" w:space="0" w:color="auto"/>
      </w:divBdr>
    </w:div>
    <w:div w:id="364908173">
      <w:bodyDiv w:val="1"/>
      <w:marLeft w:val="0"/>
      <w:marRight w:val="0"/>
      <w:marTop w:val="0"/>
      <w:marBottom w:val="0"/>
      <w:divBdr>
        <w:top w:val="none" w:sz="0" w:space="0" w:color="auto"/>
        <w:left w:val="none" w:sz="0" w:space="0" w:color="auto"/>
        <w:bottom w:val="none" w:sz="0" w:space="0" w:color="auto"/>
        <w:right w:val="none" w:sz="0" w:space="0" w:color="auto"/>
      </w:divBdr>
    </w:div>
    <w:div w:id="367294601">
      <w:bodyDiv w:val="1"/>
      <w:marLeft w:val="0"/>
      <w:marRight w:val="0"/>
      <w:marTop w:val="0"/>
      <w:marBottom w:val="0"/>
      <w:divBdr>
        <w:top w:val="none" w:sz="0" w:space="0" w:color="auto"/>
        <w:left w:val="none" w:sz="0" w:space="0" w:color="auto"/>
        <w:bottom w:val="none" w:sz="0" w:space="0" w:color="auto"/>
        <w:right w:val="none" w:sz="0" w:space="0" w:color="auto"/>
      </w:divBdr>
    </w:div>
    <w:div w:id="374504936">
      <w:bodyDiv w:val="1"/>
      <w:marLeft w:val="0"/>
      <w:marRight w:val="0"/>
      <w:marTop w:val="0"/>
      <w:marBottom w:val="0"/>
      <w:divBdr>
        <w:top w:val="none" w:sz="0" w:space="0" w:color="auto"/>
        <w:left w:val="none" w:sz="0" w:space="0" w:color="auto"/>
        <w:bottom w:val="none" w:sz="0" w:space="0" w:color="auto"/>
        <w:right w:val="none" w:sz="0" w:space="0" w:color="auto"/>
      </w:divBdr>
    </w:div>
    <w:div w:id="375737814">
      <w:bodyDiv w:val="1"/>
      <w:marLeft w:val="0"/>
      <w:marRight w:val="0"/>
      <w:marTop w:val="0"/>
      <w:marBottom w:val="0"/>
      <w:divBdr>
        <w:top w:val="none" w:sz="0" w:space="0" w:color="auto"/>
        <w:left w:val="none" w:sz="0" w:space="0" w:color="auto"/>
        <w:bottom w:val="none" w:sz="0" w:space="0" w:color="auto"/>
        <w:right w:val="none" w:sz="0" w:space="0" w:color="auto"/>
      </w:divBdr>
    </w:div>
    <w:div w:id="382145325">
      <w:bodyDiv w:val="1"/>
      <w:marLeft w:val="0"/>
      <w:marRight w:val="0"/>
      <w:marTop w:val="0"/>
      <w:marBottom w:val="0"/>
      <w:divBdr>
        <w:top w:val="none" w:sz="0" w:space="0" w:color="auto"/>
        <w:left w:val="none" w:sz="0" w:space="0" w:color="auto"/>
        <w:bottom w:val="none" w:sz="0" w:space="0" w:color="auto"/>
        <w:right w:val="none" w:sz="0" w:space="0" w:color="auto"/>
      </w:divBdr>
    </w:div>
    <w:div w:id="385028698">
      <w:bodyDiv w:val="1"/>
      <w:marLeft w:val="0"/>
      <w:marRight w:val="0"/>
      <w:marTop w:val="0"/>
      <w:marBottom w:val="0"/>
      <w:divBdr>
        <w:top w:val="none" w:sz="0" w:space="0" w:color="auto"/>
        <w:left w:val="none" w:sz="0" w:space="0" w:color="auto"/>
        <w:bottom w:val="none" w:sz="0" w:space="0" w:color="auto"/>
        <w:right w:val="none" w:sz="0" w:space="0" w:color="auto"/>
      </w:divBdr>
    </w:div>
    <w:div w:id="388917691">
      <w:bodyDiv w:val="1"/>
      <w:marLeft w:val="0"/>
      <w:marRight w:val="0"/>
      <w:marTop w:val="0"/>
      <w:marBottom w:val="0"/>
      <w:divBdr>
        <w:top w:val="none" w:sz="0" w:space="0" w:color="auto"/>
        <w:left w:val="none" w:sz="0" w:space="0" w:color="auto"/>
        <w:bottom w:val="none" w:sz="0" w:space="0" w:color="auto"/>
        <w:right w:val="none" w:sz="0" w:space="0" w:color="auto"/>
      </w:divBdr>
    </w:div>
    <w:div w:id="392702584">
      <w:bodyDiv w:val="1"/>
      <w:marLeft w:val="0"/>
      <w:marRight w:val="0"/>
      <w:marTop w:val="0"/>
      <w:marBottom w:val="0"/>
      <w:divBdr>
        <w:top w:val="none" w:sz="0" w:space="0" w:color="auto"/>
        <w:left w:val="none" w:sz="0" w:space="0" w:color="auto"/>
        <w:bottom w:val="none" w:sz="0" w:space="0" w:color="auto"/>
        <w:right w:val="none" w:sz="0" w:space="0" w:color="auto"/>
      </w:divBdr>
    </w:div>
    <w:div w:id="397754428">
      <w:bodyDiv w:val="1"/>
      <w:marLeft w:val="0"/>
      <w:marRight w:val="0"/>
      <w:marTop w:val="0"/>
      <w:marBottom w:val="0"/>
      <w:divBdr>
        <w:top w:val="none" w:sz="0" w:space="0" w:color="auto"/>
        <w:left w:val="none" w:sz="0" w:space="0" w:color="auto"/>
        <w:bottom w:val="none" w:sz="0" w:space="0" w:color="auto"/>
        <w:right w:val="none" w:sz="0" w:space="0" w:color="auto"/>
      </w:divBdr>
    </w:div>
    <w:div w:id="399713495">
      <w:bodyDiv w:val="1"/>
      <w:marLeft w:val="0"/>
      <w:marRight w:val="0"/>
      <w:marTop w:val="0"/>
      <w:marBottom w:val="0"/>
      <w:divBdr>
        <w:top w:val="none" w:sz="0" w:space="0" w:color="auto"/>
        <w:left w:val="none" w:sz="0" w:space="0" w:color="auto"/>
        <w:bottom w:val="none" w:sz="0" w:space="0" w:color="auto"/>
        <w:right w:val="none" w:sz="0" w:space="0" w:color="auto"/>
      </w:divBdr>
    </w:div>
    <w:div w:id="403374957">
      <w:bodyDiv w:val="1"/>
      <w:marLeft w:val="0"/>
      <w:marRight w:val="0"/>
      <w:marTop w:val="0"/>
      <w:marBottom w:val="0"/>
      <w:divBdr>
        <w:top w:val="none" w:sz="0" w:space="0" w:color="auto"/>
        <w:left w:val="none" w:sz="0" w:space="0" w:color="auto"/>
        <w:bottom w:val="none" w:sz="0" w:space="0" w:color="auto"/>
        <w:right w:val="none" w:sz="0" w:space="0" w:color="auto"/>
      </w:divBdr>
    </w:div>
    <w:div w:id="406921719">
      <w:bodyDiv w:val="1"/>
      <w:marLeft w:val="0"/>
      <w:marRight w:val="0"/>
      <w:marTop w:val="0"/>
      <w:marBottom w:val="0"/>
      <w:divBdr>
        <w:top w:val="none" w:sz="0" w:space="0" w:color="auto"/>
        <w:left w:val="none" w:sz="0" w:space="0" w:color="auto"/>
        <w:bottom w:val="none" w:sz="0" w:space="0" w:color="auto"/>
        <w:right w:val="none" w:sz="0" w:space="0" w:color="auto"/>
      </w:divBdr>
    </w:div>
    <w:div w:id="416826440">
      <w:bodyDiv w:val="1"/>
      <w:marLeft w:val="0"/>
      <w:marRight w:val="0"/>
      <w:marTop w:val="0"/>
      <w:marBottom w:val="0"/>
      <w:divBdr>
        <w:top w:val="none" w:sz="0" w:space="0" w:color="auto"/>
        <w:left w:val="none" w:sz="0" w:space="0" w:color="auto"/>
        <w:bottom w:val="none" w:sz="0" w:space="0" w:color="auto"/>
        <w:right w:val="none" w:sz="0" w:space="0" w:color="auto"/>
      </w:divBdr>
    </w:div>
    <w:div w:id="424812601">
      <w:bodyDiv w:val="1"/>
      <w:marLeft w:val="0"/>
      <w:marRight w:val="0"/>
      <w:marTop w:val="0"/>
      <w:marBottom w:val="0"/>
      <w:divBdr>
        <w:top w:val="none" w:sz="0" w:space="0" w:color="auto"/>
        <w:left w:val="none" w:sz="0" w:space="0" w:color="auto"/>
        <w:bottom w:val="none" w:sz="0" w:space="0" w:color="auto"/>
        <w:right w:val="none" w:sz="0" w:space="0" w:color="auto"/>
      </w:divBdr>
    </w:div>
    <w:div w:id="425229527">
      <w:bodyDiv w:val="1"/>
      <w:marLeft w:val="0"/>
      <w:marRight w:val="0"/>
      <w:marTop w:val="0"/>
      <w:marBottom w:val="0"/>
      <w:divBdr>
        <w:top w:val="none" w:sz="0" w:space="0" w:color="auto"/>
        <w:left w:val="none" w:sz="0" w:space="0" w:color="auto"/>
        <w:bottom w:val="none" w:sz="0" w:space="0" w:color="auto"/>
        <w:right w:val="none" w:sz="0" w:space="0" w:color="auto"/>
      </w:divBdr>
    </w:div>
    <w:div w:id="432017005">
      <w:bodyDiv w:val="1"/>
      <w:marLeft w:val="0"/>
      <w:marRight w:val="0"/>
      <w:marTop w:val="0"/>
      <w:marBottom w:val="0"/>
      <w:divBdr>
        <w:top w:val="none" w:sz="0" w:space="0" w:color="auto"/>
        <w:left w:val="none" w:sz="0" w:space="0" w:color="auto"/>
        <w:bottom w:val="none" w:sz="0" w:space="0" w:color="auto"/>
        <w:right w:val="none" w:sz="0" w:space="0" w:color="auto"/>
      </w:divBdr>
    </w:div>
    <w:div w:id="436222539">
      <w:bodyDiv w:val="1"/>
      <w:marLeft w:val="0"/>
      <w:marRight w:val="0"/>
      <w:marTop w:val="0"/>
      <w:marBottom w:val="0"/>
      <w:divBdr>
        <w:top w:val="none" w:sz="0" w:space="0" w:color="auto"/>
        <w:left w:val="none" w:sz="0" w:space="0" w:color="auto"/>
        <w:bottom w:val="none" w:sz="0" w:space="0" w:color="auto"/>
        <w:right w:val="none" w:sz="0" w:space="0" w:color="auto"/>
      </w:divBdr>
    </w:div>
    <w:div w:id="436410649">
      <w:bodyDiv w:val="1"/>
      <w:marLeft w:val="0"/>
      <w:marRight w:val="0"/>
      <w:marTop w:val="0"/>
      <w:marBottom w:val="0"/>
      <w:divBdr>
        <w:top w:val="none" w:sz="0" w:space="0" w:color="auto"/>
        <w:left w:val="none" w:sz="0" w:space="0" w:color="auto"/>
        <w:bottom w:val="none" w:sz="0" w:space="0" w:color="auto"/>
        <w:right w:val="none" w:sz="0" w:space="0" w:color="auto"/>
      </w:divBdr>
    </w:div>
    <w:div w:id="440759538">
      <w:bodyDiv w:val="1"/>
      <w:marLeft w:val="0"/>
      <w:marRight w:val="0"/>
      <w:marTop w:val="0"/>
      <w:marBottom w:val="0"/>
      <w:divBdr>
        <w:top w:val="none" w:sz="0" w:space="0" w:color="auto"/>
        <w:left w:val="none" w:sz="0" w:space="0" w:color="auto"/>
        <w:bottom w:val="none" w:sz="0" w:space="0" w:color="auto"/>
        <w:right w:val="none" w:sz="0" w:space="0" w:color="auto"/>
      </w:divBdr>
    </w:div>
    <w:div w:id="448669101">
      <w:bodyDiv w:val="1"/>
      <w:marLeft w:val="0"/>
      <w:marRight w:val="0"/>
      <w:marTop w:val="0"/>
      <w:marBottom w:val="0"/>
      <w:divBdr>
        <w:top w:val="none" w:sz="0" w:space="0" w:color="auto"/>
        <w:left w:val="none" w:sz="0" w:space="0" w:color="auto"/>
        <w:bottom w:val="none" w:sz="0" w:space="0" w:color="auto"/>
        <w:right w:val="none" w:sz="0" w:space="0" w:color="auto"/>
      </w:divBdr>
    </w:div>
    <w:div w:id="451678701">
      <w:bodyDiv w:val="1"/>
      <w:marLeft w:val="0"/>
      <w:marRight w:val="0"/>
      <w:marTop w:val="0"/>
      <w:marBottom w:val="0"/>
      <w:divBdr>
        <w:top w:val="none" w:sz="0" w:space="0" w:color="auto"/>
        <w:left w:val="none" w:sz="0" w:space="0" w:color="auto"/>
        <w:bottom w:val="none" w:sz="0" w:space="0" w:color="auto"/>
        <w:right w:val="none" w:sz="0" w:space="0" w:color="auto"/>
      </w:divBdr>
    </w:div>
    <w:div w:id="451828644">
      <w:bodyDiv w:val="1"/>
      <w:marLeft w:val="0"/>
      <w:marRight w:val="0"/>
      <w:marTop w:val="0"/>
      <w:marBottom w:val="0"/>
      <w:divBdr>
        <w:top w:val="none" w:sz="0" w:space="0" w:color="auto"/>
        <w:left w:val="none" w:sz="0" w:space="0" w:color="auto"/>
        <w:bottom w:val="none" w:sz="0" w:space="0" w:color="auto"/>
        <w:right w:val="none" w:sz="0" w:space="0" w:color="auto"/>
      </w:divBdr>
    </w:div>
    <w:div w:id="452987664">
      <w:bodyDiv w:val="1"/>
      <w:marLeft w:val="0"/>
      <w:marRight w:val="0"/>
      <w:marTop w:val="0"/>
      <w:marBottom w:val="0"/>
      <w:divBdr>
        <w:top w:val="none" w:sz="0" w:space="0" w:color="auto"/>
        <w:left w:val="none" w:sz="0" w:space="0" w:color="auto"/>
        <w:bottom w:val="none" w:sz="0" w:space="0" w:color="auto"/>
        <w:right w:val="none" w:sz="0" w:space="0" w:color="auto"/>
      </w:divBdr>
    </w:div>
    <w:div w:id="453988650">
      <w:bodyDiv w:val="1"/>
      <w:marLeft w:val="0"/>
      <w:marRight w:val="0"/>
      <w:marTop w:val="0"/>
      <w:marBottom w:val="0"/>
      <w:divBdr>
        <w:top w:val="none" w:sz="0" w:space="0" w:color="auto"/>
        <w:left w:val="none" w:sz="0" w:space="0" w:color="auto"/>
        <w:bottom w:val="none" w:sz="0" w:space="0" w:color="auto"/>
        <w:right w:val="none" w:sz="0" w:space="0" w:color="auto"/>
      </w:divBdr>
    </w:div>
    <w:div w:id="454254947">
      <w:bodyDiv w:val="1"/>
      <w:marLeft w:val="0"/>
      <w:marRight w:val="0"/>
      <w:marTop w:val="0"/>
      <w:marBottom w:val="0"/>
      <w:divBdr>
        <w:top w:val="none" w:sz="0" w:space="0" w:color="auto"/>
        <w:left w:val="none" w:sz="0" w:space="0" w:color="auto"/>
        <w:bottom w:val="none" w:sz="0" w:space="0" w:color="auto"/>
        <w:right w:val="none" w:sz="0" w:space="0" w:color="auto"/>
      </w:divBdr>
    </w:div>
    <w:div w:id="460810075">
      <w:bodyDiv w:val="1"/>
      <w:marLeft w:val="0"/>
      <w:marRight w:val="0"/>
      <w:marTop w:val="0"/>
      <w:marBottom w:val="0"/>
      <w:divBdr>
        <w:top w:val="none" w:sz="0" w:space="0" w:color="auto"/>
        <w:left w:val="none" w:sz="0" w:space="0" w:color="auto"/>
        <w:bottom w:val="none" w:sz="0" w:space="0" w:color="auto"/>
        <w:right w:val="none" w:sz="0" w:space="0" w:color="auto"/>
      </w:divBdr>
    </w:div>
    <w:div w:id="470365896">
      <w:bodyDiv w:val="1"/>
      <w:marLeft w:val="0"/>
      <w:marRight w:val="0"/>
      <w:marTop w:val="0"/>
      <w:marBottom w:val="0"/>
      <w:divBdr>
        <w:top w:val="none" w:sz="0" w:space="0" w:color="auto"/>
        <w:left w:val="none" w:sz="0" w:space="0" w:color="auto"/>
        <w:bottom w:val="none" w:sz="0" w:space="0" w:color="auto"/>
        <w:right w:val="none" w:sz="0" w:space="0" w:color="auto"/>
      </w:divBdr>
    </w:div>
    <w:div w:id="473259842">
      <w:bodyDiv w:val="1"/>
      <w:marLeft w:val="0"/>
      <w:marRight w:val="0"/>
      <w:marTop w:val="0"/>
      <w:marBottom w:val="0"/>
      <w:divBdr>
        <w:top w:val="none" w:sz="0" w:space="0" w:color="auto"/>
        <w:left w:val="none" w:sz="0" w:space="0" w:color="auto"/>
        <w:bottom w:val="none" w:sz="0" w:space="0" w:color="auto"/>
        <w:right w:val="none" w:sz="0" w:space="0" w:color="auto"/>
      </w:divBdr>
      <w:divsChild>
        <w:div w:id="412896442">
          <w:marLeft w:val="0"/>
          <w:marRight w:val="0"/>
          <w:marTop w:val="0"/>
          <w:marBottom w:val="0"/>
          <w:divBdr>
            <w:top w:val="none" w:sz="0" w:space="0" w:color="auto"/>
            <w:left w:val="none" w:sz="0" w:space="0" w:color="auto"/>
            <w:bottom w:val="none" w:sz="0" w:space="0" w:color="auto"/>
            <w:right w:val="none" w:sz="0" w:space="0" w:color="auto"/>
          </w:divBdr>
        </w:div>
        <w:div w:id="501554287">
          <w:marLeft w:val="0"/>
          <w:marRight w:val="0"/>
          <w:marTop w:val="0"/>
          <w:marBottom w:val="0"/>
          <w:divBdr>
            <w:top w:val="none" w:sz="0" w:space="0" w:color="auto"/>
            <w:left w:val="none" w:sz="0" w:space="0" w:color="auto"/>
            <w:bottom w:val="none" w:sz="0" w:space="0" w:color="auto"/>
            <w:right w:val="none" w:sz="0" w:space="0" w:color="auto"/>
          </w:divBdr>
        </w:div>
        <w:div w:id="1119565058">
          <w:marLeft w:val="0"/>
          <w:marRight w:val="0"/>
          <w:marTop w:val="0"/>
          <w:marBottom w:val="0"/>
          <w:divBdr>
            <w:top w:val="none" w:sz="0" w:space="0" w:color="auto"/>
            <w:left w:val="none" w:sz="0" w:space="0" w:color="auto"/>
            <w:bottom w:val="none" w:sz="0" w:space="0" w:color="auto"/>
            <w:right w:val="none" w:sz="0" w:space="0" w:color="auto"/>
          </w:divBdr>
        </w:div>
        <w:div w:id="1508835337">
          <w:marLeft w:val="0"/>
          <w:marRight w:val="0"/>
          <w:marTop w:val="0"/>
          <w:marBottom w:val="0"/>
          <w:divBdr>
            <w:top w:val="none" w:sz="0" w:space="0" w:color="auto"/>
            <w:left w:val="none" w:sz="0" w:space="0" w:color="auto"/>
            <w:bottom w:val="none" w:sz="0" w:space="0" w:color="auto"/>
            <w:right w:val="none" w:sz="0" w:space="0" w:color="auto"/>
          </w:divBdr>
        </w:div>
        <w:div w:id="1633436157">
          <w:marLeft w:val="0"/>
          <w:marRight w:val="0"/>
          <w:marTop w:val="0"/>
          <w:marBottom w:val="0"/>
          <w:divBdr>
            <w:top w:val="none" w:sz="0" w:space="0" w:color="auto"/>
            <w:left w:val="none" w:sz="0" w:space="0" w:color="auto"/>
            <w:bottom w:val="none" w:sz="0" w:space="0" w:color="auto"/>
            <w:right w:val="none" w:sz="0" w:space="0" w:color="auto"/>
          </w:divBdr>
        </w:div>
      </w:divsChild>
    </w:div>
    <w:div w:id="477772635">
      <w:bodyDiv w:val="1"/>
      <w:marLeft w:val="0"/>
      <w:marRight w:val="0"/>
      <w:marTop w:val="0"/>
      <w:marBottom w:val="0"/>
      <w:divBdr>
        <w:top w:val="none" w:sz="0" w:space="0" w:color="auto"/>
        <w:left w:val="none" w:sz="0" w:space="0" w:color="auto"/>
        <w:bottom w:val="none" w:sz="0" w:space="0" w:color="auto"/>
        <w:right w:val="none" w:sz="0" w:space="0" w:color="auto"/>
      </w:divBdr>
    </w:div>
    <w:div w:id="480078895">
      <w:bodyDiv w:val="1"/>
      <w:marLeft w:val="0"/>
      <w:marRight w:val="0"/>
      <w:marTop w:val="0"/>
      <w:marBottom w:val="0"/>
      <w:divBdr>
        <w:top w:val="none" w:sz="0" w:space="0" w:color="auto"/>
        <w:left w:val="none" w:sz="0" w:space="0" w:color="auto"/>
        <w:bottom w:val="none" w:sz="0" w:space="0" w:color="auto"/>
        <w:right w:val="none" w:sz="0" w:space="0" w:color="auto"/>
      </w:divBdr>
    </w:div>
    <w:div w:id="481967998">
      <w:bodyDiv w:val="1"/>
      <w:marLeft w:val="0"/>
      <w:marRight w:val="0"/>
      <w:marTop w:val="0"/>
      <w:marBottom w:val="0"/>
      <w:divBdr>
        <w:top w:val="none" w:sz="0" w:space="0" w:color="auto"/>
        <w:left w:val="none" w:sz="0" w:space="0" w:color="auto"/>
        <w:bottom w:val="none" w:sz="0" w:space="0" w:color="auto"/>
        <w:right w:val="none" w:sz="0" w:space="0" w:color="auto"/>
      </w:divBdr>
    </w:div>
    <w:div w:id="489905164">
      <w:bodyDiv w:val="1"/>
      <w:marLeft w:val="0"/>
      <w:marRight w:val="0"/>
      <w:marTop w:val="0"/>
      <w:marBottom w:val="0"/>
      <w:divBdr>
        <w:top w:val="none" w:sz="0" w:space="0" w:color="auto"/>
        <w:left w:val="none" w:sz="0" w:space="0" w:color="auto"/>
        <w:bottom w:val="none" w:sz="0" w:space="0" w:color="auto"/>
        <w:right w:val="none" w:sz="0" w:space="0" w:color="auto"/>
      </w:divBdr>
    </w:div>
    <w:div w:id="495269099">
      <w:bodyDiv w:val="1"/>
      <w:marLeft w:val="0"/>
      <w:marRight w:val="0"/>
      <w:marTop w:val="0"/>
      <w:marBottom w:val="0"/>
      <w:divBdr>
        <w:top w:val="none" w:sz="0" w:space="0" w:color="auto"/>
        <w:left w:val="none" w:sz="0" w:space="0" w:color="auto"/>
        <w:bottom w:val="none" w:sz="0" w:space="0" w:color="auto"/>
        <w:right w:val="none" w:sz="0" w:space="0" w:color="auto"/>
      </w:divBdr>
    </w:div>
    <w:div w:id="495732680">
      <w:bodyDiv w:val="1"/>
      <w:marLeft w:val="0"/>
      <w:marRight w:val="0"/>
      <w:marTop w:val="0"/>
      <w:marBottom w:val="0"/>
      <w:divBdr>
        <w:top w:val="none" w:sz="0" w:space="0" w:color="auto"/>
        <w:left w:val="none" w:sz="0" w:space="0" w:color="auto"/>
        <w:bottom w:val="none" w:sz="0" w:space="0" w:color="auto"/>
        <w:right w:val="none" w:sz="0" w:space="0" w:color="auto"/>
      </w:divBdr>
    </w:div>
    <w:div w:id="498279901">
      <w:bodyDiv w:val="1"/>
      <w:marLeft w:val="0"/>
      <w:marRight w:val="0"/>
      <w:marTop w:val="0"/>
      <w:marBottom w:val="0"/>
      <w:divBdr>
        <w:top w:val="none" w:sz="0" w:space="0" w:color="auto"/>
        <w:left w:val="none" w:sz="0" w:space="0" w:color="auto"/>
        <w:bottom w:val="none" w:sz="0" w:space="0" w:color="auto"/>
        <w:right w:val="none" w:sz="0" w:space="0" w:color="auto"/>
      </w:divBdr>
    </w:div>
    <w:div w:id="501438255">
      <w:bodyDiv w:val="1"/>
      <w:marLeft w:val="0"/>
      <w:marRight w:val="0"/>
      <w:marTop w:val="0"/>
      <w:marBottom w:val="0"/>
      <w:divBdr>
        <w:top w:val="none" w:sz="0" w:space="0" w:color="auto"/>
        <w:left w:val="none" w:sz="0" w:space="0" w:color="auto"/>
        <w:bottom w:val="none" w:sz="0" w:space="0" w:color="auto"/>
        <w:right w:val="none" w:sz="0" w:space="0" w:color="auto"/>
      </w:divBdr>
    </w:div>
    <w:div w:id="501701223">
      <w:bodyDiv w:val="1"/>
      <w:marLeft w:val="0"/>
      <w:marRight w:val="0"/>
      <w:marTop w:val="0"/>
      <w:marBottom w:val="0"/>
      <w:divBdr>
        <w:top w:val="none" w:sz="0" w:space="0" w:color="auto"/>
        <w:left w:val="none" w:sz="0" w:space="0" w:color="auto"/>
        <w:bottom w:val="none" w:sz="0" w:space="0" w:color="auto"/>
        <w:right w:val="none" w:sz="0" w:space="0" w:color="auto"/>
      </w:divBdr>
    </w:div>
    <w:div w:id="506362450">
      <w:bodyDiv w:val="1"/>
      <w:marLeft w:val="0"/>
      <w:marRight w:val="0"/>
      <w:marTop w:val="0"/>
      <w:marBottom w:val="0"/>
      <w:divBdr>
        <w:top w:val="none" w:sz="0" w:space="0" w:color="auto"/>
        <w:left w:val="none" w:sz="0" w:space="0" w:color="auto"/>
        <w:bottom w:val="none" w:sz="0" w:space="0" w:color="auto"/>
        <w:right w:val="none" w:sz="0" w:space="0" w:color="auto"/>
      </w:divBdr>
    </w:div>
    <w:div w:id="510411823">
      <w:bodyDiv w:val="1"/>
      <w:marLeft w:val="0"/>
      <w:marRight w:val="0"/>
      <w:marTop w:val="0"/>
      <w:marBottom w:val="0"/>
      <w:divBdr>
        <w:top w:val="none" w:sz="0" w:space="0" w:color="auto"/>
        <w:left w:val="none" w:sz="0" w:space="0" w:color="auto"/>
        <w:bottom w:val="none" w:sz="0" w:space="0" w:color="auto"/>
        <w:right w:val="none" w:sz="0" w:space="0" w:color="auto"/>
      </w:divBdr>
    </w:div>
    <w:div w:id="511798862">
      <w:bodyDiv w:val="1"/>
      <w:marLeft w:val="0"/>
      <w:marRight w:val="0"/>
      <w:marTop w:val="0"/>
      <w:marBottom w:val="0"/>
      <w:divBdr>
        <w:top w:val="none" w:sz="0" w:space="0" w:color="auto"/>
        <w:left w:val="none" w:sz="0" w:space="0" w:color="auto"/>
        <w:bottom w:val="none" w:sz="0" w:space="0" w:color="auto"/>
        <w:right w:val="none" w:sz="0" w:space="0" w:color="auto"/>
      </w:divBdr>
    </w:div>
    <w:div w:id="519514403">
      <w:bodyDiv w:val="1"/>
      <w:marLeft w:val="0"/>
      <w:marRight w:val="0"/>
      <w:marTop w:val="0"/>
      <w:marBottom w:val="0"/>
      <w:divBdr>
        <w:top w:val="none" w:sz="0" w:space="0" w:color="auto"/>
        <w:left w:val="none" w:sz="0" w:space="0" w:color="auto"/>
        <w:bottom w:val="none" w:sz="0" w:space="0" w:color="auto"/>
        <w:right w:val="none" w:sz="0" w:space="0" w:color="auto"/>
      </w:divBdr>
    </w:div>
    <w:div w:id="530998527">
      <w:bodyDiv w:val="1"/>
      <w:marLeft w:val="0"/>
      <w:marRight w:val="0"/>
      <w:marTop w:val="0"/>
      <w:marBottom w:val="0"/>
      <w:divBdr>
        <w:top w:val="none" w:sz="0" w:space="0" w:color="auto"/>
        <w:left w:val="none" w:sz="0" w:space="0" w:color="auto"/>
        <w:bottom w:val="none" w:sz="0" w:space="0" w:color="auto"/>
        <w:right w:val="none" w:sz="0" w:space="0" w:color="auto"/>
      </w:divBdr>
    </w:div>
    <w:div w:id="531193067">
      <w:bodyDiv w:val="1"/>
      <w:marLeft w:val="0"/>
      <w:marRight w:val="0"/>
      <w:marTop w:val="0"/>
      <w:marBottom w:val="0"/>
      <w:divBdr>
        <w:top w:val="none" w:sz="0" w:space="0" w:color="auto"/>
        <w:left w:val="none" w:sz="0" w:space="0" w:color="auto"/>
        <w:bottom w:val="none" w:sz="0" w:space="0" w:color="auto"/>
        <w:right w:val="none" w:sz="0" w:space="0" w:color="auto"/>
      </w:divBdr>
    </w:div>
    <w:div w:id="538906222">
      <w:bodyDiv w:val="1"/>
      <w:marLeft w:val="0"/>
      <w:marRight w:val="0"/>
      <w:marTop w:val="0"/>
      <w:marBottom w:val="0"/>
      <w:divBdr>
        <w:top w:val="none" w:sz="0" w:space="0" w:color="auto"/>
        <w:left w:val="none" w:sz="0" w:space="0" w:color="auto"/>
        <w:bottom w:val="none" w:sz="0" w:space="0" w:color="auto"/>
        <w:right w:val="none" w:sz="0" w:space="0" w:color="auto"/>
      </w:divBdr>
    </w:div>
    <w:div w:id="539435761">
      <w:bodyDiv w:val="1"/>
      <w:marLeft w:val="0"/>
      <w:marRight w:val="0"/>
      <w:marTop w:val="0"/>
      <w:marBottom w:val="0"/>
      <w:divBdr>
        <w:top w:val="none" w:sz="0" w:space="0" w:color="auto"/>
        <w:left w:val="none" w:sz="0" w:space="0" w:color="auto"/>
        <w:bottom w:val="none" w:sz="0" w:space="0" w:color="auto"/>
        <w:right w:val="none" w:sz="0" w:space="0" w:color="auto"/>
      </w:divBdr>
    </w:div>
    <w:div w:id="541019631">
      <w:bodyDiv w:val="1"/>
      <w:marLeft w:val="0"/>
      <w:marRight w:val="0"/>
      <w:marTop w:val="0"/>
      <w:marBottom w:val="0"/>
      <w:divBdr>
        <w:top w:val="none" w:sz="0" w:space="0" w:color="auto"/>
        <w:left w:val="none" w:sz="0" w:space="0" w:color="auto"/>
        <w:bottom w:val="none" w:sz="0" w:space="0" w:color="auto"/>
        <w:right w:val="none" w:sz="0" w:space="0" w:color="auto"/>
      </w:divBdr>
    </w:div>
    <w:div w:id="547110180">
      <w:bodyDiv w:val="1"/>
      <w:marLeft w:val="0"/>
      <w:marRight w:val="0"/>
      <w:marTop w:val="0"/>
      <w:marBottom w:val="0"/>
      <w:divBdr>
        <w:top w:val="none" w:sz="0" w:space="0" w:color="auto"/>
        <w:left w:val="none" w:sz="0" w:space="0" w:color="auto"/>
        <w:bottom w:val="none" w:sz="0" w:space="0" w:color="auto"/>
        <w:right w:val="none" w:sz="0" w:space="0" w:color="auto"/>
      </w:divBdr>
    </w:div>
    <w:div w:id="550775428">
      <w:bodyDiv w:val="1"/>
      <w:marLeft w:val="0"/>
      <w:marRight w:val="0"/>
      <w:marTop w:val="0"/>
      <w:marBottom w:val="0"/>
      <w:divBdr>
        <w:top w:val="none" w:sz="0" w:space="0" w:color="auto"/>
        <w:left w:val="none" w:sz="0" w:space="0" w:color="auto"/>
        <w:bottom w:val="none" w:sz="0" w:space="0" w:color="auto"/>
        <w:right w:val="none" w:sz="0" w:space="0" w:color="auto"/>
      </w:divBdr>
      <w:divsChild>
        <w:div w:id="575625824">
          <w:marLeft w:val="0"/>
          <w:marRight w:val="0"/>
          <w:marTop w:val="0"/>
          <w:marBottom w:val="0"/>
          <w:divBdr>
            <w:top w:val="none" w:sz="0" w:space="0" w:color="auto"/>
            <w:left w:val="none" w:sz="0" w:space="0" w:color="auto"/>
            <w:bottom w:val="none" w:sz="0" w:space="0" w:color="auto"/>
            <w:right w:val="none" w:sz="0" w:space="0" w:color="auto"/>
          </w:divBdr>
        </w:div>
        <w:div w:id="711030763">
          <w:marLeft w:val="0"/>
          <w:marRight w:val="0"/>
          <w:marTop w:val="0"/>
          <w:marBottom w:val="0"/>
          <w:divBdr>
            <w:top w:val="none" w:sz="0" w:space="0" w:color="auto"/>
            <w:left w:val="none" w:sz="0" w:space="0" w:color="auto"/>
            <w:bottom w:val="none" w:sz="0" w:space="0" w:color="auto"/>
            <w:right w:val="none" w:sz="0" w:space="0" w:color="auto"/>
          </w:divBdr>
        </w:div>
        <w:div w:id="940530108">
          <w:marLeft w:val="0"/>
          <w:marRight w:val="0"/>
          <w:marTop w:val="0"/>
          <w:marBottom w:val="0"/>
          <w:divBdr>
            <w:top w:val="none" w:sz="0" w:space="0" w:color="auto"/>
            <w:left w:val="none" w:sz="0" w:space="0" w:color="auto"/>
            <w:bottom w:val="none" w:sz="0" w:space="0" w:color="auto"/>
            <w:right w:val="none" w:sz="0" w:space="0" w:color="auto"/>
          </w:divBdr>
        </w:div>
        <w:div w:id="1002390647">
          <w:marLeft w:val="0"/>
          <w:marRight w:val="0"/>
          <w:marTop w:val="0"/>
          <w:marBottom w:val="0"/>
          <w:divBdr>
            <w:top w:val="none" w:sz="0" w:space="0" w:color="auto"/>
            <w:left w:val="none" w:sz="0" w:space="0" w:color="auto"/>
            <w:bottom w:val="none" w:sz="0" w:space="0" w:color="auto"/>
            <w:right w:val="none" w:sz="0" w:space="0" w:color="auto"/>
          </w:divBdr>
        </w:div>
        <w:div w:id="1412122987">
          <w:marLeft w:val="0"/>
          <w:marRight w:val="0"/>
          <w:marTop w:val="0"/>
          <w:marBottom w:val="0"/>
          <w:divBdr>
            <w:top w:val="none" w:sz="0" w:space="0" w:color="auto"/>
            <w:left w:val="none" w:sz="0" w:space="0" w:color="auto"/>
            <w:bottom w:val="none" w:sz="0" w:space="0" w:color="auto"/>
            <w:right w:val="none" w:sz="0" w:space="0" w:color="auto"/>
          </w:divBdr>
        </w:div>
      </w:divsChild>
    </w:div>
    <w:div w:id="558171234">
      <w:bodyDiv w:val="1"/>
      <w:marLeft w:val="0"/>
      <w:marRight w:val="0"/>
      <w:marTop w:val="0"/>
      <w:marBottom w:val="0"/>
      <w:divBdr>
        <w:top w:val="none" w:sz="0" w:space="0" w:color="auto"/>
        <w:left w:val="none" w:sz="0" w:space="0" w:color="auto"/>
        <w:bottom w:val="none" w:sz="0" w:space="0" w:color="auto"/>
        <w:right w:val="none" w:sz="0" w:space="0" w:color="auto"/>
      </w:divBdr>
    </w:div>
    <w:div w:id="561872502">
      <w:bodyDiv w:val="1"/>
      <w:marLeft w:val="0"/>
      <w:marRight w:val="0"/>
      <w:marTop w:val="0"/>
      <w:marBottom w:val="0"/>
      <w:divBdr>
        <w:top w:val="none" w:sz="0" w:space="0" w:color="auto"/>
        <w:left w:val="none" w:sz="0" w:space="0" w:color="auto"/>
        <w:bottom w:val="none" w:sz="0" w:space="0" w:color="auto"/>
        <w:right w:val="none" w:sz="0" w:space="0" w:color="auto"/>
      </w:divBdr>
    </w:div>
    <w:div w:id="562567078">
      <w:bodyDiv w:val="1"/>
      <w:marLeft w:val="0"/>
      <w:marRight w:val="0"/>
      <w:marTop w:val="0"/>
      <w:marBottom w:val="0"/>
      <w:divBdr>
        <w:top w:val="none" w:sz="0" w:space="0" w:color="auto"/>
        <w:left w:val="none" w:sz="0" w:space="0" w:color="auto"/>
        <w:bottom w:val="none" w:sz="0" w:space="0" w:color="auto"/>
        <w:right w:val="none" w:sz="0" w:space="0" w:color="auto"/>
      </w:divBdr>
    </w:div>
    <w:div w:id="578635240">
      <w:bodyDiv w:val="1"/>
      <w:marLeft w:val="0"/>
      <w:marRight w:val="0"/>
      <w:marTop w:val="0"/>
      <w:marBottom w:val="0"/>
      <w:divBdr>
        <w:top w:val="none" w:sz="0" w:space="0" w:color="auto"/>
        <w:left w:val="none" w:sz="0" w:space="0" w:color="auto"/>
        <w:bottom w:val="none" w:sz="0" w:space="0" w:color="auto"/>
        <w:right w:val="none" w:sz="0" w:space="0" w:color="auto"/>
      </w:divBdr>
    </w:div>
    <w:div w:id="579486900">
      <w:bodyDiv w:val="1"/>
      <w:marLeft w:val="0"/>
      <w:marRight w:val="0"/>
      <w:marTop w:val="0"/>
      <w:marBottom w:val="0"/>
      <w:divBdr>
        <w:top w:val="none" w:sz="0" w:space="0" w:color="auto"/>
        <w:left w:val="none" w:sz="0" w:space="0" w:color="auto"/>
        <w:bottom w:val="none" w:sz="0" w:space="0" w:color="auto"/>
        <w:right w:val="none" w:sz="0" w:space="0" w:color="auto"/>
      </w:divBdr>
    </w:div>
    <w:div w:id="585260846">
      <w:bodyDiv w:val="1"/>
      <w:marLeft w:val="0"/>
      <w:marRight w:val="0"/>
      <w:marTop w:val="0"/>
      <w:marBottom w:val="0"/>
      <w:divBdr>
        <w:top w:val="none" w:sz="0" w:space="0" w:color="auto"/>
        <w:left w:val="none" w:sz="0" w:space="0" w:color="auto"/>
        <w:bottom w:val="none" w:sz="0" w:space="0" w:color="auto"/>
        <w:right w:val="none" w:sz="0" w:space="0" w:color="auto"/>
      </w:divBdr>
    </w:div>
    <w:div w:id="585727042">
      <w:bodyDiv w:val="1"/>
      <w:marLeft w:val="0"/>
      <w:marRight w:val="0"/>
      <w:marTop w:val="0"/>
      <w:marBottom w:val="0"/>
      <w:divBdr>
        <w:top w:val="none" w:sz="0" w:space="0" w:color="auto"/>
        <w:left w:val="none" w:sz="0" w:space="0" w:color="auto"/>
        <w:bottom w:val="none" w:sz="0" w:space="0" w:color="auto"/>
        <w:right w:val="none" w:sz="0" w:space="0" w:color="auto"/>
      </w:divBdr>
    </w:div>
    <w:div w:id="589776311">
      <w:bodyDiv w:val="1"/>
      <w:marLeft w:val="0"/>
      <w:marRight w:val="0"/>
      <w:marTop w:val="0"/>
      <w:marBottom w:val="0"/>
      <w:divBdr>
        <w:top w:val="none" w:sz="0" w:space="0" w:color="auto"/>
        <w:left w:val="none" w:sz="0" w:space="0" w:color="auto"/>
        <w:bottom w:val="none" w:sz="0" w:space="0" w:color="auto"/>
        <w:right w:val="none" w:sz="0" w:space="0" w:color="auto"/>
      </w:divBdr>
    </w:div>
    <w:div w:id="591280812">
      <w:bodyDiv w:val="1"/>
      <w:marLeft w:val="0"/>
      <w:marRight w:val="0"/>
      <w:marTop w:val="0"/>
      <w:marBottom w:val="0"/>
      <w:divBdr>
        <w:top w:val="none" w:sz="0" w:space="0" w:color="auto"/>
        <w:left w:val="none" w:sz="0" w:space="0" w:color="auto"/>
        <w:bottom w:val="none" w:sz="0" w:space="0" w:color="auto"/>
        <w:right w:val="none" w:sz="0" w:space="0" w:color="auto"/>
      </w:divBdr>
    </w:div>
    <w:div w:id="600528379">
      <w:bodyDiv w:val="1"/>
      <w:marLeft w:val="0"/>
      <w:marRight w:val="0"/>
      <w:marTop w:val="0"/>
      <w:marBottom w:val="0"/>
      <w:divBdr>
        <w:top w:val="none" w:sz="0" w:space="0" w:color="auto"/>
        <w:left w:val="none" w:sz="0" w:space="0" w:color="auto"/>
        <w:bottom w:val="none" w:sz="0" w:space="0" w:color="auto"/>
        <w:right w:val="none" w:sz="0" w:space="0" w:color="auto"/>
      </w:divBdr>
    </w:div>
    <w:div w:id="601374026">
      <w:bodyDiv w:val="1"/>
      <w:marLeft w:val="0"/>
      <w:marRight w:val="0"/>
      <w:marTop w:val="0"/>
      <w:marBottom w:val="0"/>
      <w:divBdr>
        <w:top w:val="none" w:sz="0" w:space="0" w:color="auto"/>
        <w:left w:val="none" w:sz="0" w:space="0" w:color="auto"/>
        <w:bottom w:val="none" w:sz="0" w:space="0" w:color="auto"/>
        <w:right w:val="none" w:sz="0" w:space="0" w:color="auto"/>
      </w:divBdr>
    </w:div>
    <w:div w:id="613631719">
      <w:bodyDiv w:val="1"/>
      <w:marLeft w:val="0"/>
      <w:marRight w:val="0"/>
      <w:marTop w:val="0"/>
      <w:marBottom w:val="0"/>
      <w:divBdr>
        <w:top w:val="none" w:sz="0" w:space="0" w:color="auto"/>
        <w:left w:val="none" w:sz="0" w:space="0" w:color="auto"/>
        <w:bottom w:val="none" w:sz="0" w:space="0" w:color="auto"/>
        <w:right w:val="none" w:sz="0" w:space="0" w:color="auto"/>
      </w:divBdr>
    </w:div>
    <w:div w:id="618268164">
      <w:bodyDiv w:val="1"/>
      <w:marLeft w:val="0"/>
      <w:marRight w:val="0"/>
      <w:marTop w:val="0"/>
      <w:marBottom w:val="0"/>
      <w:divBdr>
        <w:top w:val="none" w:sz="0" w:space="0" w:color="auto"/>
        <w:left w:val="none" w:sz="0" w:space="0" w:color="auto"/>
        <w:bottom w:val="none" w:sz="0" w:space="0" w:color="auto"/>
        <w:right w:val="none" w:sz="0" w:space="0" w:color="auto"/>
      </w:divBdr>
    </w:div>
    <w:div w:id="618295963">
      <w:bodyDiv w:val="1"/>
      <w:marLeft w:val="0"/>
      <w:marRight w:val="0"/>
      <w:marTop w:val="0"/>
      <w:marBottom w:val="0"/>
      <w:divBdr>
        <w:top w:val="none" w:sz="0" w:space="0" w:color="auto"/>
        <w:left w:val="none" w:sz="0" w:space="0" w:color="auto"/>
        <w:bottom w:val="none" w:sz="0" w:space="0" w:color="auto"/>
        <w:right w:val="none" w:sz="0" w:space="0" w:color="auto"/>
      </w:divBdr>
    </w:div>
    <w:div w:id="620495593">
      <w:bodyDiv w:val="1"/>
      <w:marLeft w:val="0"/>
      <w:marRight w:val="0"/>
      <w:marTop w:val="0"/>
      <w:marBottom w:val="0"/>
      <w:divBdr>
        <w:top w:val="none" w:sz="0" w:space="0" w:color="auto"/>
        <w:left w:val="none" w:sz="0" w:space="0" w:color="auto"/>
        <w:bottom w:val="none" w:sz="0" w:space="0" w:color="auto"/>
        <w:right w:val="none" w:sz="0" w:space="0" w:color="auto"/>
      </w:divBdr>
    </w:div>
    <w:div w:id="632060788">
      <w:bodyDiv w:val="1"/>
      <w:marLeft w:val="0"/>
      <w:marRight w:val="0"/>
      <w:marTop w:val="0"/>
      <w:marBottom w:val="0"/>
      <w:divBdr>
        <w:top w:val="none" w:sz="0" w:space="0" w:color="auto"/>
        <w:left w:val="none" w:sz="0" w:space="0" w:color="auto"/>
        <w:bottom w:val="none" w:sz="0" w:space="0" w:color="auto"/>
        <w:right w:val="none" w:sz="0" w:space="0" w:color="auto"/>
      </w:divBdr>
    </w:div>
    <w:div w:id="634675547">
      <w:bodyDiv w:val="1"/>
      <w:marLeft w:val="0"/>
      <w:marRight w:val="0"/>
      <w:marTop w:val="0"/>
      <w:marBottom w:val="0"/>
      <w:divBdr>
        <w:top w:val="none" w:sz="0" w:space="0" w:color="auto"/>
        <w:left w:val="none" w:sz="0" w:space="0" w:color="auto"/>
        <w:bottom w:val="none" w:sz="0" w:space="0" w:color="auto"/>
        <w:right w:val="none" w:sz="0" w:space="0" w:color="auto"/>
      </w:divBdr>
    </w:div>
    <w:div w:id="643120876">
      <w:bodyDiv w:val="1"/>
      <w:marLeft w:val="0"/>
      <w:marRight w:val="0"/>
      <w:marTop w:val="0"/>
      <w:marBottom w:val="0"/>
      <w:divBdr>
        <w:top w:val="none" w:sz="0" w:space="0" w:color="auto"/>
        <w:left w:val="none" w:sz="0" w:space="0" w:color="auto"/>
        <w:bottom w:val="none" w:sz="0" w:space="0" w:color="auto"/>
        <w:right w:val="none" w:sz="0" w:space="0" w:color="auto"/>
      </w:divBdr>
    </w:div>
    <w:div w:id="645205691">
      <w:bodyDiv w:val="1"/>
      <w:marLeft w:val="0"/>
      <w:marRight w:val="0"/>
      <w:marTop w:val="0"/>
      <w:marBottom w:val="0"/>
      <w:divBdr>
        <w:top w:val="none" w:sz="0" w:space="0" w:color="auto"/>
        <w:left w:val="none" w:sz="0" w:space="0" w:color="auto"/>
        <w:bottom w:val="none" w:sz="0" w:space="0" w:color="auto"/>
        <w:right w:val="none" w:sz="0" w:space="0" w:color="auto"/>
      </w:divBdr>
    </w:div>
    <w:div w:id="650673711">
      <w:bodyDiv w:val="1"/>
      <w:marLeft w:val="0"/>
      <w:marRight w:val="0"/>
      <w:marTop w:val="0"/>
      <w:marBottom w:val="0"/>
      <w:divBdr>
        <w:top w:val="none" w:sz="0" w:space="0" w:color="auto"/>
        <w:left w:val="none" w:sz="0" w:space="0" w:color="auto"/>
        <w:bottom w:val="none" w:sz="0" w:space="0" w:color="auto"/>
        <w:right w:val="none" w:sz="0" w:space="0" w:color="auto"/>
      </w:divBdr>
    </w:div>
    <w:div w:id="659967109">
      <w:bodyDiv w:val="1"/>
      <w:marLeft w:val="0"/>
      <w:marRight w:val="0"/>
      <w:marTop w:val="0"/>
      <w:marBottom w:val="0"/>
      <w:divBdr>
        <w:top w:val="none" w:sz="0" w:space="0" w:color="auto"/>
        <w:left w:val="none" w:sz="0" w:space="0" w:color="auto"/>
        <w:bottom w:val="none" w:sz="0" w:space="0" w:color="auto"/>
        <w:right w:val="none" w:sz="0" w:space="0" w:color="auto"/>
      </w:divBdr>
    </w:div>
    <w:div w:id="663357135">
      <w:bodyDiv w:val="1"/>
      <w:marLeft w:val="0"/>
      <w:marRight w:val="0"/>
      <w:marTop w:val="0"/>
      <w:marBottom w:val="0"/>
      <w:divBdr>
        <w:top w:val="none" w:sz="0" w:space="0" w:color="auto"/>
        <w:left w:val="none" w:sz="0" w:space="0" w:color="auto"/>
        <w:bottom w:val="none" w:sz="0" w:space="0" w:color="auto"/>
        <w:right w:val="none" w:sz="0" w:space="0" w:color="auto"/>
      </w:divBdr>
    </w:div>
    <w:div w:id="675032875">
      <w:bodyDiv w:val="1"/>
      <w:marLeft w:val="0"/>
      <w:marRight w:val="0"/>
      <w:marTop w:val="0"/>
      <w:marBottom w:val="0"/>
      <w:divBdr>
        <w:top w:val="none" w:sz="0" w:space="0" w:color="auto"/>
        <w:left w:val="none" w:sz="0" w:space="0" w:color="auto"/>
        <w:bottom w:val="none" w:sz="0" w:space="0" w:color="auto"/>
        <w:right w:val="none" w:sz="0" w:space="0" w:color="auto"/>
      </w:divBdr>
    </w:div>
    <w:div w:id="680350522">
      <w:bodyDiv w:val="1"/>
      <w:marLeft w:val="0"/>
      <w:marRight w:val="0"/>
      <w:marTop w:val="0"/>
      <w:marBottom w:val="0"/>
      <w:divBdr>
        <w:top w:val="none" w:sz="0" w:space="0" w:color="auto"/>
        <w:left w:val="none" w:sz="0" w:space="0" w:color="auto"/>
        <w:bottom w:val="none" w:sz="0" w:space="0" w:color="auto"/>
        <w:right w:val="none" w:sz="0" w:space="0" w:color="auto"/>
      </w:divBdr>
    </w:div>
    <w:div w:id="681007227">
      <w:bodyDiv w:val="1"/>
      <w:marLeft w:val="0"/>
      <w:marRight w:val="0"/>
      <w:marTop w:val="0"/>
      <w:marBottom w:val="0"/>
      <w:divBdr>
        <w:top w:val="none" w:sz="0" w:space="0" w:color="auto"/>
        <w:left w:val="none" w:sz="0" w:space="0" w:color="auto"/>
        <w:bottom w:val="none" w:sz="0" w:space="0" w:color="auto"/>
        <w:right w:val="none" w:sz="0" w:space="0" w:color="auto"/>
      </w:divBdr>
    </w:div>
    <w:div w:id="684668857">
      <w:bodyDiv w:val="1"/>
      <w:marLeft w:val="0"/>
      <w:marRight w:val="0"/>
      <w:marTop w:val="0"/>
      <w:marBottom w:val="0"/>
      <w:divBdr>
        <w:top w:val="none" w:sz="0" w:space="0" w:color="auto"/>
        <w:left w:val="none" w:sz="0" w:space="0" w:color="auto"/>
        <w:bottom w:val="none" w:sz="0" w:space="0" w:color="auto"/>
        <w:right w:val="none" w:sz="0" w:space="0" w:color="auto"/>
      </w:divBdr>
    </w:div>
    <w:div w:id="684865262">
      <w:bodyDiv w:val="1"/>
      <w:marLeft w:val="0"/>
      <w:marRight w:val="0"/>
      <w:marTop w:val="0"/>
      <w:marBottom w:val="0"/>
      <w:divBdr>
        <w:top w:val="none" w:sz="0" w:space="0" w:color="auto"/>
        <w:left w:val="none" w:sz="0" w:space="0" w:color="auto"/>
        <w:bottom w:val="none" w:sz="0" w:space="0" w:color="auto"/>
        <w:right w:val="none" w:sz="0" w:space="0" w:color="auto"/>
      </w:divBdr>
    </w:div>
    <w:div w:id="696083368">
      <w:bodyDiv w:val="1"/>
      <w:marLeft w:val="0"/>
      <w:marRight w:val="0"/>
      <w:marTop w:val="0"/>
      <w:marBottom w:val="0"/>
      <w:divBdr>
        <w:top w:val="none" w:sz="0" w:space="0" w:color="auto"/>
        <w:left w:val="none" w:sz="0" w:space="0" w:color="auto"/>
        <w:bottom w:val="none" w:sz="0" w:space="0" w:color="auto"/>
        <w:right w:val="none" w:sz="0" w:space="0" w:color="auto"/>
      </w:divBdr>
    </w:div>
    <w:div w:id="696809983">
      <w:bodyDiv w:val="1"/>
      <w:marLeft w:val="0"/>
      <w:marRight w:val="0"/>
      <w:marTop w:val="0"/>
      <w:marBottom w:val="0"/>
      <w:divBdr>
        <w:top w:val="none" w:sz="0" w:space="0" w:color="auto"/>
        <w:left w:val="none" w:sz="0" w:space="0" w:color="auto"/>
        <w:bottom w:val="none" w:sz="0" w:space="0" w:color="auto"/>
        <w:right w:val="none" w:sz="0" w:space="0" w:color="auto"/>
      </w:divBdr>
    </w:div>
    <w:div w:id="698431927">
      <w:bodyDiv w:val="1"/>
      <w:marLeft w:val="0"/>
      <w:marRight w:val="0"/>
      <w:marTop w:val="0"/>
      <w:marBottom w:val="0"/>
      <w:divBdr>
        <w:top w:val="none" w:sz="0" w:space="0" w:color="auto"/>
        <w:left w:val="none" w:sz="0" w:space="0" w:color="auto"/>
        <w:bottom w:val="none" w:sz="0" w:space="0" w:color="auto"/>
        <w:right w:val="none" w:sz="0" w:space="0" w:color="auto"/>
      </w:divBdr>
    </w:div>
    <w:div w:id="703405843">
      <w:bodyDiv w:val="1"/>
      <w:marLeft w:val="0"/>
      <w:marRight w:val="0"/>
      <w:marTop w:val="0"/>
      <w:marBottom w:val="0"/>
      <w:divBdr>
        <w:top w:val="none" w:sz="0" w:space="0" w:color="auto"/>
        <w:left w:val="none" w:sz="0" w:space="0" w:color="auto"/>
        <w:bottom w:val="none" w:sz="0" w:space="0" w:color="auto"/>
        <w:right w:val="none" w:sz="0" w:space="0" w:color="auto"/>
      </w:divBdr>
    </w:div>
    <w:div w:id="711926820">
      <w:bodyDiv w:val="1"/>
      <w:marLeft w:val="0"/>
      <w:marRight w:val="0"/>
      <w:marTop w:val="0"/>
      <w:marBottom w:val="0"/>
      <w:divBdr>
        <w:top w:val="none" w:sz="0" w:space="0" w:color="auto"/>
        <w:left w:val="none" w:sz="0" w:space="0" w:color="auto"/>
        <w:bottom w:val="none" w:sz="0" w:space="0" w:color="auto"/>
        <w:right w:val="none" w:sz="0" w:space="0" w:color="auto"/>
      </w:divBdr>
    </w:div>
    <w:div w:id="712460744">
      <w:bodyDiv w:val="1"/>
      <w:marLeft w:val="0"/>
      <w:marRight w:val="0"/>
      <w:marTop w:val="0"/>
      <w:marBottom w:val="0"/>
      <w:divBdr>
        <w:top w:val="none" w:sz="0" w:space="0" w:color="auto"/>
        <w:left w:val="none" w:sz="0" w:space="0" w:color="auto"/>
        <w:bottom w:val="none" w:sz="0" w:space="0" w:color="auto"/>
        <w:right w:val="none" w:sz="0" w:space="0" w:color="auto"/>
      </w:divBdr>
    </w:div>
    <w:div w:id="717316969">
      <w:bodyDiv w:val="1"/>
      <w:marLeft w:val="0"/>
      <w:marRight w:val="0"/>
      <w:marTop w:val="0"/>
      <w:marBottom w:val="0"/>
      <w:divBdr>
        <w:top w:val="none" w:sz="0" w:space="0" w:color="auto"/>
        <w:left w:val="none" w:sz="0" w:space="0" w:color="auto"/>
        <w:bottom w:val="none" w:sz="0" w:space="0" w:color="auto"/>
        <w:right w:val="none" w:sz="0" w:space="0" w:color="auto"/>
      </w:divBdr>
    </w:div>
    <w:div w:id="733041456">
      <w:bodyDiv w:val="1"/>
      <w:marLeft w:val="0"/>
      <w:marRight w:val="0"/>
      <w:marTop w:val="0"/>
      <w:marBottom w:val="0"/>
      <w:divBdr>
        <w:top w:val="none" w:sz="0" w:space="0" w:color="auto"/>
        <w:left w:val="none" w:sz="0" w:space="0" w:color="auto"/>
        <w:bottom w:val="none" w:sz="0" w:space="0" w:color="auto"/>
        <w:right w:val="none" w:sz="0" w:space="0" w:color="auto"/>
      </w:divBdr>
    </w:div>
    <w:div w:id="735207178">
      <w:bodyDiv w:val="1"/>
      <w:marLeft w:val="0"/>
      <w:marRight w:val="0"/>
      <w:marTop w:val="0"/>
      <w:marBottom w:val="0"/>
      <w:divBdr>
        <w:top w:val="none" w:sz="0" w:space="0" w:color="auto"/>
        <w:left w:val="none" w:sz="0" w:space="0" w:color="auto"/>
        <w:bottom w:val="none" w:sz="0" w:space="0" w:color="auto"/>
        <w:right w:val="none" w:sz="0" w:space="0" w:color="auto"/>
      </w:divBdr>
    </w:div>
    <w:div w:id="736977735">
      <w:bodyDiv w:val="1"/>
      <w:marLeft w:val="0"/>
      <w:marRight w:val="0"/>
      <w:marTop w:val="0"/>
      <w:marBottom w:val="0"/>
      <w:divBdr>
        <w:top w:val="none" w:sz="0" w:space="0" w:color="auto"/>
        <w:left w:val="none" w:sz="0" w:space="0" w:color="auto"/>
        <w:bottom w:val="none" w:sz="0" w:space="0" w:color="auto"/>
        <w:right w:val="none" w:sz="0" w:space="0" w:color="auto"/>
      </w:divBdr>
    </w:div>
    <w:div w:id="737509305">
      <w:bodyDiv w:val="1"/>
      <w:marLeft w:val="0"/>
      <w:marRight w:val="0"/>
      <w:marTop w:val="0"/>
      <w:marBottom w:val="0"/>
      <w:divBdr>
        <w:top w:val="none" w:sz="0" w:space="0" w:color="auto"/>
        <w:left w:val="none" w:sz="0" w:space="0" w:color="auto"/>
        <w:bottom w:val="none" w:sz="0" w:space="0" w:color="auto"/>
        <w:right w:val="none" w:sz="0" w:space="0" w:color="auto"/>
      </w:divBdr>
    </w:div>
    <w:div w:id="739060312">
      <w:bodyDiv w:val="1"/>
      <w:marLeft w:val="0"/>
      <w:marRight w:val="0"/>
      <w:marTop w:val="0"/>
      <w:marBottom w:val="0"/>
      <w:divBdr>
        <w:top w:val="none" w:sz="0" w:space="0" w:color="auto"/>
        <w:left w:val="none" w:sz="0" w:space="0" w:color="auto"/>
        <w:bottom w:val="none" w:sz="0" w:space="0" w:color="auto"/>
        <w:right w:val="none" w:sz="0" w:space="0" w:color="auto"/>
      </w:divBdr>
    </w:div>
    <w:div w:id="740636785">
      <w:bodyDiv w:val="1"/>
      <w:marLeft w:val="0"/>
      <w:marRight w:val="0"/>
      <w:marTop w:val="0"/>
      <w:marBottom w:val="0"/>
      <w:divBdr>
        <w:top w:val="none" w:sz="0" w:space="0" w:color="auto"/>
        <w:left w:val="none" w:sz="0" w:space="0" w:color="auto"/>
        <w:bottom w:val="none" w:sz="0" w:space="0" w:color="auto"/>
        <w:right w:val="none" w:sz="0" w:space="0" w:color="auto"/>
      </w:divBdr>
    </w:div>
    <w:div w:id="745155424">
      <w:bodyDiv w:val="1"/>
      <w:marLeft w:val="0"/>
      <w:marRight w:val="0"/>
      <w:marTop w:val="0"/>
      <w:marBottom w:val="0"/>
      <w:divBdr>
        <w:top w:val="none" w:sz="0" w:space="0" w:color="auto"/>
        <w:left w:val="none" w:sz="0" w:space="0" w:color="auto"/>
        <w:bottom w:val="none" w:sz="0" w:space="0" w:color="auto"/>
        <w:right w:val="none" w:sz="0" w:space="0" w:color="auto"/>
      </w:divBdr>
    </w:div>
    <w:div w:id="752432400">
      <w:bodyDiv w:val="1"/>
      <w:marLeft w:val="0"/>
      <w:marRight w:val="0"/>
      <w:marTop w:val="0"/>
      <w:marBottom w:val="0"/>
      <w:divBdr>
        <w:top w:val="none" w:sz="0" w:space="0" w:color="auto"/>
        <w:left w:val="none" w:sz="0" w:space="0" w:color="auto"/>
        <w:bottom w:val="none" w:sz="0" w:space="0" w:color="auto"/>
        <w:right w:val="none" w:sz="0" w:space="0" w:color="auto"/>
      </w:divBdr>
    </w:div>
    <w:div w:id="772433877">
      <w:bodyDiv w:val="1"/>
      <w:marLeft w:val="0"/>
      <w:marRight w:val="0"/>
      <w:marTop w:val="0"/>
      <w:marBottom w:val="0"/>
      <w:divBdr>
        <w:top w:val="none" w:sz="0" w:space="0" w:color="auto"/>
        <w:left w:val="none" w:sz="0" w:space="0" w:color="auto"/>
        <w:bottom w:val="none" w:sz="0" w:space="0" w:color="auto"/>
        <w:right w:val="none" w:sz="0" w:space="0" w:color="auto"/>
      </w:divBdr>
    </w:div>
    <w:div w:id="776173281">
      <w:bodyDiv w:val="1"/>
      <w:marLeft w:val="0"/>
      <w:marRight w:val="0"/>
      <w:marTop w:val="0"/>
      <w:marBottom w:val="0"/>
      <w:divBdr>
        <w:top w:val="none" w:sz="0" w:space="0" w:color="auto"/>
        <w:left w:val="none" w:sz="0" w:space="0" w:color="auto"/>
        <w:bottom w:val="none" w:sz="0" w:space="0" w:color="auto"/>
        <w:right w:val="none" w:sz="0" w:space="0" w:color="auto"/>
      </w:divBdr>
    </w:div>
    <w:div w:id="786580496">
      <w:bodyDiv w:val="1"/>
      <w:marLeft w:val="0"/>
      <w:marRight w:val="0"/>
      <w:marTop w:val="0"/>
      <w:marBottom w:val="0"/>
      <w:divBdr>
        <w:top w:val="none" w:sz="0" w:space="0" w:color="auto"/>
        <w:left w:val="none" w:sz="0" w:space="0" w:color="auto"/>
        <w:bottom w:val="none" w:sz="0" w:space="0" w:color="auto"/>
        <w:right w:val="none" w:sz="0" w:space="0" w:color="auto"/>
      </w:divBdr>
    </w:div>
    <w:div w:id="787429953">
      <w:bodyDiv w:val="1"/>
      <w:marLeft w:val="0"/>
      <w:marRight w:val="0"/>
      <w:marTop w:val="0"/>
      <w:marBottom w:val="0"/>
      <w:divBdr>
        <w:top w:val="none" w:sz="0" w:space="0" w:color="auto"/>
        <w:left w:val="none" w:sz="0" w:space="0" w:color="auto"/>
        <w:bottom w:val="none" w:sz="0" w:space="0" w:color="auto"/>
        <w:right w:val="none" w:sz="0" w:space="0" w:color="auto"/>
      </w:divBdr>
    </w:div>
    <w:div w:id="789204812">
      <w:bodyDiv w:val="1"/>
      <w:marLeft w:val="0"/>
      <w:marRight w:val="0"/>
      <w:marTop w:val="0"/>
      <w:marBottom w:val="0"/>
      <w:divBdr>
        <w:top w:val="none" w:sz="0" w:space="0" w:color="auto"/>
        <w:left w:val="none" w:sz="0" w:space="0" w:color="auto"/>
        <w:bottom w:val="none" w:sz="0" w:space="0" w:color="auto"/>
        <w:right w:val="none" w:sz="0" w:space="0" w:color="auto"/>
      </w:divBdr>
    </w:div>
    <w:div w:id="799879564">
      <w:bodyDiv w:val="1"/>
      <w:marLeft w:val="0"/>
      <w:marRight w:val="0"/>
      <w:marTop w:val="0"/>
      <w:marBottom w:val="0"/>
      <w:divBdr>
        <w:top w:val="none" w:sz="0" w:space="0" w:color="auto"/>
        <w:left w:val="none" w:sz="0" w:space="0" w:color="auto"/>
        <w:bottom w:val="none" w:sz="0" w:space="0" w:color="auto"/>
        <w:right w:val="none" w:sz="0" w:space="0" w:color="auto"/>
      </w:divBdr>
    </w:div>
    <w:div w:id="807087833">
      <w:bodyDiv w:val="1"/>
      <w:marLeft w:val="0"/>
      <w:marRight w:val="0"/>
      <w:marTop w:val="0"/>
      <w:marBottom w:val="0"/>
      <w:divBdr>
        <w:top w:val="none" w:sz="0" w:space="0" w:color="auto"/>
        <w:left w:val="none" w:sz="0" w:space="0" w:color="auto"/>
        <w:bottom w:val="none" w:sz="0" w:space="0" w:color="auto"/>
        <w:right w:val="none" w:sz="0" w:space="0" w:color="auto"/>
      </w:divBdr>
    </w:div>
    <w:div w:id="808472936">
      <w:bodyDiv w:val="1"/>
      <w:marLeft w:val="0"/>
      <w:marRight w:val="0"/>
      <w:marTop w:val="0"/>
      <w:marBottom w:val="0"/>
      <w:divBdr>
        <w:top w:val="none" w:sz="0" w:space="0" w:color="auto"/>
        <w:left w:val="none" w:sz="0" w:space="0" w:color="auto"/>
        <w:bottom w:val="none" w:sz="0" w:space="0" w:color="auto"/>
        <w:right w:val="none" w:sz="0" w:space="0" w:color="auto"/>
      </w:divBdr>
    </w:div>
    <w:div w:id="810751112">
      <w:bodyDiv w:val="1"/>
      <w:marLeft w:val="0"/>
      <w:marRight w:val="0"/>
      <w:marTop w:val="0"/>
      <w:marBottom w:val="0"/>
      <w:divBdr>
        <w:top w:val="none" w:sz="0" w:space="0" w:color="auto"/>
        <w:left w:val="none" w:sz="0" w:space="0" w:color="auto"/>
        <w:bottom w:val="none" w:sz="0" w:space="0" w:color="auto"/>
        <w:right w:val="none" w:sz="0" w:space="0" w:color="auto"/>
      </w:divBdr>
    </w:div>
    <w:div w:id="811093458">
      <w:bodyDiv w:val="1"/>
      <w:marLeft w:val="0"/>
      <w:marRight w:val="0"/>
      <w:marTop w:val="0"/>
      <w:marBottom w:val="0"/>
      <w:divBdr>
        <w:top w:val="none" w:sz="0" w:space="0" w:color="auto"/>
        <w:left w:val="none" w:sz="0" w:space="0" w:color="auto"/>
        <w:bottom w:val="none" w:sz="0" w:space="0" w:color="auto"/>
        <w:right w:val="none" w:sz="0" w:space="0" w:color="auto"/>
      </w:divBdr>
    </w:div>
    <w:div w:id="811672316">
      <w:bodyDiv w:val="1"/>
      <w:marLeft w:val="0"/>
      <w:marRight w:val="0"/>
      <w:marTop w:val="0"/>
      <w:marBottom w:val="0"/>
      <w:divBdr>
        <w:top w:val="none" w:sz="0" w:space="0" w:color="auto"/>
        <w:left w:val="none" w:sz="0" w:space="0" w:color="auto"/>
        <w:bottom w:val="none" w:sz="0" w:space="0" w:color="auto"/>
        <w:right w:val="none" w:sz="0" w:space="0" w:color="auto"/>
      </w:divBdr>
    </w:div>
    <w:div w:id="813374580">
      <w:bodyDiv w:val="1"/>
      <w:marLeft w:val="0"/>
      <w:marRight w:val="0"/>
      <w:marTop w:val="0"/>
      <w:marBottom w:val="0"/>
      <w:divBdr>
        <w:top w:val="none" w:sz="0" w:space="0" w:color="auto"/>
        <w:left w:val="none" w:sz="0" w:space="0" w:color="auto"/>
        <w:bottom w:val="none" w:sz="0" w:space="0" w:color="auto"/>
        <w:right w:val="none" w:sz="0" w:space="0" w:color="auto"/>
      </w:divBdr>
    </w:div>
    <w:div w:id="824475436">
      <w:bodyDiv w:val="1"/>
      <w:marLeft w:val="0"/>
      <w:marRight w:val="0"/>
      <w:marTop w:val="0"/>
      <w:marBottom w:val="0"/>
      <w:divBdr>
        <w:top w:val="none" w:sz="0" w:space="0" w:color="auto"/>
        <w:left w:val="none" w:sz="0" w:space="0" w:color="auto"/>
        <w:bottom w:val="none" w:sz="0" w:space="0" w:color="auto"/>
        <w:right w:val="none" w:sz="0" w:space="0" w:color="auto"/>
      </w:divBdr>
    </w:div>
    <w:div w:id="829297654">
      <w:bodyDiv w:val="1"/>
      <w:marLeft w:val="0"/>
      <w:marRight w:val="0"/>
      <w:marTop w:val="0"/>
      <w:marBottom w:val="0"/>
      <w:divBdr>
        <w:top w:val="none" w:sz="0" w:space="0" w:color="auto"/>
        <w:left w:val="none" w:sz="0" w:space="0" w:color="auto"/>
        <w:bottom w:val="none" w:sz="0" w:space="0" w:color="auto"/>
        <w:right w:val="none" w:sz="0" w:space="0" w:color="auto"/>
      </w:divBdr>
    </w:div>
    <w:div w:id="831795020">
      <w:bodyDiv w:val="1"/>
      <w:marLeft w:val="0"/>
      <w:marRight w:val="0"/>
      <w:marTop w:val="0"/>
      <w:marBottom w:val="0"/>
      <w:divBdr>
        <w:top w:val="none" w:sz="0" w:space="0" w:color="auto"/>
        <w:left w:val="none" w:sz="0" w:space="0" w:color="auto"/>
        <w:bottom w:val="none" w:sz="0" w:space="0" w:color="auto"/>
        <w:right w:val="none" w:sz="0" w:space="0" w:color="auto"/>
      </w:divBdr>
    </w:div>
    <w:div w:id="835144656">
      <w:bodyDiv w:val="1"/>
      <w:marLeft w:val="0"/>
      <w:marRight w:val="0"/>
      <w:marTop w:val="0"/>
      <w:marBottom w:val="0"/>
      <w:divBdr>
        <w:top w:val="none" w:sz="0" w:space="0" w:color="auto"/>
        <w:left w:val="none" w:sz="0" w:space="0" w:color="auto"/>
        <w:bottom w:val="none" w:sz="0" w:space="0" w:color="auto"/>
        <w:right w:val="none" w:sz="0" w:space="0" w:color="auto"/>
      </w:divBdr>
    </w:div>
    <w:div w:id="837236476">
      <w:bodyDiv w:val="1"/>
      <w:marLeft w:val="0"/>
      <w:marRight w:val="0"/>
      <w:marTop w:val="0"/>
      <w:marBottom w:val="0"/>
      <w:divBdr>
        <w:top w:val="none" w:sz="0" w:space="0" w:color="auto"/>
        <w:left w:val="none" w:sz="0" w:space="0" w:color="auto"/>
        <w:bottom w:val="none" w:sz="0" w:space="0" w:color="auto"/>
        <w:right w:val="none" w:sz="0" w:space="0" w:color="auto"/>
      </w:divBdr>
    </w:div>
    <w:div w:id="841697765">
      <w:bodyDiv w:val="1"/>
      <w:marLeft w:val="0"/>
      <w:marRight w:val="0"/>
      <w:marTop w:val="0"/>
      <w:marBottom w:val="0"/>
      <w:divBdr>
        <w:top w:val="none" w:sz="0" w:space="0" w:color="auto"/>
        <w:left w:val="none" w:sz="0" w:space="0" w:color="auto"/>
        <w:bottom w:val="none" w:sz="0" w:space="0" w:color="auto"/>
        <w:right w:val="none" w:sz="0" w:space="0" w:color="auto"/>
      </w:divBdr>
    </w:div>
    <w:div w:id="846406416">
      <w:bodyDiv w:val="1"/>
      <w:marLeft w:val="0"/>
      <w:marRight w:val="0"/>
      <w:marTop w:val="0"/>
      <w:marBottom w:val="0"/>
      <w:divBdr>
        <w:top w:val="none" w:sz="0" w:space="0" w:color="auto"/>
        <w:left w:val="none" w:sz="0" w:space="0" w:color="auto"/>
        <w:bottom w:val="none" w:sz="0" w:space="0" w:color="auto"/>
        <w:right w:val="none" w:sz="0" w:space="0" w:color="auto"/>
      </w:divBdr>
    </w:div>
    <w:div w:id="847673280">
      <w:bodyDiv w:val="1"/>
      <w:marLeft w:val="0"/>
      <w:marRight w:val="0"/>
      <w:marTop w:val="0"/>
      <w:marBottom w:val="0"/>
      <w:divBdr>
        <w:top w:val="none" w:sz="0" w:space="0" w:color="auto"/>
        <w:left w:val="none" w:sz="0" w:space="0" w:color="auto"/>
        <w:bottom w:val="none" w:sz="0" w:space="0" w:color="auto"/>
        <w:right w:val="none" w:sz="0" w:space="0" w:color="auto"/>
      </w:divBdr>
    </w:div>
    <w:div w:id="869607554">
      <w:bodyDiv w:val="1"/>
      <w:marLeft w:val="0"/>
      <w:marRight w:val="0"/>
      <w:marTop w:val="0"/>
      <w:marBottom w:val="0"/>
      <w:divBdr>
        <w:top w:val="none" w:sz="0" w:space="0" w:color="auto"/>
        <w:left w:val="none" w:sz="0" w:space="0" w:color="auto"/>
        <w:bottom w:val="none" w:sz="0" w:space="0" w:color="auto"/>
        <w:right w:val="none" w:sz="0" w:space="0" w:color="auto"/>
      </w:divBdr>
    </w:div>
    <w:div w:id="885339917">
      <w:bodyDiv w:val="1"/>
      <w:marLeft w:val="0"/>
      <w:marRight w:val="0"/>
      <w:marTop w:val="0"/>
      <w:marBottom w:val="0"/>
      <w:divBdr>
        <w:top w:val="none" w:sz="0" w:space="0" w:color="auto"/>
        <w:left w:val="none" w:sz="0" w:space="0" w:color="auto"/>
        <w:bottom w:val="none" w:sz="0" w:space="0" w:color="auto"/>
        <w:right w:val="none" w:sz="0" w:space="0" w:color="auto"/>
      </w:divBdr>
    </w:div>
    <w:div w:id="892931037">
      <w:bodyDiv w:val="1"/>
      <w:marLeft w:val="0"/>
      <w:marRight w:val="0"/>
      <w:marTop w:val="0"/>
      <w:marBottom w:val="0"/>
      <w:divBdr>
        <w:top w:val="none" w:sz="0" w:space="0" w:color="auto"/>
        <w:left w:val="none" w:sz="0" w:space="0" w:color="auto"/>
        <w:bottom w:val="none" w:sz="0" w:space="0" w:color="auto"/>
        <w:right w:val="none" w:sz="0" w:space="0" w:color="auto"/>
      </w:divBdr>
    </w:div>
    <w:div w:id="894657672">
      <w:bodyDiv w:val="1"/>
      <w:marLeft w:val="0"/>
      <w:marRight w:val="0"/>
      <w:marTop w:val="0"/>
      <w:marBottom w:val="0"/>
      <w:divBdr>
        <w:top w:val="none" w:sz="0" w:space="0" w:color="auto"/>
        <w:left w:val="none" w:sz="0" w:space="0" w:color="auto"/>
        <w:bottom w:val="none" w:sz="0" w:space="0" w:color="auto"/>
        <w:right w:val="none" w:sz="0" w:space="0" w:color="auto"/>
      </w:divBdr>
    </w:div>
    <w:div w:id="899679957">
      <w:bodyDiv w:val="1"/>
      <w:marLeft w:val="0"/>
      <w:marRight w:val="0"/>
      <w:marTop w:val="0"/>
      <w:marBottom w:val="0"/>
      <w:divBdr>
        <w:top w:val="none" w:sz="0" w:space="0" w:color="auto"/>
        <w:left w:val="none" w:sz="0" w:space="0" w:color="auto"/>
        <w:bottom w:val="none" w:sz="0" w:space="0" w:color="auto"/>
        <w:right w:val="none" w:sz="0" w:space="0" w:color="auto"/>
      </w:divBdr>
    </w:div>
    <w:div w:id="900286406">
      <w:bodyDiv w:val="1"/>
      <w:marLeft w:val="0"/>
      <w:marRight w:val="0"/>
      <w:marTop w:val="0"/>
      <w:marBottom w:val="0"/>
      <w:divBdr>
        <w:top w:val="none" w:sz="0" w:space="0" w:color="auto"/>
        <w:left w:val="none" w:sz="0" w:space="0" w:color="auto"/>
        <w:bottom w:val="none" w:sz="0" w:space="0" w:color="auto"/>
        <w:right w:val="none" w:sz="0" w:space="0" w:color="auto"/>
      </w:divBdr>
    </w:div>
    <w:div w:id="906526347">
      <w:bodyDiv w:val="1"/>
      <w:marLeft w:val="0"/>
      <w:marRight w:val="0"/>
      <w:marTop w:val="0"/>
      <w:marBottom w:val="0"/>
      <w:divBdr>
        <w:top w:val="none" w:sz="0" w:space="0" w:color="auto"/>
        <w:left w:val="none" w:sz="0" w:space="0" w:color="auto"/>
        <w:bottom w:val="none" w:sz="0" w:space="0" w:color="auto"/>
        <w:right w:val="none" w:sz="0" w:space="0" w:color="auto"/>
      </w:divBdr>
    </w:div>
    <w:div w:id="914322953">
      <w:bodyDiv w:val="1"/>
      <w:marLeft w:val="0"/>
      <w:marRight w:val="0"/>
      <w:marTop w:val="0"/>
      <w:marBottom w:val="0"/>
      <w:divBdr>
        <w:top w:val="none" w:sz="0" w:space="0" w:color="auto"/>
        <w:left w:val="none" w:sz="0" w:space="0" w:color="auto"/>
        <w:bottom w:val="none" w:sz="0" w:space="0" w:color="auto"/>
        <w:right w:val="none" w:sz="0" w:space="0" w:color="auto"/>
      </w:divBdr>
    </w:div>
    <w:div w:id="916132441">
      <w:bodyDiv w:val="1"/>
      <w:marLeft w:val="0"/>
      <w:marRight w:val="0"/>
      <w:marTop w:val="0"/>
      <w:marBottom w:val="0"/>
      <w:divBdr>
        <w:top w:val="none" w:sz="0" w:space="0" w:color="auto"/>
        <w:left w:val="none" w:sz="0" w:space="0" w:color="auto"/>
        <w:bottom w:val="none" w:sz="0" w:space="0" w:color="auto"/>
        <w:right w:val="none" w:sz="0" w:space="0" w:color="auto"/>
      </w:divBdr>
    </w:div>
    <w:div w:id="917397126">
      <w:bodyDiv w:val="1"/>
      <w:marLeft w:val="0"/>
      <w:marRight w:val="0"/>
      <w:marTop w:val="0"/>
      <w:marBottom w:val="0"/>
      <w:divBdr>
        <w:top w:val="none" w:sz="0" w:space="0" w:color="auto"/>
        <w:left w:val="none" w:sz="0" w:space="0" w:color="auto"/>
        <w:bottom w:val="none" w:sz="0" w:space="0" w:color="auto"/>
        <w:right w:val="none" w:sz="0" w:space="0" w:color="auto"/>
      </w:divBdr>
    </w:div>
    <w:div w:id="918826416">
      <w:bodyDiv w:val="1"/>
      <w:marLeft w:val="0"/>
      <w:marRight w:val="0"/>
      <w:marTop w:val="0"/>
      <w:marBottom w:val="0"/>
      <w:divBdr>
        <w:top w:val="none" w:sz="0" w:space="0" w:color="auto"/>
        <w:left w:val="none" w:sz="0" w:space="0" w:color="auto"/>
        <w:bottom w:val="none" w:sz="0" w:space="0" w:color="auto"/>
        <w:right w:val="none" w:sz="0" w:space="0" w:color="auto"/>
      </w:divBdr>
    </w:div>
    <w:div w:id="930048016">
      <w:bodyDiv w:val="1"/>
      <w:marLeft w:val="0"/>
      <w:marRight w:val="0"/>
      <w:marTop w:val="0"/>
      <w:marBottom w:val="0"/>
      <w:divBdr>
        <w:top w:val="none" w:sz="0" w:space="0" w:color="auto"/>
        <w:left w:val="none" w:sz="0" w:space="0" w:color="auto"/>
        <w:bottom w:val="none" w:sz="0" w:space="0" w:color="auto"/>
        <w:right w:val="none" w:sz="0" w:space="0" w:color="auto"/>
      </w:divBdr>
    </w:div>
    <w:div w:id="935597174">
      <w:bodyDiv w:val="1"/>
      <w:marLeft w:val="0"/>
      <w:marRight w:val="0"/>
      <w:marTop w:val="0"/>
      <w:marBottom w:val="0"/>
      <w:divBdr>
        <w:top w:val="none" w:sz="0" w:space="0" w:color="auto"/>
        <w:left w:val="none" w:sz="0" w:space="0" w:color="auto"/>
        <w:bottom w:val="none" w:sz="0" w:space="0" w:color="auto"/>
        <w:right w:val="none" w:sz="0" w:space="0" w:color="auto"/>
      </w:divBdr>
    </w:div>
    <w:div w:id="949049539">
      <w:bodyDiv w:val="1"/>
      <w:marLeft w:val="0"/>
      <w:marRight w:val="0"/>
      <w:marTop w:val="0"/>
      <w:marBottom w:val="0"/>
      <w:divBdr>
        <w:top w:val="none" w:sz="0" w:space="0" w:color="auto"/>
        <w:left w:val="none" w:sz="0" w:space="0" w:color="auto"/>
        <w:bottom w:val="none" w:sz="0" w:space="0" w:color="auto"/>
        <w:right w:val="none" w:sz="0" w:space="0" w:color="auto"/>
      </w:divBdr>
    </w:div>
    <w:div w:id="956570660">
      <w:bodyDiv w:val="1"/>
      <w:marLeft w:val="0"/>
      <w:marRight w:val="0"/>
      <w:marTop w:val="0"/>
      <w:marBottom w:val="0"/>
      <w:divBdr>
        <w:top w:val="none" w:sz="0" w:space="0" w:color="auto"/>
        <w:left w:val="none" w:sz="0" w:space="0" w:color="auto"/>
        <w:bottom w:val="none" w:sz="0" w:space="0" w:color="auto"/>
        <w:right w:val="none" w:sz="0" w:space="0" w:color="auto"/>
      </w:divBdr>
    </w:div>
    <w:div w:id="957876509">
      <w:bodyDiv w:val="1"/>
      <w:marLeft w:val="0"/>
      <w:marRight w:val="0"/>
      <w:marTop w:val="0"/>
      <w:marBottom w:val="0"/>
      <w:divBdr>
        <w:top w:val="none" w:sz="0" w:space="0" w:color="auto"/>
        <w:left w:val="none" w:sz="0" w:space="0" w:color="auto"/>
        <w:bottom w:val="none" w:sz="0" w:space="0" w:color="auto"/>
        <w:right w:val="none" w:sz="0" w:space="0" w:color="auto"/>
      </w:divBdr>
    </w:div>
    <w:div w:id="962925522">
      <w:bodyDiv w:val="1"/>
      <w:marLeft w:val="0"/>
      <w:marRight w:val="0"/>
      <w:marTop w:val="0"/>
      <w:marBottom w:val="0"/>
      <w:divBdr>
        <w:top w:val="none" w:sz="0" w:space="0" w:color="auto"/>
        <w:left w:val="none" w:sz="0" w:space="0" w:color="auto"/>
        <w:bottom w:val="none" w:sz="0" w:space="0" w:color="auto"/>
        <w:right w:val="none" w:sz="0" w:space="0" w:color="auto"/>
      </w:divBdr>
    </w:div>
    <w:div w:id="963076881">
      <w:bodyDiv w:val="1"/>
      <w:marLeft w:val="0"/>
      <w:marRight w:val="0"/>
      <w:marTop w:val="0"/>
      <w:marBottom w:val="0"/>
      <w:divBdr>
        <w:top w:val="none" w:sz="0" w:space="0" w:color="auto"/>
        <w:left w:val="none" w:sz="0" w:space="0" w:color="auto"/>
        <w:bottom w:val="none" w:sz="0" w:space="0" w:color="auto"/>
        <w:right w:val="none" w:sz="0" w:space="0" w:color="auto"/>
      </w:divBdr>
    </w:div>
    <w:div w:id="967005509">
      <w:bodyDiv w:val="1"/>
      <w:marLeft w:val="0"/>
      <w:marRight w:val="0"/>
      <w:marTop w:val="0"/>
      <w:marBottom w:val="0"/>
      <w:divBdr>
        <w:top w:val="none" w:sz="0" w:space="0" w:color="auto"/>
        <w:left w:val="none" w:sz="0" w:space="0" w:color="auto"/>
        <w:bottom w:val="none" w:sz="0" w:space="0" w:color="auto"/>
        <w:right w:val="none" w:sz="0" w:space="0" w:color="auto"/>
      </w:divBdr>
    </w:div>
    <w:div w:id="970786675">
      <w:bodyDiv w:val="1"/>
      <w:marLeft w:val="0"/>
      <w:marRight w:val="0"/>
      <w:marTop w:val="0"/>
      <w:marBottom w:val="0"/>
      <w:divBdr>
        <w:top w:val="none" w:sz="0" w:space="0" w:color="auto"/>
        <w:left w:val="none" w:sz="0" w:space="0" w:color="auto"/>
        <w:bottom w:val="none" w:sz="0" w:space="0" w:color="auto"/>
        <w:right w:val="none" w:sz="0" w:space="0" w:color="auto"/>
      </w:divBdr>
    </w:div>
    <w:div w:id="972978322">
      <w:bodyDiv w:val="1"/>
      <w:marLeft w:val="0"/>
      <w:marRight w:val="0"/>
      <w:marTop w:val="0"/>
      <w:marBottom w:val="0"/>
      <w:divBdr>
        <w:top w:val="none" w:sz="0" w:space="0" w:color="auto"/>
        <w:left w:val="none" w:sz="0" w:space="0" w:color="auto"/>
        <w:bottom w:val="none" w:sz="0" w:space="0" w:color="auto"/>
        <w:right w:val="none" w:sz="0" w:space="0" w:color="auto"/>
      </w:divBdr>
    </w:div>
    <w:div w:id="980383524">
      <w:bodyDiv w:val="1"/>
      <w:marLeft w:val="0"/>
      <w:marRight w:val="0"/>
      <w:marTop w:val="0"/>
      <w:marBottom w:val="0"/>
      <w:divBdr>
        <w:top w:val="none" w:sz="0" w:space="0" w:color="auto"/>
        <w:left w:val="none" w:sz="0" w:space="0" w:color="auto"/>
        <w:bottom w:val="none" w:sz="0" w:space="0" w:color="auto"/>
        <w:right w:val="none" w:sz="0" w:space="0" w:color="auto"/>
      </w:divBdr>
    </w:div>
    <w:div w:id="982346238">
      <w:bodyDiv w:val="1"/>
      <w:marLeft w:val="0"/>
      <w:marRight w:val="0"/>
      <w:marTop w:val="0"/>
      <w:marBottom w:val="0"/>
      <w:divBdr>
        <w:top w:val="none" w:sz="0" w:space="0" w:color="auto"/>
        <w:left w:val="none" w:sz="0" w:space="0" w:color="auto"/>
        <w:bottom w:val="none" w:sz="0" w:space="0" w:color="auto"/>
        <w:right w:val="none" w:sz="0" w:space="0" w:color="auto"/>
      </w:divBdr>
    </w:div>
    <w:div w:id="982857663">
      <w:bodyDiv w:val="1"/>
      <w:marLeft w:val="0"/>
      <w:marRight w:val="0"/>
      <w:marTop w:val="0"/>
      <w:marBottom w:val="0"/>
      <w:divBdr>
        <w:top w:val="none" w:sz="0" w:space="0" w:color="auto"/>
        <w:left w:val="none" w:sz="0" w:space="0" w:color="auto"/>
        <w:bottom w:val="none" w:sz="0" w:space="0" w:color="auto"/>
        <w:right w:val="none" w:sz="0" w:space="0" w:color="auto"/>
      </w:divBdr>
    </w:div>
    <w:div w:id="987711338">
      <w:bodyDiv w:val="1"/>
      <w:marLeft w:val="0"/>
      <w:marRight w:val="0"/>
      <w:marTop w:val="0"/>
      <w:marBottom w:val="0"/>
      <w:divBdr>
        <w:top w:val="none" w:sz="0" w:space="0" w:color="auto"/>
        <w:left w:val="none" w:sz="0" w:space="0" w:color="auto"/>
        <w:bottom w:val="none" w:sz="0" w:space="0" w:color="auto"/>
        <w:right w:val="none" w:sz="0" w:space="0" w:color="auto"/>
      </w:divBdr>
    </w:div>
    <w:div w:id="987975437">
      <w:bodyDiv w:val="1"/>
      <w:marLeft w:val="0"/>
      <w:marRight w:val="0"/>
      <w:marTop w:val="0"/>
      <w:marBottom w:val="0"/>
      <w:divBdr>
        <w:top w:val="none" w:sz="0" w:space="0" w:color="auto"/>
        <w:left w:val="none" w:sz="0" w:space="0" w:color="auto"/>
        <w:bottom w:val="none" w:sz="0" w:space="0" w:color="auto"/>
        <w:right w:val="none" w:sz="0" w:space="0" w:color="auto"/>
      </w:divBdr>
    </w:div>
    <w:div w:id="991180195">
      <w:bodyDiv w:val="1"/>
      <w:marLeft w:val="0"/>
      <w:marRight w:val="0"/>
      <w:marTop w:val="0"/>
      <w:marBottom w:val="0"/>
      <w:divBdr>
        <w:top w:val="none" w:sz="0" w:space="0" w:color="auto"/>
        <w:left w:val="none" w:sz="0" w:space="0" w:color="auto"/>
        <w:bottom w:val="none" w:sz="0" w:space="0" w:color="auto"/>
        <w:right w:val="none" w:sz="0" w:space="0" w:color="auto"/>
      </w:divBdr>
    </w:div>
    <w:div w:id="992758891">
      <w:bodyDiv w:val="1"/>
      <w:marLeft w:val="0"/>
      <w:marRight w:val="0"/>
      <w:marTop w:val="0"/>
      <w:marBottom w:val="0"/>
      <w:divBdr>
        <w:top w:val="none" w:sz="0" w:space="0" w:color="auto"/>
        <w:left w:val="none" w:sz="0" w:space="0" w:color="auto"/>
        <w:bottom w:val="none" w:sz="0" w:space="0" w:color="auto"/>
        <w:right w:val="none" w:sz="0" w:space="0" w:color="auto"/>
      </w:divBdr>
    </w:div>
    <w:div w:id="993148516">
      <w:bodyDiv w:val="1"/>
      <w:marLeft w:val="0"/>
      <w:marRight w:val="0"/>
      <w:marTop w:val="0"/>
      <w:marBottom w:val="0"/>
      <w:divBdr>
        <w:top w:val="none" w:sz="0" w:space="0" w:color="auto"/>
        <w:left w:val="none" w:sz="0" w:space="0" w:color="auto"/>
        <w:bottom w:val="none" w:sz="0" w:space="0" w:color="auto"/>
        <w:right w:val="none" w:sz="0" w:space="0" w:color="auto"/>
      </w:divBdr>
    </w:div>
    <w:div w:id="1004553737">
      <w:bodyDiv w:val="1"/>
      <w:marLeft w:val="0"/>
      <w:marRight w:val="0"/>
      <w:marTop w:val="0"/>
      <w:marBottom w:val="0"/>
      <w:divBdr>
        <w:top w:val="none" w:sz="0" w:space="0" w:color="auto"/>
        <w:left w:val="none" w:sz="0" w:space="0" w:color="auto"/>
        <w:bottom w:val="none" w:sz="0" w:space="0" w:color="auto"/>
        <w:right w:val="none" w:sz="0" w:space="0" w:color="auto"/>
      </w:divBdr>
    </w:div>
    <w:div w:id="1006320155">
      <w:bodyDiv w:val="1"/>
      <w:marLeft w:val="0"/>
      <w:marRight w:val="0"/>
      <w:marTop w:val="0"/>
      <w:marBottom w:val="0"/>
      <w:divBdr>
        <w:top w:val="none" w:sz="0" w:space="0" w:color="auto"/>
        <w:left w:val="none" w:sz="0" w:space="0" w:color="auto"/>
        <w:bottom w:val="none" w:sz="0" w:space="0" w:color="auto"/>
        <w:right w:val="none" w:sz="0" w:space="0" w:color="auto"/>
      </w:divBdr>
    </w:div>
    <w:div w:id="1023476846">
      <w:bodyDiv w:val="1"/>
      <w:marLeft w:val="0"/>
      <w:marRight w:val="0"/>
      <w:marTop w:val="0"/>
      <w:marBottom w:val="0"/>
      <w:divBdr>
        <w:top w:val="none" w:sz="0" w:space="0" w:color="auto"/>
        <w:left w:val="none" w:sz="0" w:space="0" w:color="auto"/>
        <w:bottom w:val="none" w:sz="0" w:space="0" w:color="auto"/>
        <w:right w:val="none" w:sz="0" w:space="0" w:color="auto"/>
      </w:divBdr>
    </w:div>
    <w:div w:id="1025598697">
      <w:bodyDiv w:val="1"/>
      <w:marLeft w:val="0"/>
      <w:marRight w:val="0"/>
      <w:marTop w:val="0"/>
      <w:marBottom w:val="0"/>
      <w:divBdr>
        <w:top w:val="none" w:sz="0" w:space="0" w:color="auto"/>
        <w:left w:val="none" w:sz="0" w:space="0" w:color="auto"/>
        <w:bottom w:val="none" w:sz="0" w:space="0" w:color="auto"/>
        <w:right w:val="none" w:sz="0" w:space="0" w:color="auto"/>
      </w:divBdr>
    </w:div>
    <w:div w:id="1033961502">
      <w:bodyDiv w:val="1"/>
      <w:marLeft w:val="0"/>
      <w:marRight w:val="0"/>
      <w:marTop w:val="0"/>
      <w:marBottom w:val="0"/>
      <w:divBdr>
        <w:top w:val="none" w:sz="0" w:space="0" w:color="auto"/>
        <w:left w:val="none" w:sz="0" w:space="0" w:color="auto"/>
        <w:bottom w:val="none" w:sz="0" w:space="0" w:color="auto"/>
        <w:right w:val="none" w:sz="0" w:space="0" w:color="auto"/>
      </w:divBdr>
    </w:div>
    <w:div w:id="1034696540">
      <w:bodyDiv w:val="1"/>
      <w:marLeft w:val="0"/>
      <w:marRight w:val="0"/>
      <w:marTop w:val="0"/>
      <w:marBottom w:val="0"/>
      <w:divBdr>
        <w:top w:val="none" w:sz="0" w:space="0" w:color="auto"/>
        <w:left w:val="none" w:sz="0" w:space="0" w:color="auto"/>
        <w:bottom w:val="none" w:sz="0" w:space="0" w:color="auto"/>
        <w:right w:val="none" w:sz="0" w:space="0" w:color="auto"/>
      </w:divBdr>
    </w:div>
    <w:div w:id="1050611269">
      <w:bodyDiv w:val="1"/>
      <w:marLeft w:val="0"/>
      <w:marRight w:val="0"/>
      <w:marTop w:val="0"/>
      <w:marBottom w:val="0"/>
      <w:divBdr>
        <w:top w:val="none" w:sz="0" w:space="0" w:color="auto"/>
        <w:left w:val="none" w:sz="0" w:space="0" w:color="auto"/>
        <w:bottom w:val="none" w:sz="0" w:space="0" w:color="auto"/>
        <w:right w:val="none" w:sz="0" w:space="0" w:color="auto"/>
      </w:divBdr>
    </w:div>
    <w:div w:id="1053769403">
      <w:bodyDiv w:val="1"/>
      <w:marLeft w:val="0"/>
      <w:marRight w:val="0"/>
      <w:marTop w:val="0"/>
      <w:marBottom w:val="0"/>
      <w:divBdr>
        <w:top w:val="none" w:sz="0" w:space="0" w:color="auto"/>
        <w:left w:val="none" w:sz="0" w:space="0" w:color="auto"/>
        <w:bottom w:val="none" w:sz="0" w:space="0" w:color="auto"/>
        <w:right w:val="none" w:sz="0" w:space="0" w:color="auto"/>
      </w:divBdr>
    </w:div>
    <w:div w:id="1062170983">
      <w:bodyDiv w:val="1"/>
      <w:marLeft w:val="0"/>
      <w:marRight w:val="0"/>
      <w:marTop w:val="0"/>
      <w:marBottom w:val="0"/>
      <w:divBdr>
        <w:top w:val="none" w:sz="0" w:space="0" w:color="auto"/>
        <w:left w:val="none" w:sz="0" w:space="0" w:color="auto"/>
        <w:bottom w:val="none" w:sz="0" w:space="0" w:color="auto"/>
        <w:right w:val="none" w:sz="0" w:space="0" w:color="auto"/>
      </w:divBdr>
    </w:div>
    <w:div w:id="1065686393">
      <w:bodyDiv w:val="1"/>
      <w:marLeft w:val="0"/>
      <w:marRight w:val="0"/>
      <w:marTop w:val="0"/>
      <w:marBottom w:val="0"/>
      <w:divBdr>
        <w:top w:val="none" w:sz="0" w:space="0" w:color="auto"/>
        <w:left w:val="none" w:sz="0" w:space="0" w:color="auto"/>
        <w:bottom w:val="none" w:sz="0" w:space="0" w:color="auto"/>
        <w:right w:val="none" w:sz="0" w:space="0" w:color="auto"/>
      </w:divBdr>
    </w:div>
    <w:div w:id="1066994728">
      <w:bodyDiv w:val="1"/>
      <w:marLeft w:val="0"/>
      <w:marRight w:val="0"/>
      <w:marTop w:val="0"/>
      <w:marBottom w:val="0"/>
      <w:divBdr>
        <w:top w:val="none" w:sz="0" w:space="0" w:color="auto"/>
        <w:left w:val="none" w:sz="0" w:space="0" w:color="auto"/>
        <w:bottom w:val="none" w:sz="0" w:space="0" w:color="auto"/>
        <w:right w:val="none" w:sz="0" w:space="0" w:color="auto"/>
      </w:divBdr>
    </w:div>
    <w:div w:id="1067533531">
      <w:bodyDiv w:val="1"/>
      <w:marLeft w:val="0"/>
      <w:marRight w:val="0"/>
      <w:marTop w:val="0"/>
      <w:marBottom w:val="0"/>
      <w:divBdr>
        <w:top w:val="none" w:sz="0" w:space="0" w:color="auto"/>
        <w:left w:val="none" w:sz="0" w:space="0" w:color="auto"/>
        <w:bottom w:val="none" w:sz="0" w:space="0" w:color="auto"/>
        <w:right w:val="none" w:sz="0" w:space="0" w:color="auto"/>
      </w:divBdr>
    </w:div>
    <w:div w:id="1068962206">
      <w:bodyDiv w:val="1"/>
      <w:marLeft w:val="0"/>
      <w:marRight w:val="0"/>
      <w:marTop w:val="0"/>
      <w:marBottom w:val="0"/>
      <w:divBdr>
        <w:top w:val="none" w:sz="0" w:space="0" w:color="auto"/>
        <w:left w:val="none" w:sz="0" w:space="0" w:color="auto"/>
        <w:bottom w:val="none" w:sz="0" w:space="0" w:color="auto"/>
        <w:right w:val="none" w:sz="0" w:space="0" w:color="auto"/>
      </w:divBdr>
    </w:div>
    <w:div w:id="1076904673">
      <w:bodyDiv w:val="1"/>
      <w:marLeft w:val="0"/>
      <w:marRight w:val="0"/>
      <w:marTop w:val="0"/>
      <w:marBottom w:val="0"/>
      <w:divBdr>
        <w:top w:val="none" w:sz="0" w:space="0" w:color="auto"/>
        <w:left w:val="none" w:sz="0" w:space="0" w:color="auto"/>
        <w:bottom w:val="none" w:sz="0" w:space="0" w:color="auto"/>
        <w:right w:val="none" w:sz="0" w:space="0" w:color="auto"/>
      </w:divBdr>
    </w:div>
    <w:div w:id="1077820176">
      <w:bodyDiv w:val="1"/>
      <w:marLeft w:val="0"/>
      <w:marRight w:val="0"/>
      <w:marTop w:val="0"/>
      <w:marBottom w:val="0"/>
      <w:divBdr>
        <w:top w:val="none" w:sz="0" w:space="0" w:color="auto"/>
        <w:left w:val="none" w:sz="0" w:space="0" w:color="auto"/>
        <w:bottom w:val="none" w:sz="0" w:space="0" w:color="auto"/>
        <w:right w:val="none" w:sz="0" w:space="0" w:color="auto"/>
      </w:divBdr>
    </w:div>
    <w:div w:id="1077937746">
      <w:bodyDiv w:val="1"/>
      <w:marLeft w:val="0"/>
      <w:marRight w:val="0"/>
      <w:marTop w:val="0"/>
      <w:marBottom w:val="0"/>
      <w:divBdr>
        <w:top w:val="none" w:sz="0" w:space="0" w:color="auto"/>
        <w:left w:val="none" w:sz="0" w:space="0" w:color="auto"/>
        <w:bottom w:val="none" w:sz="0" w:space="0" w:color="auto"/>
        <w:right w:val="none" w:sz="0" w:space="0" w:color="auto"/>
      </w:divBdr>
    </w:div>
    <w:div w:id="1080251596">
      <w:bodyDiv w:val="1"/>
      <w:marLeft w:val="0"/>
      <w:marRight w:val="0"/>
      <w:marTop w:val="0"/>
      <w:marBottom w:val="0"/>
      <w:divBdr>
        <w:top w:val="none" w:sz="0" w:space="0" w:color="auto"/>
        <w:left w:val="none" w:sz="0" w:space="0" w:color="auto"/>
        <w:bottom w:val="none" w:sz="0" w:space="0" w:color="auto"/>
        <w:right w:val="none" w:sz="0" w:space="0" w:color="auto"/>
      </w:divBdr>
      <w:divsChild>
        <w:div w:id="63914724">
          <w:marLeft w:val="0"/>
          <w:marRight w:val="0"/>
          <w:marTop w:val="0"/>
          <w:marBottom w:val="0"/>
          <w:divBdr>
            <w:top w:val="none" w:sz="0" w:space="0" w:color="auto"/>
            <w:left w:val="none" w:sz="0" w:space="0" w:color="auto"/>
            <w:bottom w:val="none" w:sz="0" w:space="0" w:color="auto"/>
            <w:right w:val="none" w:sz="0" w:space="0" w:color="auto"/>
          </w:divBdr>
        </w:div>
        <w:div w:id="685446025">
          <w:marLeft w:val="0"/>
          <w:marRight w:val="0"/>
          <w:marTop w:val="0"/>
          <w:marBottom w:val="0"/>
          <w:divBdr>
            <w:top w:val="none" w:sz="0" w:space="0" w:color="auto"/>
            <w:left w:val="none" w:sz="0" w:space="0" w:color="auto"/>
            <w:bottom w:val="none" w:sz="0" w:space="0" w:color="auto"/>
            <w:right w:val="none" w:sz="0" w:space="0" w:color="auto"/>
          </w:divBdr>
        </w:div>
        <w:div w:id="843858160">
          <w:marLeft w:val="0"/>
          <w:marRight w:val="0"/>
          <w:marTop w:val="0"/>
          <w:marBottom w:val="0"/>
          <w:divBdr>
            <w:top w:val="none" w:sz="0" w:space="0" w:color="auto"/>
            <w:left w:val="none" w:sz="0" w:space="0" w:color="auto"/>
            <w:bottom w:val="none" w:sz="0" w:space="0" w:color="auto"/>
            <w:right w:val="none" w:sz="0" w:space="0" w:color="auto"/>
          </w:divBdr>
        </w:div>
        <w:div w:id="1255019997">
          <w:marLeft w:val="0"/>
          <w:marRight w:val="0"/>
          <w:marTop w:val="0"/>
          <w:marBottom w:val="0"/>
          <w:divBdr>
            <w:top w:val="none" w:sz="0" w:space="0" w:color="auto"/>
            <w:left w:val="none" w:sz="0" w:space="0" w:color="auto"/>
            <w:bottom w:val="none" w:sz="0" w:space="0" w:color="auto"/>
            <w:right w:val="none" w:sz="0" w:space="0" w:color="auto"/>
          </w:divBdr>
        </w:div>
        <w:div w:id="1839684819">
          <w:marLeft w:val="0"/>
          <w:marRight w:val="0"/>
          <w:marTop w:val="0"/>
          <w:marBottom w:val="0"/>
          <w:divBdr>
            <w:top w:val="none" w:sz="0" w:space="0" w:color="auto"/>
            <w:left w:val="none" w:sz="0" w:space="0" w:color="auto"/>
            <w:bottom w:val="none" w:sz="0" w:space="0" w:color="auto"/>
            <w:right w:val="none" w:sz="0" w:space="0" w:color="auto"/>
          </w:divBdr>
        </w:div>
      </w:divsChild>
    </w:div>
    <w:div w:id="1083380183">
      <w:bodyDiv w:val="1"/>
      <w:marLeft w:val="0"/>
      <w:marRight w:val="0"/>
      <w:marTop w:val="0"/>
      <w:marBottom w:val="0"/>
      <w:divBdr>
        <w:top w:val="none" w:sz="0" w:space="0" w:color="auto"/>
        <w:left w:val="none" w:sz="0" w:space="0" w:color="auto"/>
        <w:bottom w:val="none" w:sz="0" w:space="0" w:color="auto"/>
        <w:right w:val="none" w:sz="0" w:space="0" w:color="auto"/>
      </w:divBdr>
    </w:div>
    <w:div w:id="1085540932">
      <w:bodyDiv w:val="1"/>
      <w:marLeft w:val="0"/>
      <w:marRight w:val="0"/>
      <w:marTop w:val="0"/>
      <w:marBottom w:val="0"/>
      <w:divBdr>
        <w:top w:val="none" w:sz="0" w:space="0" w:color="auto"/>
        <w:left w:val="none" w:sz="0" w:space="0" w:color="auto"/>
        <w:bottom w:val="none" w:sz="0" w:space="0" w:color="auto"/>
        <w:right w:val="none" w:sz="0" w:space="0" w:color="auto"/>
      </w:divBdr>
    </w:div>
    <w:div w:id="1098868715">
      <w:bodyDiv w:val="1"/>
      <w:marLeft w:val="0"/>
      <w:marRight w:val="0"/>
      <w:marTop w:val="0"/>
      <w:marBottom w:val="0"/>
      <w:divBdr>
        <w:top w:val="none" w:sz="0" w:space="0" w:color="auto"/>
        <w:left w:val="none" w:sz="0" w:space="0" w:color="auto"/>
        <w:bottom w:val="none" w:sz="0" w:space="0" w:color="auto"/>
        <w:right w:val="none" w:sz="0" w:space="0" w:color="auto"/>
      </w:divBdr>
    </w:div>
    <w:div w:id="1107434017">
      <w:bodyDiv w:val="1"/>
      <w:marLeft w:val="0"/>
      <w:marRight w:val="0"/>
      <w:marTop w:val="0"/>
      <w:marBottom w:val="0"/>
      <w:divBdr>
        <w:top w:val="none" w:sz="0" w:space="0" w:color="auto"/>
        <w:left w:val="none" w:sz="0" w:space="0" w:color="auto"/>
        <w:bottom w:val="none" w:sz="0" w:space="0" w:color="auto"/>
        <w:right w:val="none" w:sz="0" w:space="0" w:color="auto"/>
      </w:divBdr>
    </w:div>
    <w:div w:id="1115177503">
      <w:bodyDiv w:val="1"/>
      <w:marLeft w:val="0"/>
      <w:marRight w:val="0"/>
      <w:marTop w:val="0"/>
      <w:marBottom w:val="0"/>
      <w:divBdr>
        <w:top w:val="none" w:sz="0" w:space="0" w:color="auto"/>
        <w:left w:val="none" w:sz="0" w:space="0" w:color="auto"/>
        <w:bottom w:val="none" w:sz="0" w:space="0" w:color="auto"/>
        <w:right w:val="none" w:sz="0" w:space="0" w:color="auto"/>
      </w:divBdr>
    </w:div>
    <w:div w:id="1118060875">
      <w:bodyDiv w:val="1"/>
      <w:marLeft w:val="0"/>
      <w:marRight w:val="0"/>
      <w:marTop w:val="0"/>
      <w:marBottom w:val="0"/>
      <w:divBdr>
        <w:top w:val="none" w:sz="0" w:space="0" w:color="auto"/>
        <w:left w:val="none" w:sz="0" w:space="0" w:color="auto"/>
        <w:bottom w:val="none" w:sz="0" w:space="0" w:color="auto"/>
        <w:right w:val="none" w:sz="0" w:space="0" w:color="auto"/>
      </w:divBdr>
    </w:div>
    <w:div w:id="1135293001">
      <w:bodyDiv w:val="1"/>
      <w:marLeft w:val="0"/>
      <w:marRight w:val="0"/>
      <w:marTop w:val="0"/>
      <w:marBottom w:val="0"/>
      <w:divBdr>
        <w:top w:val="none" w:sz="0" w:space="0" w:color="auto"/>
        <w:left w:val="none" w:sz="0" w:space="0" w:color="auto"/>
        <w:bottom w:val="none" w:sz="0" w:space="0" w:color="auto"/>
        <w:right w:val="none" w:sz="0" w:space="0" w:color="auto"/>
      </w:divBdr>
    </w:div>
    <w:div w:id="1136754523">
      <w:bodyDiv w:val="1"/>
      <w:marLeft w:val="0"/>
      <w:marRight w:val="0"/>
      <w:marTop w:val="0"/>
      <w:marBottom w:val="0"/>
      <w:divBdr>
        <w:top w:val="none" w:sz="0" w:space="0" w:color="auto"/>
        <w:left w:val="none" w:sz="0" w:space="0" w:color="auto"/>
        <w:bottom w:val="none" w:sz="0" w:space="0" w:color="auto"/>
        <w:right w:val="none" w:sz="0" w:space="0" w:color="auto"/>
      </w:divBdr>
    </w:div>
    <w:div w:id="1137070905">
      <w:bodyDiv w:val="1"/>
      <w:marLeft w:val="0"/>
      <w:marRight w:val="0"/>
      <w:marTop w:val="0"/>
      <w:marBottom w:val="0"/>
      <w:divBdr>
        <w:top w:val="none" w:sz="0" w:space="0" w:color="auto"/>
        <w:left w:val="none" w:sz="0" w:space="0" w:color="auto"/>
        <w:bottom w:val="none" w:sz="0" w:space="0" w:color="auto"/>
        <w:right w:val="none" w:sz="0" w:space="0" w:color="auto"/>
      </w:divBdr>
    </w:div>
    <w:div w:id="1143498326">
      <w:bodyDiv w:val="1"/>
      <w:marLeft w:val="0"/>
      <w:marRight w:val="0"/>
      <w:marTop w:val="0"/>
      <w:marBottom w:val="0"/>
      <w:divBdr>
        <w:top w:val="none" w:sz="0" w:space="0" w:color="auto"/>
        <w:left w:val="none" w:sz="0" w:space="0" w:color="auto"/>
        <w:bottom w:val="none" w:sz="0" w:space="0" w:color="auto"/>
        <w:right w:val="none" w:sz="0" w:space="0" w:color="auto"/>
      </w:divBdr>
    </w:div>
    <w:div w:id="1144272970">
      <w:bodyDiv w:val="1"/>
      <w:marLeft w:val="0"/>
      <w:marRight w:val="0"/>
      <w:marTop w:val="0"/>
      <w:marBottom w:val="0"/>
      <w:divBdr>
        <w:top w:val="none" w:sz="0" w:space="0" w:color="auto"/>
        <w:left w:val="none" w:sz="0" w:space="0" w:color="auto"/>
        <w:bottom w:val="none" w:sz="0" w:space="0" w:color="auto"/>
        <w:right w:val="none" w:sz="0" w:space="0" w:color="auto"/>
      </w:divBdr>
    </w:div>
    <w:div w:id="1155536235">
      <w:bodyDiv w:val="1"/>
      <w:marLeft w:val="0"/>
      <w:marRight w:val="0"/>
      <w:marTop w:val="0"/>
      <w:marBottom w:val="0"/>
      <w:divBdr>
        <w:top w:val="none" w:sz="0" w:space="0" w:color="auto"/>
        <w:left w:val="none" w:sz="0" w:space="0" w:color="auto"/>
        <w:bottom w:val="none" w:sz="0" w:space="0" w:color="auto"/>
        <w:right w:val="none" w:sz="0" w:space="0" w:color="auto"/>
      </w:divBdr>
    </w:div>
    <w:div w:id="1164780869">
      <w:bodyDiv w:val="1"/>
      <w:marLeft w:val="0"/>
      <w:marRight w:val="0"/>
      <w:marTop w:val="0"/>
      <w:marBottom w:val="0"/>
      <w:divBdr>
        <w:top w:val="none" w:sz="0" w:space="0" w:color="auto"/>
        <w:left w:val="none" w:sz="0" w:space="0" w:color="auto"/>
        <w:bottom w:val="none" w:sz="0" w:space="0" w:color="auto"/>
        <w:right w:val="none" w:sz="0" w:space="0" w:color="auto"/>
      </w:divBdr>
    </w:div>
    <w:div w:id="1176310333">
      <w:bodyDiv w:val="1"/>
      <w:marLeft w:val="0"/>
      <w:marRight w:val="0"/>
      <w:marTop w:val="0"/>
      <w:marBottom w:val="0"/>
      <w:divBdr>
        <w:top w:val="none" w:sz="0" w:space="0" w:color="auto"/>
        <w:left w:val="none" w:sz="0" w:space="0" w:color="auto"/>
        <w:bottom w:val="none" w:sz="0" w:space="0" w:color="auto"/>
        <w:right w:val="none" w:sz="0" w:space="0" w:color="auto"/>
      </w:divBdr>
    </w:div>
    <w:div w:id="1179546596">
      <w:bodyDiv w:val="1"/>
      <w:marLeft w:val="0"/>
      <w:marRight w:val="0"/>
      <w:marTop w:val="0"/>
      <w:marBottom w:val="0"/>
      <w:divBdr>
        <w:top w:val="none" w:sz="0" w:space="0" w:color="auto"/>
        <w:left w:val="none" w:sz="0" w:space="0" w:color="auto"/>
        <w:bottom w:val="none" w:sz="0" w:space="0" w:color="auto"/>
        <w:right w:val="none" w:sz="0" w:space="0" w:color="auto"/>
      </w:divBdr>
    </w:div>
    <w:div w:id="1184707417">
      <w:bodyDiv w:val="1"/>
      <w:marLeft w:val="0"/>
      <w:marRight w:val="0"/>
      <w:marTop w:val="0"/>
      <w:marBottom w:val="0"/>
      <w:divBdr>
        <w:top w:val="none" w:sz="0" w:space="0" w:color="auto"/>
        <w:left w:val="none" w:sz="0" w:space="0" w:color="auto"/>
        <w:bottom w:val="none" w:sz="0" w:space="0" w:color="auto"/>
        <w:right w:val="none" w:sz="0" w:space="0" w:color="auto"/>
      </w:divBdr>
    </w:div>
    <w:div w:id="1194732849">
      <w:bodyDiv w:val="1"/>
      <w:marLeft w:val="0"/>
      <w:marRight w:val="0"/>
      <w:marTop w:val="0"/>
      <w:marBottom w:val="0"/>
      <w:divBdr>
        <w:top w:val="none" w:sz="0" w:space="0" w:color="auto"/>
        <w:left w:val="none" w:sz="0" w:space="0" w:color="auto"/>
        <w:bottom w:val="none" w:sz="0" w:space="0" w:color="auto"/>
        <w:right w:val="none" w:sz="0" w:space="0" w:color="auto"/>
      </w:divBdr>
    </w:div>
    <w:div w:id="1199708792">
      <w:bodyDiv w:val="1"/>
      <w:marLeft w:val="0"/>
      <w:marRight w:val="0"/>
      <w:marTop w:val="0"/>
      <w:marBottom w:val="0"/>
      <w:divBdr>
        <w:top w:val="none" w:sz="0" w:space="0" w:color="auto"/>
        <w:left w:val="none" w:sz="0" w:space="0" w:color="auto"/>
        <w:bottom w:val="none" w:sz="0" w:space="0" w:color="auto"/>
        <w:right w:val="none" w:sz="0" w:space="0" w:color="auto"/>
      </w:divBdr>
    </w:div>
    <w:div w:id="1201624577">
      <w:bodyDiv w:val="1"/>
      <w:marLeft w:val="0"/>
      <w:marRight w:val="0"/>
      <w:marTop w:val="0"/>
      <w:marBottom w:val="0"/>
      <w:divBdr>
        <w:top w:val="none" w:sz="0" w:space="0" w:color="auto"/>
        <w:left w:val="none" w:sz="0" w:space="0" w:color="auto"/>
        <w:bottom w:val="none" w:sz="0" w:space="0" w:color="auto"/>
        <w:right w:val="none" w:sz="0" w:space="0" w:color="auto"/>
      </w:divBdr>
    </w:div>
    <w:div w:id="1204054150">
      <w:bodyDiv w:val="1"/>
      <w:marLeft w:val="0"/>
      <w:marRight w:val="0"/>
      <w:marTop w:val="0"/>
      <w:marBottom w:val="0"/>
      <w:divBdr>
        <w:top w:val="none" w:sz="0" w:space="0" w:color="auto"/>
        <w:left w:val="none" w:sz="0" w:space="0" w:color="auto"/>
        <w:bottom w:val="none" w:sz="0" w:space="0" w:color="auto"/>
        <w:right w:val="none" w:sz="0" w:space="0" w:color="auto"/>
      </w:divBdr>
    </w:div>
    <w:div w:id="1211264070">
      <w:bodyDiv w:val="1"/>
      <w:marLeft w:val="0"/>
      <w:marRight w:val="0"/>
      <w:marTop w:val="0"/>
      <w:marBottom w:val="0"/>
      <w:divBdr>
        <w:top w:val="none" w:sz="0" w:space="0" w:color="auto"/>
        <w:left w:val="none" w:sz="0" w:space="0" w:color="auto"/>
        <w:bottom w:val="none" w:sz="0" w:space="0" w:color="auto"/>
        <w:right w:val="none" w:sz="0" w:space="0" w:color="auto"/>
      </w:divBdr>
    </w:div>
    <w:div w:id="1212377621">
      <w:bodyDiv w:val="1"/>
      <w:marLeft w:val="0"/>
      <w:marRight w:val="0"/>
      <w:marTop w:val="0"/>
      <w:marBottom w:val="0"/>
      <w:divBdr>
        <w:top w:val="none" w:sz="0" w:space="0" w:color="auto"/>
        <w:left w:val="none" w:sz="0" w:space="0" w:color="auto"/>
        <w:bottom w:val="none" w:sz="0" w:space="0" w:color="auto"/>
        <w:right w:val="none" w:sz="0" w:space="0" w:color="auto"/>
      </w:divBdr>
    </w:div>
    <w:div w:id="1215118696">
      <w:bodyDiv w:val="1"/>
      <w:marLeft w:val="0"/>
      <w:marRight w:val="0"/>
      <w:marTop w:val="0"/>
      <w:marBottom w:val="0"/>
      <w:divBdr>
        <w:top w:val="none" w:sz="0" w:space="0" w:color="auto"/>
        <w:left w:val="none" w:sz="0" w:space="0" w:color="auto"/>
        <w:bottom w:val="none" w:sz="0" w:space="0" w:color="auto"/>
        <w:right w:val="none" w:sz="0" w:space="0" w:color="auto"/>
      </w:divBdr>
    </w:div>
    <w:div w:id="1217281760">
      <w:bodyDiv w:val="1"/>
      <w:marLeft w:val="0"/>
      <w:marRight w:val="0"/>
      <w:marTop w:val="0"/>
      <w:marBottom w:val="0"/>
      <w:divBdr>
        <w:top w:val="none" w:sz="0" w:space="0" w:color="auto"/>
        <w:left w:val="none" w:sz="0" w:space="0" w:color="auto"/>
        <w:bottom w:val="none" w:sz="0" w:space="0" w:color="auto"/>
        <w:right w:val="none" w:sz="0" w:space="0" w:color="auto"/>
      </w:divBdr>
    </w:div>
    <w:div w:id="1220433583">
      <w:bodyDiv w:val="1"/>
      <w:marLeft w:val="0"/>
      <w:marRight w:val="0"/>
      <w:marTop w:val="0"/>
      <w:marBottom w:val="0"/>
      <w:divBdr>
        <w:top w:val="none" w:sz="0" w:space="0" w:color="auto"/>
        <w:left w:val="none" w:sz="0" w:space="0" w:color="auto"/>
        <w:bottom w:val="none" w:sz="0" w:space="0" w:color="auto"/>
        <w:right w:val="none" w:sz="0" w:space="0" w:color="auto"/>
      </w:divBdr>
    </w:div>
    <w:div w:id="1225096916">
      <w:bodyDiv w:val="1"/>
      <w:marLeft w:val="0"/>
      <w:marRight w:val="0"/>
      <w:marTop w:val="0"/>
      <w:marBottom w:val="0"/>
      <w:divBdr>
        <w:top w:val="none" w:sz="0" w:space="0" w:color="auto"/>
        <w:left w:val="none" w:sz="0" w:space="0" w:color="auto"/>
        <w:bottom w:val="none" w:sz="0" w:space="0" w:color="auto"/>
        <w:right w:val="none" w:sz="0" w:space="0" w:color="auto"/>
      </w:divBdr>
    </w:div>
    <w:div w:id="1232891780">
      <w:bodyDiv w:val="1"/>
      <w:marLeft w:val="0"/>
      <w:marRight w:val="0"/>
      <w:marTop w:val="0"/>
      <w:marBottom w:val="0"/>
      <w:divBdr>
        <w:top w:val="none" w:sz="0" w:space="0" w:color="auto"/>
        <w:left w:val="none" w:sz="0" w:space="0" w:color="auto"/>
        <w:bottom w:val="none" w:sz="0" w:space="0" w:color="auto"/>
        <w:right w:val="none" w:sz="0" w:space="0" w:color="auto"/>
      </w:divBdr>
    </w:div>
    <w:div w:id="1238397542">
      <w:bodyDiv w:val="1"/>
      <w:marLeft w:val="0"/>
      <w:marRight w:val="0"/>
      <w:marTop w:val="0"/>
      <w:marBottom w:val="0"/>
      <w:divBdr>
        <w:top w:val="none" w:sz="0" w:space="0" w:color="auto"/>
        <w:left w:val="none" w:sz="0" w:space="0" w:color="auto"/>
        <w:bottom w:val="none" w:sz="0" w:space="0" w:color="auto"/>
        <w:right w:val="none" w:sz="0" w:space="0" w:color="auto"/>
      </w:divBdr>
    </w:div>
    <w:div w:id="1238399631">
      <w:bodyDiv w:val="1"/>
      <w:marLeft w:val="0"/>
      <w:marRight w:val="0"/>
      <w:marTop w:val="0"/>
      <w:marBottom w:val="0"/>
      <w:divBdr>
        <w:top w:val="none" w:sz="0" w:space="0" w:color="auto"/>
        <w:left w:val="none" w:sz="0" w:space="0" w:color="auto"/>
        <w:bottom w:val="none" w:sz="0" w:space="0" w:color="auto"/>
        <w:right w:val="none" w:sz="0" w:space="0" w:color="auto"/>
      </w:divBdr>
    </w:div>
    <w:div w:id="1238974294">
      <w:bodyDiv w:val="1"/>
      <w:marLeft w:val="0"/>
      <w:marRight w:val="0"/>
      <w:marTop w:val="0"/>
      <w:marBottom w:val="0"/>
      <w:divBdr>
        <w:top w:val="none" w:sz="0" w:space="0" w:color="auto"/>
        <w:left w:val="none" w:sz="0" w:space="0" w:color="auto"/>
        <w:bottom w:val="none" w:sz="0" w:space="0" w:color="auto"/>
        <w:right w:val="none" w:sz="0" w:space="0" w:color="auto"/>
      </w:divBdr>
    </w:div>
    <w:div w:id="1245727146">
      <w:bodyDiv w:val="1"/>
      <w:marLeft w:val="0"/>
      <w:marRight w:val="0"/>
      <w:marTop w:val="0"/>
      <w:marBottom w:val="0"/>
      <w:divBdr>
        <w:top w:val="none" w:sz="0" w:space="0" w:color="auto"/>
        <w:left w:val="none" w:sz="0" w:space="0" w:color="auto"/>
        <w:bottom w:val="none" w:sz="0" w:space="0" w:color="auto"/>
        <w:right w:val="none" w:sz="0" w:space="0" w:color="auto"/>
      </w:divBdr>
    </w:div>
    <w:div w:id="1247031137">
      <w:bodyDiv w:val="1"/>
      <w:marLeft w:val="0"/>
      <w:marRight w:val="0"/>
      <w:marTop w:val="0"/>
      <w:marBottom w:val="0"/>
      <w:divBdr>
        <w:top w:val="none" w:sz="0" w:space="0" w:color="auto"/>
        <w:left w:val="none" w:sz="0" w:space="0" w:color="auto"/>
        <w:bottom w:val="none" w:sz="0" w:space="0" w:color="auto"/>
        <w:right w:val="none" w:sz="0" w:space="0" w:color="auto"/>
      </w:divBdr>
    </w:div>
    <w:div w:id="1248611526">
      <w:bodyDiv w:val="1"/>
      <w:marLeft w:val="0"/>
      <w:marRight w:val="0"/>
      <w:marTop w:val="0"/>
      <w:marBottom w:val="0"/>
      <w:divBdr>
        <w:top w:val="none" w:sz="0" w:space="0" w:color="auto"/>
        <w:left w:val="none" w:sz="0" w:space="0" w:color="auto"/>
        <w:bottom w:val="none" w:sz="0" w:space="0" w:color="auto"/>
        <w:right w:val="none" w:sz="0" w:space="0" w:color="auto"/>
      </w:divBdr>
    </w:div>
    <w:div w:id="1252471169">
      <w:bodyDiv w:val="1"/>
      <w:marLeft w:val="0"/>
      <w:marRight w:val="0"/>
      <w:marTop w:val="0"/>
      <w:marBottom w:val="0"/>
      <w:divBdr>
        <w:top w:val="none" w:sz="0" w:space="0" w:color="auto"/>
        <w:left w:val="none" w:sz="0" w:space="0" w:color="auto"/>
        <w:bottom w:val="none" w:sz="0" w:space="0" w:color="auto"/>
        <w:right w:val="none" w:sz="0" w:space="0" w:color="auto"/>
      </w:divBdr>
    </w:div>
    <w:div w:id="1255240220">
      <w:bodyDiv w:val="1"/>
      <w:marLeft w:val="0"/>
      <w:marRight w:val="0"/>
      <w:marTop w:val="0"/>
      <w:marBottom w:val="0"/>
      <w:divBdr>
        <w:top w:val="none" w:sz="0" w:space="0" w:color="auto"/>
        <w:left w:val="none" w:sz="0" w:space="0" w:color="auto"/>
        <w:bottom w:val="none" w:sz="0" w:space="0" w:color="auto"/>
        <w:right w:val="none" w:sz="0" w:space="0" w:color="auto"/>
      </w:divBdr>
    </w:div>
    <w:div w:id="1257521073">
      <w:bodyDiv w:val="1"/>
      <w:marLeft w:val="0"/>
      <w:marRight w:val="0"/>
      <w:marTop w:val="0"/>
      <w:marBottom w:val="0"/>
      <w:divBdr>
        <w:top w:val="none" w:sz="0" w:space="0" w:color="auto"/>
        <w:left w:val="none" w:sz="0" w:space="0" w:color="auto"/>
        <w:bottom w:val="none" w:sz="0" w:space="0" w:color="auto"/>
        <w:right w:val="none" w:sz="0" w:space="0" w:color="auto"/>
      </w:divBdr>
    </w:div>
    <w:div w:id="1257594301">
      <w:bodyDiv w:val="1"/>
      <w:marLeft w:val="0"/>
      <w:marRight w:val="0"/>
      <w:marTop w:val="0"/>
      <w:marBottom w:val="0"/>
      <w:divBdr>
        <w:top w:val="none" w:sz="0" w:space="0" w:color="auto"/>
        <w:left w:val="none" w:sz="0" w:space="0" w:color="auto"/>
        <w:bottom w:val="none" w:sz="0" w:space="0" w:color="auto"/>
        <w:right w:val="none" w:sz="0" w:space="0" w:color="auto"/>
      </w:divBdr>
    </w:div>
    <w:div w:id="1266383636">
      <w:bodyDiv w:val="1"/>
      <w:marLeft w:val="0"/>
      <w:marRight w:val="0"/>
      <w:marTop w:val="0"/>
      <w:marBottom w:val="0"/>
      <w:divBdr>
        <w:top w:val="none" w:sz="0" w:space="0" w:color="auto"/>
        <w:left w:val="none" w:sz="0" w:space="0" w:color="auto"/>
        <w:bottom w:val="none" w:sz="0" w:space="0" w:color="auto"/>
        <w:right w:val="none" w:sz="0" w:space="0" w:color="auto"/>
      </w:divBdr>
    </w:div>
    <w:div w:id="1279262773">
      <w:bodyDiv w:val="1"/>
      <w:marLeft w:val="0"/>
      <w:marRight w:val="0"/>
      <w:marTop w:val="0"/>
      <w:marBottom w:val="0"/>
      <w:divBdr>
        <w:top w:val="none" w:sz="0" w:space="0" w:color="auto"/>
        <w:left w:val="none" w:sz="0" w:space="0" w:color="auto"/>
        <w:bottom w:val="none" w:sz="0" w:space="0" w:color="auto"/>
        <w:right w:val="none" w:sz="0" w:space="0" w:color="auto"/>
      </w:divBdr>
    </w:div>
    <w:div w:id="1279265210">
      <w:bodyDiv w:val="1"/>
      <w:marLeft w:val="0"/>
      <w:marRight w:val="0"/>
      <w:marTop w:val="0"/>
      <w:marBottom w:val="0"/>
      <w:divBdr>
        <w:top w:val="none" w:sz="0" w:space="0" w:color="auto"/>
        <w:left w:val="none" w:sz="0" w:space="0" w:color="auto"/>
        <w:bottom w:val="none" w:sz="0" w:space="0" w:color="auto"/>
        <w:right w:val="none" w:sz="0" w:space="0" w:color="auto"/>
      </w:divBdr>
    </w:div>
    <w:div w:id="1285042218">
      <w:bodyDiv w:val="1"/>
      <w:marLeft w:val="0"/>
      <w:marRight w:val="0"/>
      <w:marTop w:val="0"/>
      <w:marBottom w:val="0"/>
      <w:divBdr>
        <w:top w:val="none" w:sz="0" w:space="0" w:color="auto"/>
        <w:left w:val="none" w:sz="0" w:space="0" w:color="auto"/>
        <w:bottom w:val="none" w:sz="0" w:space="0" w:color="auto"/>
        <w:right w:val="none" w:sz="0" w:space="0" w:color="auto"/>
      </w:divBdr>
    </w:div>
    <w:div w:id="1285501308">
      <w:bodyDiv w:val="1"/>
      <w:marLeft w:val="0"/>
      <w:marRight w:val="0"/>
      <w:marTop w:val="0"/>
      <w:marBottom w:val="0"/>
      <w:divBdr>
        <w:top w:val="none" w:sz="0" w:space="0" w:color="auto"/>
        <w:left w:val="none" w:sz="0" w:space="0" w:color="auto"/>
        <w:bottom w:val="none" w:sz="0" w:space="0" w:color="auto"/>
        <w:right w:val="none" w:sz="0" w:space="0" w:color="auto"/>
      </w:divBdr>
    </w:div>
    <w:div w:id="1289315193">
      <w:bodyDiv w:val="1"/>
      <w:marLeft w:val="0"/>
      <w:marRight w:val="0"/>
      <w:marTop w:val="0"/>
      <w:marBottom w:val="0"/>
      <w:divBdr>
        <w:top w:val="none" w:sz="0" w:space="0" w:color="auto"/>
        <w:left w:val="none" w:sz="0" w:space="0" w:color="auto"/>
        <w:bottom w:val="none" w:sz="0" w:space="0" w:color="auto"/>
        <w:right w:val="none" w:sz="0" w:space="0" w:color="auto"/>
      </w:divBdr>
    </w:div>
    <w:div w:id="1293360654">
      <w:bodyDiv w:val="1"/>
      <w:marLeft w:val="0"/>
      <w:marRight w:val="0"/>
      <w:marTop w:val="0"/>
      <w:marBottom w:val="0"/>
      <w:divBdr>
        <w:top w:val="none" w:sz="0" w:space="0" w:color="auto"/>
        <w:left w:val="none" w:sz="0" w:space="0" w:color="auto"/>
        <w:bottom w:val="none" w:sz="0" w:space="0" w:color="auto"/>
        <w:right w:val="none" w:sz="0" w:space="0" w:color="auto"/>
      </w:divBdr>
    </w:div>
    <w:div w:id="1294170759">
      <w:bodyDiv w:val="1"/>
      <w:marLeft w:val="0"/>
      <w:marRight w:val="0"/>
      <w:marTop w:val="0"/>
      <w:marBottom w:val="0"/>
      <w:divBdr>
        <w:top w:val="none" w:sz="0" w:space="0" w:color="auto"/>
        <w:left w:val="none" w:sz="0" w:space="0" w:color="auto"/>
        <w:bottom w:val="none" w:sz="0" w:space="0" w:color="auto"/>
        <w:right w:val="none" w:sz="0" w:space="0" w:color="auto"/>
      </w:divBdr>
    </w:div>
    <w:div w:id="1294798320">
      <w:bodyDiv w:val="1"/>
      <w:marLeft w:val="0"/>
      <w:marRight w:val="0"/>
      <w:marTop w:val="0"/>
      <w:marBottom w:val="0"/>
      <w:divBdr>
        <w:top w:val="none" w:sz="0" w:space="0" w:color="auto"/>
        <w:left w:val="none" w:sz="0" w:space="0" w:color="auto"/>
        <w:bottom w:val="none" w:sz="0" w:space="0" w:color="auto"/>
        <w:right w:val="none" w:sz="0" w:space="0" w:color="auto"/>
      </w:divBdr>
    </w:div>
    <w:div w:id="1295019311">
      <w:bodyDiv w:val="1"/>
      <w:marLeft w:val="0"/>
      <w:marRight w:val="0"/>
      <w:marTop w:val="0"/>
      <w:marBottom w:val="0"/>
      <w:divBdr>
        <w:top w:val="none" w:sz="0" w:space="0" w:color="auto"/>
        <w:left w:val="none" w:sz="0" w:space="0" w:color="auto"/>
        <w:bottom w:val="none" w:sz="0" w:space="0" w:color="auto"/>
        <w:right w:val="none" w:sz="0" w:space="0" w:color="auto"/>
      </w:divBdr>
    </w:div>
    <w:div w:id="1299189731">
      <w:bodyDiv w:val="1"/>
      <w:marLeft w:val="0"/>
      <w:marRight w:val="0"/>
      <w:marTop w:val="0"/>
      <w:marBottom w:val="0"/>
      <w:divBdr>
        <w:top w:val="none" w:sz="0" w:space="0" w:color="auto"/>
        <w:left w:val="none" w:sz="0" w:space="0" w:color="auto"/>
        <w:bottom w:val="none" w:sz="0" w:space="0" w:color="auto"/>
        <w:right w:val="none" w:sz="0" w:space="0" w:color="auto"/>
      </w:divBdr>
    </w:div>
    <w:div w:id="1299844653">
      <w:bodyDiv w:val="1"/>
      <w:marLeft w:val="0"/>
      <w:marRight w:val="0"/>
      <w:marTop w:val="0"/>
      <w:marBottom w:val="0"/>
      <w:divBdr>
        <w:top w:val="none" w:sz="0" w:space="0" w:color="auto"/>
        <w:left w:val="none" w:sz="0" w:space="0" w:color="auto"/>
        <w:bottom w:val="none" w:sz="0" w:space="0" w:color="auto"/>
        <w:right w:val="none" w:sz="0" w:space="0" w:color="auto"/>
      </w:divBdr>
    </w:div>
    <w:div w:id="1300066008">
      <w:bodyDiv w:val="1"/>
      <w:marLeft w:val="0"/>
      <w:marRight w:val="0"/>
      <w:marTop w:val="0"/>
      <w:marBottom w:val="0"/>
      <w:divBdr>
        <w:top w:val="none" w:sz="0" w:space="0" w:color="auto"/>
        <w:left w:val="none" w:sz="0" w:space="0" w:color="auto"/>
        <w:bottom w:val="none" w:sz="0" w:space="0" w:color="auto"/>
        <w:right w:val="none" w:sz="0" w:space="0" w:color="auto"/>
      </w:divBdr>
    </w:div>
    <w:div w:id="1317998744">
      <w:bodyDiv w:val="1"/>
      <w:marLeft w:val="0"/>
      <w:marRight w:val="0"/>
      <w:marTop w:val="0"/>
      <w:marBottom w:val="0"/>
      <w:divBdr>
        <w:top w:val="none" w:sz="0" w:space="0" w:color="auto"/>
        <w:left w:val="none" w:sz="0" w:space="0" w:color="auto"/>
        <w:bottom w:val="none" w:sz="0" w:space="0" w:color="auto"/>
        <w:right w:val="none" w:sz="0" w:space="0" w:color="auto"/>
      </w:divBdr>
    </w:div>
    <w:div w:id="1318419225">
      <w:bodyDiv w:val="1"/>
      <w:marLeft w:val="0"/>
      <w:marRight w:val="0"/>
      <w:marTop w:val="0"/>
      <w:marBottom w:val="0"/>
      <w:divBdr>
        <w:top w:val="none" w:sz="0" w:space="0" w:color="auto"/>
        <w:left w:val="none" w:sz="0" w:space="0" w:color="auto"/>
        <w:bottom w:val="none" w:sz="0" w:space="0" w:color="auto"/>
        <w:right w:val="none" w:sz="0" w:space="0" w:color="auto"/>
      </w:divBdr>
    </w:div>
    <w:div w:id="1320503911">
      <w:bodyDiv w:val="1"/>
      <w:marLeft w:val="0"/>
      <w:marRight w:val="0"/>
      <w:marTop w:val="0"/>
      <w:marBottom w:val="0"/>
      <w:divBdr>
        <w:top w:val="none" w:sz="0" w:space="0" w:color="auto"/>
        <w:left w:val="none" w:sz="0" w:space="0" w:color="auto"/>
        <w:bottom w:val="none" w:sz="0" w:space="0" w:color="auto"/>
        <w:right w:val="none" w:sz="0" w:space="0" w:color="auto"/>
      </w:divBdr>
    </w:div>
    <w:div w:id="1321497961">
      <w:bodyDiv w:val="1"/>
      <w:marLeft w:val="0"/>
      <w:marRight w:val="0"/>
      <w:marTop w:val="0"/>
      <w:marBottom w:val="0"/>
      <w:divBdr>
        <w:top w:val="none" w:sz="0" w:space="0" w:color="auto"/>
        <w:left w:val="none" w:sz="0" w:space="0" w:color="auto"/>
        <w:bottom w:val="none" w:sz="0" w:space="0" w:color="auto"/>
        <w:right w:val="none" w:sz="0" w:space="0" w:color="auto"/>
      </w:divBdr>
    </w:div>
    <w:div w:id="1333265616">
      <w:bodyDiv w:val="1"/>
      <w:marLeft w:val="0"/>
      <w:marRight w:val="0"/>
      <w:marTop w:val="0"/>
      <w:marBottom w:val="0"/>
      <w:divBdr>
        <w:top w:val="none" w:sz="0" w:space="0" w:color="auto"/>
        <w:left w:val="none" w:sz="0" w:space="0" w:color="auto"/>
        <w:bottom w:val="none" w:sz="0" w:space="0" w:color="auto"/>
        <w:right w:val="none" w:sz="0" w:space="0" w:color="auto"/>
      </w:divBdr>
    </w:div>
    <w:div w:id="1333994889">
      <w:bodyDiv w:val="1"/>
      <w:marLeft w:val="0"/>
      <w:marRight w:val="0"/>
      <w:marTop w:val="0"/>
      <w:marBottom w:val="0"/>
      <w:divBdr>
        <w:top w:val="none" w:sz="0" w:space="0" w:color="auto"/>
        <w:left w:val="none" w:sz="0" w:space="0" w:color="auto"/>
        <w:bottom w:val="none" w:sz="0" w:space="0" w:color="auto"/>
        <w:right w:val="none" w:sz="0" w:space="0" w:color="auto"/>
      </w:divBdr>
    </w:div>
    <w:div w:id="1336305338">
      <w:bodyDiv w:val="1"/>
      <w:marLeft w:val="0"/>
      <w:marRight w:val="0"/>
      <w:marTop w:val="0"/>
      <w:marBottom w:val="0"/>
      <w:divBdr>
        <w:top w:val="none" w:sz="0" w:space="0" w:color="auto"/>
        <w:left w:val="none" w:sz="0" w:space="0" w:color="auto"/>
        <w:bottom w:val="none" w:sz="0" w:space="0" w:color="auto"/>
        <w:right w:val="none" w:sz="0" w:space="0" w:color="auto"/>
      </w:divBdr>
    </w:div>
    <w:div w:id="1340235593">
      <w:bodyDiv w:val="1"/>
      <w:marLeft w:val="0"/>
      <w:marRight w:val="0"/>
      <w:marTop w:val="0"/>
      <w:marBottom w:val="0"/>
      <w:divBdr>
        <w:top w:val="none" w:sz="0" w:space="0" w:color="auto"/>
        <w:left w:val="none" w:sz="0" w:space="0" w:color="auto"/>
        <w:bottom w:val="none" w:sz="0" w:space="0" w:color="auto"/>
        <w:right w:val="none" w:sz="0" w:space="0" w:color="auto"/>
      </w:divBdr>
    </w:div>
    <w:div w:id="1348828518">
      <w:bodyDiv w:val="1"/>
      <w:marLeft w:val="0"/>
      <w:marRight w:val="0"/>
      <w:marTop w:val="0"/>
      <w:marBottom w:val="0"/>
      <w:divBdr>
        <w:top w:val="none" w:sz="0" w:space="0" w:color="auto"/>
        <w:left w:val="none" w:sz="0" w:space="0" w:color="auto"/>
        <w:bottom w:val="none" w:sz="0" w:space="0" w:color="auto"/>
        <w:right w:val="none" w:sz="0" w:space="0" w:color="auto"/>
      </w:divBdr>
    </w:div>
    <w:div w:id="1350107580">
      <w:bodyDiv w:val="1"/>
      <w:marLeft w:val="0"/>
      <w:marRight w:val="0"/>
      <w:marTop w:val="0"/>
      <w:marBottom w:val="0"/>
      <w:divBdr>
        <w:top w:val="none" w:sz="0" w:space="0" w:color="auto"/>
        <w:left w:val="none" w:sz="0" w:space="0" w:color="auto"/>
        <w:bottom w:val="none" w:sz="0" w:space="0" w:color="auto"/>
        <w:right w:val="none" w:sz="0" w:space="0" w:color="auto"/>
      </w:divBdr>
    </w:div>
    <w:div w:id="1353916826">
      <w:bodyDiv w:val="1"/>
      <w:marLeft w:val="0"/>
      <w:marRight w:val="0"/>
      <w:marTop w:val="0"/>
      <w:marBottom w:val="0"/>
      <w:divBdr>
        <w:top w:val="none" w:sz="0" w:space="0" w:color="auto"/>
        <w:left w:val="none" w:sz="0" w:space="0" w:color="auto"/>
        <w:bottom w:val="none" w:sz="0" w:space="0" w:color="auto"/>
        <w:right w:val="none" w:sz="0" w:space="0" w:color="auto"/>
      </w:divBdr>
    </w:div>
    <w:div w:id="1356689511">
      <w:bodyDiv w:val="1"/>
      <w:marLeft w:val="0"/>
      <w:marRight w:val="0"/>
      <w:marTop w:val="0"/>
      <w:marBottom w:val="0"/>
      <w:divBdr>
        <w:top w:val="none" w:sz="0" w:space="0" w:color="auto"/>
        <w:left w:val="none" w:sz="0" w:space="0" w:color="auto"/>
        <w:bottom w:val="none" w:sz="0" w:space="0" w:color="auto"/>
        <w:right w:val="none" w:sz="0" w:space="0" w:color="auto"/>
      </w:divBdr>
    </w:div>
    <w:div w:id="1356929616">
      <w:bodyDiv w:val="1"/>
      <w:marLeft w:val="0"/>
      <w:marRight w:val="0"/>
      <w:marTop w:val="0"/>
      <w:marBottom w:val="0"/>
      <w:divBdr>
        <w:top w:val="none" w:sz="0" w:space="0" w:color="auto"/>
        <w:left w:val="none" w:sz="0" w:space="0" w:color="auto"/>
        <w:bottom w:val="none" w:sz="0" w:space="0" w:color="auto"/>
        <w:right w:val="none" w:sz="0" w:space="0" w:color="auto"/>
      </w:divBdr>
    </w:div>
    <w:div w:id="1363634266">
      <w:bodyDiv w:val="1"/>
      <w:marLeft w:val="0"/>
      <w:marRight w:val="0"/>
      <w:marTop w:val="0"/>
      <w:marBottom w:val="0"/>
      <w:divBdr>
        <w:top w:val="none" w:sz="0" w:space="0" w:color="auto"/>
        <w:left w:val="none" w:sz="0" w:space="0" w:color="auto"/>
        <w:bottom w:val="none" w:sz="0" w:space="0" w:color="auto"/>
        <w:right w:val="none" w:sz="0" w:space="0" w:color="auto"/>
      </w:divBdr>
    </w:div>
    <w:div w:id="1364787431">
      <w:bodyDiv w:val="1"/>
      <w:marLeft w:val="0"/>
      <w:marRight w:val="0"/>
      <w:marTop w:val="0"/>
      <w:marBottom w:val="0"/>
      <w:divBdr>
        <w:top w:val="none" w:sz="0" w:space="0" w:color="auto"/>
        <w:left w:val="none" w:sz="0" w:space="0" w:color="auto"/>
        <w:bottom w:val="none" w:sz="0" w:space="0" w:color="auto"/>
        <w:right w:val="none" w:sz="0" w:space="0" w:color="auto"/>
      </w:divBdr>
    </w:div>
    <w:div w:id="1366059353">
      <w:bodyDiv w:val="1"/>
      <w:marLeft w:val="0"/>
      <w:marRight w:val="0"/>
      <w:marTop w:val="0"/>
      <w:marBottom w:val="0"/>
      <w:divBdr>
        <w:top w:val="none" w:sz="0" w:space="0" w:color="auto"/>
        <w:left w:val="none" w:sz="0" w:space="0" w:color="auto"/>
        <w:bottom w:val="none" w:sz="0" w:space="0" w:color="auto"/>
        <w:right w:val="none" w:sz="0" w:space="0" w:color="auto"/>
      </w:divBdr>
    </w:div>
    <w:div w:id="1366171987">
      <w:bodyDiv w:val="1"/>
      <w:marLeft w:val="0"/>
      <w:marRight w:val="0"/>
      <w:marTop w:val="0"/>
      <w:marBottom w:val="0"/>
      <w:divBdr>
        <w:top w:val="none" w:sz="0" w:space="0" w:color="auto"/>
        <w:left w:val="none" w:sz="0" w:space="0" w:color="auto"/>
        <w:bottom w:val="none" w:sz="0" w:space="0" w:color="auto"/>
        <w:right w:val="none" w:sz="0" w:space="0" w:color="auto"/>
      </w:divBdr>
    </w:div>
    <w:div w:id="1378550430">
      <w:bodyDiv w:val="1"/>
      <w:marLeft w:val="0"/>
      <w:marRight w:val="0"/>
      <w:marTop w:val="0"/>
      <w:marBottom w:val="0"/>
      <w:divBdr>
        <w:top w:val="none" w:sz="0" w:space="0" w:color="auto"/>
        <w:left w:val="none" w:sz="0" w:space="0" w:color="auto"/>
        <w:bottom w:val="none" w:sz="0" w:space="0" w:color="auto"/>
        <w:right w:val="none" w:sz="0" w:space="0" w:color="auto"/>
      </w:divBdr>
    </w:div>
    <w:div w:id="1379165569">
      <w:bodyDiv w:val="1"/>
      <w:marLeft w:val="0"/>
      <w:marRight w:val="0"/>
      <w:marTop w:val="0"/>
      <w:marBottom w:val="0"/>
      <w:divBdr>
        <w:top w:val="none" w:sz="0" w:space="0" w:color="auto"/>
        <w:left w:val="none" w:sz="0" w:space="0" w:color="auto"/>
        <w:bottom w:val="none" w:sz="0" w:space="0" w:color="auto"/>
        <w:right w:val="none" w:sz="0" w:space="0" w:color="auto"/>
      </w:divBdr>
    </w:div>
    <w:div w:id="1383948008">
      <w:bodyDiv w:val="1"/>
      <w:marLeft w:val="0"/>
      <w:marRight w:val="0"/>
      <w:marTop w:val="0"/>
      <w:marBottom w:val="0"/>
      <w:divBdr>
        <w:top w:val="none" w:sz="0" w:space="0" w:color="auto"/>
        <w:left w:val="none" w:sz="0" w:space="0" w:color="auto"/>
        <w:bottom w:val="none" w:sz="0" w:space="0" w:color="auto"/>
        <w:right w:val="none" w:sz="0" w:space="0" w:color="auto"/>
      </w:divBdr>
    </w:div>
    <w:div w:id="1393583091">
      <w:bodyDiv w:val="1"/>
      <w:marLeft w:val="0"/>
      <w:marRight w:val="0"/>
      <w:marTop w:val="0"/>
      <w:marBottom w:val="0"/>
      <w:divBdr>
        <w:top w:val="none" w:sz="0" w:space="0" w:color="auto"/>
        <w:left w:val="none" w:sz="0" w:space="0" w:color="auto"/>
        <w:bottom w:val="none" w:sz="0" w:space="0" w:color="auto"/>
        <w:right w:val="none" w:sz="0" w:space="0" w:color="auto"/>
      </w:divBdr>
    </w:div>
    <w:div w:id="1394888064">
      <w:bodyDiv w:val="1"/>
      <w:marLeft w:val="0"/>
      <w:marRight w:val="0"/>
      <w:marTop w:val="0"/>
      <w:marBottom w:val="0"/>
      <w:divBdr>
        <w:top w:val="none" w:sz="0" w:space="0" w:color="auto"/>
        <w:left w:val="none" w:sz="0" w:space="0" w:color="auto"/>
        <w:bottom w:val="none" w:sz="0" w:space="0" w:color="auto"/>
        <w:right w:val="none" w:sz="0" w:space="0" w:color="auto"/>
      </w:divBdr>
    </w:div>
    <w:div w:id="1395472495">
      <w:bodyDiv w:val="1"/>
      <w:marLeft w:val="0"/>
      <w:marRight w:val="0"/>
      <w:marTop w:val="0"/>
      <w:marBottom w:val="0"/>
      <w:divBdr>
        <w:top w:val="none" w:sz="0" w:space="0" w:color="auto"/>
        <w:left w:val="none" w:sz="0" w:space="0" w:color="auto"/>
        <w:bottom w:val="none" w:sz="0" w:space="0" w:color="auto"/>
        <w:right w:val="none" w:sz="0" w:space="0" w:color="auto"/>
      </w:divBdr>
    </w:div>
    <w:div w:id="1403986508">
      <w:bodyDiv w:val="1"/>
      <w:marLeft w:val="0"/>
      <w:marRight w:val="0"/>
      <w:marTop w:val="0"/>
      <w:marBottom w:val="0"/>
      <w:divBdr>
        <w:top w:val="none" w:sz="0" w:space="0" w:color="auto"/>
        <w:left w:val="none" w:sz="0" w:space="0" w:color="auto"/>
        <w:bottom w:val="none" w:sz="0" w:space="0" w:color="auto"/>
        <w:right w:val="none" w:sz="0" w:space="0" w:color="auto"/>
      </w:divBdr>
    </w:div>
    <w:div w:id="1418672555">
      <w:bodyDiv w:val="1"/>
      <w:marLeft w:val="0"/>
      <w:marRight w:val="0"/>
      <w:marTop w:val="0"/>
      <w:marBottom w:val="0"/>
      <w:divBdr>
        <w:top w:val="none" w:sz="0" w:space="0" w:color="auto"/>
        <w:left w:val="none" w:sz="0" w:space="0" w:color="auto"/>
        <w:bottom w:val="none" w:sz="0" w:space="0" w:color="auto"/>
        <w:right w:val="none" w:sz="0" w:space="0" w:color="auto"/>
      </w:divBdr>
    </w:div>
    <w:div w:id="1421099372">
      <w:bodyDiv w:val="1"/>
      <w:marLeft w:val="0"/>
      <w:marRight w:val="0"/>
      <w:marTop w:val="0"/>
      <w:marBottom w:val="0"/>
      <w:divBdr>
        <w:top w:val="none" w:sz="0" w:space="0" w:color="auto"/>
        <w:left w:val="none" w:sz="0" w:space="0" w:color="auto"/>
        <w:bottom w:val="none" w:sz="0" w:space="0" w:color="auto"/>
        <w:right w:val="none" w:sz="0" w:space="0" w:color="auto"/>
      </w:divBdr>
    </w:div>
    <w:div w:id="1423449270">
      <w:bodyDiv w:val="1"/>
      <w:marLeft w:val="0"/>
      <w:marRight w:val="0"/>
      <w:marTop w:val="0"/>
      <w:marBottom w:val="0"/>
      <w:divBdr>
        <w:top w:val="none" w:sz="0" w:space="0" w:color="auto"/>
        <w:left w:val="none" w:sz="0" w:space="0" w:color="auto"/>
        <w:bottom w:val="none" w:sz="0" w:space="0" w:color="auto"/>
        <w:right w:val="none" w:sz="0" w:space="0" w:color="auto"/>
      </w:divBdr>
    </w:div>
    <w:div w:id="1426921711">
      <w:bodyDiv w:val="1"/>
      <w:marLeft w:val="0"/>
      <w:marRight w:val="0"/>
      <w:marTop w:val="0"/>
      <w:marBottom w:val="0"/>
      <w:divBdr>
        <w:top w:val="none" w:sz="0" w:space="0" w:color="auto"/>
        <w:left w:val="none" w:sz="0" w:space="0" w:color="auto"/>
        <w:bottom w:val="none" w:sz="0" w:space="0" w:color="auto"/>
        <w:right w:val="none" w:sz="0" w:space="0" w:color="auto"/>
      </w:divBdr>
    </w:div>
    <w:div w:id="1429082994">
      <w:bodyDiv w:val="1"/>
      <w:marLeft w:val="0"/>
      <w:marRight w:val="0"/>
      <w:marTop w:val="0"/>
      <w:marBottom w:val="0"/>
      <w:divBdr>
        <w:top w:val="none" w:sz="0" w:space="0" w:color="auto"/>
        <w:left w:val="none" w:sz="0" w:space="0" w:color="auto"/>
        <w:bottom w:val="none" w:sz="0" w:space="0" w:color="auto"/>
        <w:right w:val="none" w:sz="0" w:space="0" w:color="auto"/>
      </w:divBdr>
    </w:div>
    <w:div w:id="1443762728">
      <w:bodyDiv w:val="1"/>
      <w:marLeft w:val="0"/>
      <w:marRight w:val="0"/>
      <w:marTop w:val="0"/>
      <w:marBottom w:val="0"/>
      <w:divBdr>
        <w:top w:val="none" w:sz="0" w:space="0" w:color="auto"/>
        <w:left w:val="none" w:sz="0" w:space="0" w:color="auto"/>
        <w:bottom w:val="none" w:sz="0" w:space="0" w:color="auto"/>
        <w:right w:val="none" w:sz="0" w:space="0" w:color="auto"/>
      </w:divBdr>
    </w:div>
    <w:div w:id="1443843621">
      <w:bodyDiv w:val="1"/>
      <w:marLeft w:val="0"/>
      <w:marRight w:val="0"/>
      <w:marTop w:val="0"/>
      <w:marBottom w:val="0"/>
      <w:divBdr>
        <w:top w:val="none" w:sz="0" w:space="0" w:color="auto"/>
        <w:left w:val="none" w:sz="0" w:space="0" w:color="auto"/>
        <w:bottom w:val="none" w:sz="0" w:space="0" w:color="auto"/>
        <w:right w:val="none" w:sz="0" w:space="0" w:color="auto"/>
      </w:divBdr>
    </w:div>
    <w:div w:id="1445072746">
      <w:bodyDiv w:val="1"/>
      <w:marLeft w:val="0"/>
      <w:marRight w:val="0"/>
      <w:marTop w:val="0"/>
      <w:marBottom w:val="0"/>
      <w:divBdr>
        <w:top w:val="none" w:sz="0" w:space="0" w:color="auto"/>
        <w:left w:val="none" w:sz="0" w:space="0" w:color="auto"/>
        <w:bottom w:val="none" w:sz="0" w:space="0" w:color="auto"/>
        <w:right w:val="none" w:sz="0" w:space="0" w:color="auto"/>
      </w:divBdr>
    </w:div>
    <w:div w:id="1445081330">
      <w:bodyDiv w:val="1"/>
      <w:marLeft w:val="0"/>
      <w:marRight w:val="0"/>
      <w:marTop w:val="0"/>
      <w:marBottom w:val="0"/>
      <w:divBdr>
        <w:top w:val="none" w:sz="0" w:space="0" w:color="auto"/>
        <w:left w:val="none" w:sz="0" w:space="0" w:color="auto"/>
        <w:bottom w:val="none" w:sz="0" w:space="0" w:color="auto"/>
        <w:right w:val="none" w:sz="0" w:space="0" w:color="auto"/>
      </w:divBdr>
    </w:div>
    <w:div w:id="1445609639">
      <w:bodyDiv w:val="1"/>
      <w:marLeft w:val="0"/>
      <w:marRight w:val="0"/>
      <w:marTop w:val="0"/>
      <w:marBottom w:val="0"/>
      <w:divBdr>
        <w:top w:val="none" w:sz="0" w:space="0" w:color="auto"/>
        <w:left w:val="none" w:sz="0" w:space="0" w:color="auto"/>
        <w:bottom w:val="none" w:sz="0" w:space="0" w:color="auto"/>
        <w:right w:val="none" w:sz="0" w:space="0" w:color="auto"/>
      </w:divBdr>
    </w:div>
    <w:div w:id="1448543874">
      <w:bodyDiv w:val="1"/>
      <w:marLeft w:val="0"/>
      <w:marRight w:val="0"/>
      <w:marTop w:val="0"/>
      <w:marBottom w:val="0"/>
      <w:divBdr>
        <w:top w:val="none" w:sz="0" w:space="0" w:color="auto"/>
        <w:left w:val="none" w:sz="0" w:space="0" w:color="auto"/>
        <w:bottom w:val="none" w:sz="0" w:space="0" w:color="auto"/>
        <w:right w:val="none" w:sz="0" w:space="0" w:color="auto"/>
      </w:divBdr>
    </w:div>
    <w:div w:id="1451434293">
      <w:bodyDiv w:val="1"/>
      <w:marLeft w:val="0"/>
      <w:marRight w:val="0"/>
      <w:marTop w:val="0"/>
      <w:marBottom w:val="0"/>
      <w:divBdr>
        <w:top w:val="none" w:sz="0" w:space="0" w:color="auto"/>
        <w:left w:val="none" w:sz="0" w:space="0" w:color="auto"/>
        <w:bottom w:val="none" w:sz="0" w:space="0" w:color="auto"/>
        <w:right w:val="none" w:sz="0" w:space="0" w:color="auto"/>
      </w:divBdr>
    </w:div>
    <w:div w:id="1453209691">
      <w:bodyDiv w:val="1"/>
      <w:marLeft w:val="0"/>
      <w:marRight w:val="0"/>
      <w:marTop w:val="0"/>
      <w:marBottom w:val="0"/>
      <w:divBdr>
        <w:top w:val="none" w:sz="0" w:space="0" w:color="auto"/>
        <w:left w:val="none" w:sz="0" w:space="0" w:color="auto"/>
        <w:bottom w:val="none" w:sz="0" w:space="0" w:color="auto"/>
        <w:right w:val="none" w:sz="0" w:space="0" w:color="auto"/>
      </w:divBdr>
    </w:div>
    <w:div w:id="1453859777">
      <w:bodyDiv w:val="1"/>
      <w:marLeft w:val="0"/>
      <w:marRight w:val="0"/>
      <w:marTop w:val="0"/>
      <w:marBottom w:val="0"/>
      <w:divBdr>
        <w:top w:val="none" w:sz="0" w:space="0" w:color="auto"/>
        <w:left w:val="none" w:sz="0" w:space="0" w:color="auto"/>
        <w:bottom w:val="none" w:sz="0" w:space="0" w:color="auto"/>
        <w:right w:val="none" w:sz="0" w:space="0" w:color="auto"/>
      </w:divBdr>
    </w:div>
    <w:div w:id="1455514018">
      <w:bodyDiv w:val="1"/>
      <w:marLeft w:val="0"/>
      <w:marRight w:val="0"/>
      <w:marTop w:val="0"/>
      <w:marBottom w:val="0"/>
      <w:divBdr>
        <w:top w:val="none" w:sz="0" w:space="0" w:color="auto"/>
        <w:left w:val="none" w:sz="0" w:space="0" w:color="auto"/>
        <w:bottom w:val="none" w:sz="0" w:space="0" w:color="auto"/>
        <w:right w:val="none" w:sz="0" w:space="0" w:color="auto"/>
      </w:divBdr>
    </w:div>
    <w:div w:id="1469056271">
      <w:bodyDiv w:val="1"/>
      <w:marLeft w:val="0"/>
      <w:marRight w:val="0"/>
      <w:marTop w:val="0"/>
      <w:marBottom w:val="0"/>
      <w:divBdr>
        <w:top w:val="none" w:sz="0" w:space="0" w:color="auto"/>
        <w:left w:val="none" w:sz="0" w:space="0" w:color="auto"/>
        <w:bottom w:val="none" w:sz="0" w:space="0" w:color="auto"/>
        <w:right w:val="none" w:sz="0" w:space="0" w:color="auto"/>
      </w:divBdr>
    </w:div>
    <w:div w:id="1474521627">
      <w:bodyDiv w:val="1"/>
      <w:marLeft w:val="0"/>
      <w:marRight w:val="0"/>
      <w:marTop w:val="0"/>
      <w:marBottom w:val="0"/>
      <w:divBdr>
        <w:top w:val="none" w:sz="0" w:space="0" w:color="auto"/>
        <w:left w:val="none" w:sz="0" w:space="0" w:color="auto"/>
        <w:bottom w:val="none" w:sz="0" w:space="0" w:color="auto"/>
        <w:right w:val="none" w:sz="0" w:space="0" w:color="auto"/>
      </w:divBdr>
    </w:div>
    <w:div w:id="1475173639">
      <w:bodyDiv w:val="1"/>
      <w:marLeft w:val="0"/>
      <w:marRight w:val="0"/>
      <w:marTop w:val="0"/>
      <w:marBottom w:val="0"/>
      <w:divBdr>
        <w:top w:val="none" w:sz="0" w:space="0" w:color="auto"/>
        <w:left w:val="none" w:sz="0" w:space="0" w:color="auto"/>
        <w:bottom w:val="none" w:sz="0" w:space="0" w:color="auto"/>
        <w:right w:val="none" w:sz="0" w:space="0" w:color="auto"/>
      </w:divBdr>
    </w:div>
    <w:div w:id="1484858789">
      <w:bodyDiv w:val="1"/>
      <w:marLeft w:val="0"/>
      <w:marRight w:val="0"/>
      <w:marTop w:val="0"/>
      <w:marBottom w:val="0"/>
      <w:divBdr>
        <w:top w:val="none" w:sz="0" w:space="0" w:color="auto"/>
        <w:left w:val="none" w:sz="0" w:space="0" w:color="auto"/>
        <w:bottom w:val="none" w:sz="0" w:space="0" w:color="auto"/>
        <w:right w:val="none" w:sz="0" w:space="0" w:color="auto"/>
      </w:divBdr>
    </w:div>
    <w:div w:id="1489519272">
      <w:bodyDiv w:val="1"/>
      <w:marLeft w:val="0"/>
      <w:marRight w:val="0"/>
      <w:marTop w:val="0"/>
      <w:marBottom w:val="0"/>
      <w:divBdr>
        <w:top w:val="none" w:sz="0" w:space="0" w:color="auto"/>
        <w:left w:val="none" w:sz="0" w:space="0" w:color="auto"/>
        <w:bottom w:val="none" w:sz="0" w:space="0" w:color="auto"/>
        <w:right w:val="none" w:sz="0" w:space="0" w:color="auto"/>
      </w:divBdr>
    </w:div>
    <w:div w:id="1490175027">
      <w:bodyDiv w:val="1"/>
      <w:marLeft w:val="0"/>
      <w:marRight w:val="0"/>
      <w:marTop w:val="0"/>
      <w:marBottom w:val="0"/>
      <w:divBdr>
        <w:top w:val="none" w:sz="0" w:space="0" w:color="auto"/>
        <w:left w:val="none" w:sz="0" w:space="0" w:color="auto"/>
        <w:bottom w:val="none" w:sz="0" w:space="0" w:color="auto"/>
        <w:right w:val="none" w:sz="0" w:space="0" w:color="auto"/>
      </w:divBdr>
    </w:div>
    <w:div w:id="1495343625">
      <w:bodyDiv w:val="1"/>
      <w:marLeft w:val="0"/>
      <w:marRight w:val="0"/>
      <w:marTop w:val="0"/>
      <w:marBottom w:val="0"/>
      <w:divBdr>
        <w:top w:val="none" w:sz="0" w:space="0" w:color="auto"/>
        <w:left w:val="none" w:sz="0" w:space="0" w:color="auto"/>
        <w:bottom w:val="none" w:sz="0" w:space="0" w:color="auto"/>
        <w:right w:val="none" w:sz="0" w:space="0" w:color="auto"/>
      </w:divBdr>
    </w:div>
    <w:div w:id="1496260319">
      <w:bodyDiv w:val="1"/>
      <w:marLeft w:val="0"/>
      <w:marRight w:val="0"/>
      <w:marTop w:val="0"/>
      <w:marBottom w:val="0"/>
      <w:divBdr>
        <w:top w:val="none" w:sz="0" w:space="0" w:color="auto"/>
        <w:left w:val="none" w:sz="0" w:space="0" w:color="auto"/>
        <w:bottom w:val="none" w:sz="0" w:space="0" w:color="auto"/>
        <w:right w:val="none" w:sz="0" w:space="0" w:color="auto"/>
      </w:divBdr>
    </w:div>
    <w:div w:id="1501776909">
      <w:bodyDiv w:val="1"/>
      <w:marLeft w:val="0"/>
      <w:marRight w:val="0"/>
      <w:marTop w:val="0"/>
      <w:marBottom w:val="0"/>
      <w:divBdr>
        <w:top w:val="none" w:sz="0" w:space="0" w:color="auto"/>
        <w:left w:val="none" w:sz="0" w:space="0" w:color="auto"/>
        <w:bottom w:val="none" w:sz="0" w:space="0" w:color="auto"/>
        <w:right w:val="none" w:sz="0" w:space="0" w:color="auto"/>
      </w:divBdr>
    </w:div>
    <w:div w:id="1504203772">
      <w:bodyDiv w:val="1"/>
      <w:marLeft w:val="0"/>
      <w:marRight w:val="0"/>
      <w:marTop w:val="0"/>
      <w:marBottom w:val="0"/>
      <w:divBdr>
        <w:top w:val="none" w:sz="0" w:space="0" w:color="auto"/>
        <w:left w:val="none" w:sz="0" w:space="0" w:color="auto"/>
        <w:bottom w:val="none" w:sz="0" w:space="0" w:color="auto"/>
        <w:right w:val="none" w:sz="0" w:space="0" w:color="auto"/>
      </w:divBdr>
    </w:div>
    <w:div w:id="1504971217">
      <w:bodyDiv w:val="1"/>
      <w:marLeft w:val="0"/>
      <w:marRight w:val="0"/>
      <w:marTop w:val="0"/>
      <w:marBottom w:val="0"/>
      <w:divBdr>
        <w:top w:val="none" w:sz="0" w:space="0" w:color="auto"/>
        <w:left w:val="none" w:sz="0" w:space="0" w:color="auto"/>
        <w:bottom w:val="none" w:sz="0" w:space="0" w:color="auto"/>
        <w:right w:val="none" w:sz="0" w:space="0" w:color="auto"/>
      </w:divBdr>
    </w:div>
    <w:div w:id="1506281404">
      <w:bodyDiv w:val="1"/>
      <w:marLeft w:val="0"/>
      <w:marRight w:val="0"/>
      <w:marTop w:val="0"/>
      <w:marBottom w:val="0"/>
      <w:divBdr>
        <w:top w:val="none" w:sz="0" w:space="0" w:color="auto"/>
        <w:left w:val="none" w:sz="0" w:space="0" w:color="auto"/>
        <w:bottom w:val="none" w:sz="0" w:space="0" w:color="auto"/>
        <w:right w:val="none" w:sz="0" w:space="0" w:color="auto"/>
      </w:divBdr>
    </w:div>
    <w:div w:id="1516382966">
      <w:bodyDiv w:val="1"/>
      <w:marLeft w:val="0"/>
      <w:marRight w:val="0"/>
      <w:marTop w:val="0"/>
      <w:marBottom w:val="0"/>
      <w:divBdr>
        <w:top w:val="none" w:sz="0" w:space="0" w:color="auto"/>
        <w:left w:val="none" w:sz="0" w:space="0" w:color="auto"/>
        <w:bottom w:val="none" w:sz="0" w:space="0" w:color="auto"/>
        <w:right w:val="none" w:sz="0" w:space="0" w:color="auto"/>
      </w:divBdr>
    </w:div>
    <w:div w:id="1520855846">
      <w:bodyDiv w:val="1"/>
      <w:marLeft w:val="0"/>
      <w:marRight w:val="0"/>
      <w:marTop w:val="0"/>
      <w:marBottom w:val="0"/>
      <w:divBdr>
        <w:top w:val="none" w:sz="0" w:space="0" w:color="auto"/>
        <w:left w:val="none" w:sz="0" w:space="0" w:color="auto"/>
        <w:bottom w:val="none" w:sz="0" w:space="0" w:color="auto"/>
        <w:right w:val="none" w:sz="0" w:space="0" w:color="auto"/>
      </w:divBdr>
    </w:div>
    <w:div w:id="1524637470">
      <w:bodyDiv w:val="1"/>
      <w:marLeft w:val="0"/>
      <w:marRight w:val="0"/>
      <w:marTop w:val="0"/>
      <w:marBottom w:val="0"/>
      <w:divBdr>
        <w:top w:val="none" w:sz="0" w:space="0" w:color="auto"/>
        <w:left w:val="none" w:sz="0" w:space="0" w:color="auto"/>
        <w:bottom w:val="none" w:sz="0" w:space="0" w:color="auto"/>
        <w:right w:val="none" w:sz="0" w:space="0" w:color="auto"/>
      </w:divBdr>
    </w:div>
    <w:div w:id="1525510599">
      <w:bodyDiv w:val="1"/>
      <w:marLeft w:val="0"/>
      <w:marRight w:val="0"/>
      <w:marTop w:val="0"/>
      <w:marBottom w:val="0"/>
      <w:divBdr>
        <w:top w:val="none" w:sz="0" w:space="0" w:color="auto"/>
        <w:left w:val="none" w:sz="0" w:space="0" w:color="auto"/>
        <w:bottom w:val="none" w:sz="0" w:space="0" w:color="auto"/>
        <w:right w:val="none" w:sz="0" w:space="0" w:color="auto"/>
      </w:divBdr>
    </w:div>
    <w:div w:id="1526166665">
      <w:bodyDiv w:val="1"/>
      <w:marLeft w:val="0"/>
      <w:marRight w:val="0"/>
      <w:marTop w:val="0"/>
      <w:marBottom w:val="0"/>
      <w:divBdr>
        <w:top w:val="none" w:sz="0" w:space="0" w:color="auto"/>
        <w:left w:val="none" w:sz="0" w:space="0" w:color="auto"/>
        <w:bottom w:val="none" w:sz="0" w:space="0" w:color="auto"/>
        <w:right w:val="none" w:sz="0" w:space="0" w:color="auto"/>
      </w:divBdr>
    </w:div>
    <w:div w:id="1534222211">
      <w:bodyDiv w:val="1"/>
      <w:marLeft w:val="0"/>
      <w:marRight w:val="0"/>
      <w:marTop w:val="0"/>
      <w:marBottom w:val="0"/>
      <w:divBdr>
        <w:top w:val="none" w:sz="0" w:space="0" w:color="auto"/>
        <w:left w:val="none" w:sz="0" w:space="0" w:color="auto"/>
        <w:bottom w:val="none" w:sz="0" w:space="0" w:color="auto"/>
        <w:right w:val="none" w:sz="0" w:space="0" w:color="auto"/>
      </w:divBdr>
    </w:div>
    <w:div w:id="1540778013">
      <w:bodyDiv w:val="1"/>
      <w:marLeft w:val="0"/>
      <w:marRight w:val="0"/>
      <w:marTop w:val="0"/>
      <w:marBottom w:val="0"/>
      <w:divBdr>
        <w:top w:val="none" w:sz="0" w:space="0" w:color="auto"/>
        <w:left w:val="none" w:sz="0" w:space="0" w:color="auto"/>
        <w:bottom w:val="none" w:sz="0" w:space="0" w:color="auto"/>
        <w:right w:val="none" w:sz="0" w:space="0" w:color="auto"/>
      </w:divBdr>
    </w:div>
    <w:div w:id="1546214769">
      <w:bodyDiv w:val="1"/>
      <w:marLeft w:val="0"/>
      <w:marRight w:val="0"/>
      <w:marTop w:val="0"/>
      <w:marBottom w:val="0"/>
      <w:divBdr>
        <w:top w:val="none" w:sz="0" w:space="0" w:color="auto"/>
        <w:left w:val="none" w:sz="0" w:space="0" w:color="auto"/>
        <w:bottom w:val="none" w:sz="0" w:space="0" w:color="auto"/>
        <w:right w:val="none" w:sz="0" w:space="0" w:color="auto"/>
      </w:divBdr>
    </w:div>
    <w:div w:id="1555002615">
      <w:bodyDiv w:val="1"/>
      <w:marLeft w:val="0"/>
      <w:marRight w:val="0"/>
      <w:marTop w:val="0"/>
      <w:marBottom w:val="0"/>
      <w:divBdr>
        <w:top w:val="none" w:sz="0" w:space="0" w:color="auto"/>
        <w:left w:val="none" w:sz="0" w:space="0" w:color="auto"/>
        <w:bottom w:val="none" w:sz="0" w:space="0" w:color="auto"/>
        <w:right w:val="none" w:sz="0" w:space="0" w:color="auto"/>
      </w:divBdr>
    </w:div>
    <w:div w:id="1556354639">
      <w:bodyDiv w:val="1"/>
      <w:marLeft w:val="0"/>
      <w:marRight w:val="0"/>
      <w:marTop w:val="0"/>
      <w:marBottom w:val="0"/>
      <w:divBdr>
        <w:top w:val="none" w:sz="0" w:space="0" w:color="auto"/>
        <w:left w:val="none" w:sz="0" w:space="0" w:color="auto"/>
        <w:bottom w:val="none" w:sz="0" w:space="0" w:color="auto"/>
        <w:right w:val="none" w:sz="0" w:space="0" w:color="auto"/>
      </w:divBdr>
    </w:div>
    <w:div w:id="1565599771">
      <w:bodyDiv w:val="1"/>
      <w:marLeft w:val="0"/>
      <w:marRight w:val="0"/>
      <w:marTop w:val="0"/>
      <w:marBottom w:val="0"/>
      <w:divBdr>
        <w:top w:val="none" w:sz="0" w:space="0" w:color="auto"/>
        <w:left w:val="none" w:sz="0" w:space="0" w:color="auto"/>
        <w:bottom w:val="none" w:sz="0" w:space="0" w:color="auto"/>
        <w:right w:val="none" w:sz="0" w:space="0" w:color="auto"/>
      </w:divBdr>
    </w:div>
    <w:div w:id="1572158231">
      <w:bodyDiv w:val="1"/>
      <w:marLeft w:val="0"/>
      <w:marRight w:val="0"/>
      <w:marTop w:val="0"/>
      <w:marBottom w:val="0"/>
      <w:divBdr>
        <w:top w:val="none" w:sz="0" w:space="0" w:color="auto"/>
        <w:left w:val="none" w:sz="0" w:space="0" w:color="auto"/>
        <w:bottom w:val="none" w:sz="0" w:space="0" w:color="auto"/>
        <w:right w:val="none" w:sz="0" w:space="0" w:color="auto"/>
      </w:divBdr>
    </w:div>
    <w:div w:id="1573007405">
      <w:bodyDiv w:val="1"/>
      <w:marLeft w:val="0"/>
      <w:marRight w:val="0"/>
      <w:marTop w:val="0"/>
      <w:marBottom w:val="0"/>
      <w:divBdr>
        <w:top w:val="none" w:sz="0" w:space="0" w:color="auto"/>
        <w:left w:val="none" w:sz="0" w:space="0" w:color="auto"/>
        <w:bottom w:val="none" w:sz="0" w:space="0" w:color="auto"/>
        <w:right w:val="none" w:sz="0" w:space="0" w:color="auto"/>
      </w:divBdr>
    </w:div>
    <w:div w:id="1573081626">
      <w:bodyDiv w:val="1"/>
      <w:marLeft w:val="0"/>
      <w:marRight w:val="0"/>
      <w:marTop w:val="0"/>
      <w:marBottom w:val="0"/>
      <w:divBdr>
        <w:top w:val="none" w:sz="0" w:space="0" w:color="auto"/>
        <w:left w:val="none" w:sz="0" w:space="0" w:color="auto"/>
        <w:bottom w:val="none" w:sz="0" w:space="0" w:color="auto"/>
        <w:right w:val="none" w:sz="0" w:space="0" w:color="auto"/>
      </w:divBdr>
    </w:div>
    <w:div w:id="1573348115">
      <w:bodyDiv w:val="1"/>
      <w:marLeft w:val="0"/>
      <w:marRight w:val="0"/>
      <w:marTop w:val="0"/>
      <w:marBottom w:val="0"/>
      <w:divBdr>
        <w:top w:val="none" w:sz="0" w:space="0" w:color="auto"/>
        <w:left w:val="none" w:sz="0" w:space="0" w:color="auto"/>
        <w:bottom w:val="none" w:sz="0" w:space="0" w:color="auto"/>
        <w:right w:val="none" w:sz="0" w:space="0" w:color="auto"/>
      </w:divBdr>
    </w:div>
    <w:div w:id="1575119462">
      <w:bodyDiv w:val="1"/>
      <w:marLeft w:val="0"/>
      <w:marRight w:val="0"/>
      <w:marTop w:val="0"/>
      <w:marBottom w:val="0"/>
      <w:divBdr>
        <w:top w:val="none" w:sz="0" w:space="0" w:color="auto"/>
        <w:left w:val="none" w:sz="0" w:space="0" w:color="auto"/>
        <w:bottom w:val="none" w:sz="0" w:space="0" w:color="auto"/>
        <w:right w:val="none" w:sz="0" w:space="0" w:color="auto"/>
      </w:divBdr>
    </w:div>
    <w:div w:id="1579945988">
      <w:bodyDiv w:val="1"/>
      <w:marLeft w:val="0"/>
      <w:marRight w:val="0"/>
      <w:marTop w:val="0"/>
      <w:marBottom w:val="0"/>
      <w:divBdr>
        <w:top w:val="none" w:sz="0" w:space="0" w:color="auto"/>
        <w:left w:val="none" w:sz="0" w:space="0" w:color="auto"/>
        <w:bottom w:val="none" w:sz="0" w:space="0" w:color="auto"/>
        <w:right w:val="none" w:sz="0" w:space="0" w:color="auto"/>
      </w:divBdr>
    </w:div>
    <w:div w:id="1581525041">
      <w:bodyDiv w:val="1"/>
      <w:marLeft w:val="0"/>
      <w:marRight w:val="0"/>
      <w:marTop w:val="0"/>
      <w:marBottom w:val="0"/>
      <w:divBdr>
        <w:top w:val="none" w:sz="0" w:space="0" w:color="auto"/>
        <w:left w:val="none" w:sz="0" w:space="0" w:color="auto"/>
        <w:bottom w:val="none" w:sz="0" w:space="0" w:color="auto"/>
        <w:right w:val="none" w:sz="0" w:space="0" w:color="auto"/>
      </w:divBdr>
    </w:div>
    <w:div w:id="1582447822">
      <w:bodyDiv w:val="1"/>
      <w:marLeft w:val="0"/>
      <w:marRight w:val="0"/>
      <w:marTop w:val="0"/>
      <w:marBottom w:val="0"/>
      <w:divBdr>
        <w:top w:val="none" w:sz="0" w:space="0" w:color="auto"/>
        <w:left w:val="none" w:sz="0" w:space="0" w:color="auto"/>
        <w:bottom w:val="none" w:sz="0" w:space="0" w:color="auto"/>
        <w:right w:val="none" w:sz="0" w:space="0" w:color="auto"/>
      </w:divBdr>
    </w:div>
    <w:div w:id="1583493132">
      <w:bodyDiv w:val="1"/>
      <w:marLeft w:val="0"/>
      <w:marRight w:val="0"/>
      <w:marTop w:val="0"/>
      <w:marBottom w:val="0"/>
      <w:divBdr>
        <w:top w:val="none" w:sz="0" w:space="0" w:color="auto"/>
        <w:left w:val="none" w:sz="0" w:space="0" w:color="auto"/>
        <w:bottom w:val="none" w:sz="0" w:space="0" w:color="auto"/>
        <w:right w:val="none" w:sz="0" w:space="0" w:color="auto"/>
      </w:divBdr>
    </w:div>
    <w:div w:id="1590696733">
      <w:bodyDiv w:val="1"/>
      <w:marLeft w:val="0"/>
      <w:marRight w:val="0"/>
      <w:marTop w:val="0"/>
      <w:marBottom w:val="0"/>
      <w:divBdr>
        <w:top w:val="none" w:sz="0" w:space="0" w:color="auto"/>
        <w:left w:val="none" w:sz="0" w:space="0" w:color="auto"/>
        <w:bottom w:val="none" w:sz="0" w:space="0" w:color="auto"/>
        <w:right w:val="none" w:sz="0" w:space="0" w:color="auto"/>
      </w:divBdr>
    </w:div>
    <w:div w:id="1603877718">
      <w:bodyDiv w:val="1"/>
      <w:marLeft w:val="0"/>
      <w:marRight w:val="0"/>
      <w:marTop w:val="0"/>
      <w:marBottom w:val="0"/>
      <w:divBdr>
        <w:top w:val="none" w:sz="0" w:space="0" w:color="auto"/>
        <w:left w:val="none" w:sz="0" w:space="0" w:color="auto"/>
        <w:bottom w:val="none" w:sz="0" w:space="0" w:color="auto"/>
        <w:right w:val="none" w:sz="0" w:space="0" w:color="auto"/>
      </w:divBdr>
    </w:div>
    <w:div w:id="1609313199">
      <w:bodyDiv w:val="1"/>
      <w:marLeft w:val="0"/>
      <w:marRight w:val="0"/>
      <w:marTop w:val="0"/>
      <w:marBottom w:val="0"/>
      <w:divBdr>
        <w:top w:val="none" w:sz="0" w:space="0" w:color="auto"/>
        <w:left w:val="none" w:sz="0" w:space="0" w:color="auto"/>
        <w:bottom w:val="none" w:sz="0" w:space="0" w:color="auto"/>
        <w:right w:val="none" w:sz="0" w:space="0" w:color="auto"/>
      </w:divBdr>
    </w:div>
    <w:div w:id="1615019792">
      <w:bodyDiv w:val="1"/>
      <w:marLeft w:val="0"/>
      <w:marRight w:val="0"/>
      <w:marTop w:val="0"/>
      <w:marBottom w:val="0"/>
      <w:divBdr>
        <w:top w:val="none" w:sz="0" w:space="0" w:color="auto"/>
        <w:left w:val="none" w:sz="0" w:space="0" w:color="auto"/>
        <w:bottom w:val="none" w:sz="0" w:space="0" w:color="auto"/>
        <w:right w:val="none" w:sz="0" w:space="0" w:color="auto"/>
      </w:divBdr>
    </w:div>
    <w:div w:id="1618176487">
      <w:bodyDiv w:val="1"/>
      <w:marLeft w:val="0"/>
      <w:marRight w:val="0"/>
      <w:marTop w:val="0"/>
      <w:marBottom w:val="0"/>
      <w:divBdr>
        <w:top w:val="none" w:sz="0" w:space="0" w:color="auto"/>
        <w:left w:val="none" w:sz="0" w:space="0" w:color="auto"/>
        <w:bottom w:val="none" w:sz="0" w:space="0" w:color="auto"/>
        <w:right w:val="none" w:sz="0" w:space="0" w:color="auto"/>
      </w:divBdr>
    </w:div>
    <w:div w:id="1619097724">
      <w:bodyDiv w:val="1"/>
      <w:marLeft w:val="0"/>
      <w:marRight w:val="0"/>
      <w:marTop w:val="0"/>
      <w:marBottom w:val="0"/>
      <w:divBdr>
        <w:top w:val="none" w:sz="0" w:space="0" w:color="auto"/>
        <w:left w:val="none" w:sz="0" w:space="0" w:color="auto"/>
        <w:bottom w:val="none" w:sz="0" w:space="0" w:color="auto"/>
        <w:right w:val="none" w:sz="0" w:space="0" w:color="auto"/>
      </w:divBdr>
    </w:div>
    <w:div w:id="1619797328">
      <w:bodyDiv w:val="1"/>
      <w:marLeft w:val="0"/>
      <w:marRight w:val="0"/>
      <w:marTop w:val="0"/>
      <w:marBottom w:val="0"/>
      <w:divBdr>
        <w:top w:val="none" w:sz="0" w:space="0" w:color="auto"/>
        <w:left w:val="none" w:sz="0" w:space="0" w:color="auto"/>
        <w:bottom w:val="none" w:sz="0" w:space="0" w:color="auto"/>
        <w:right w:val="none" w:sz="0" w:space="0" w:color="auto"/>
      </w:divBdr>
    </w:div>
    <w:div w:id="1625456521">
      <w:bodyDiv w:val="1"/>
      <w:marLeft w:val="0"/>
      <w:marRight w:val="0"/>
      <w:marTop w:val="0"/>
      <w:marBottom w:val="0"/>
      <w:divBdr>
        <w:top w:val="none" w:sz="0" w:space="0" w:color="auto"/>
        <w:left w:val="none" w:sz="0" w:space="0" w:color="auto"/>
        <w:bottom w:val="none" w:sz="0" w:space="0" w:color="auto"/>
        <w:right w:val="none" w:sz="0" w:space="0" w:color="auto"/>
      </w:divBdr>
    </w:div>
    <w:div w:id="1626473052">
      <w:bodyDiv w:val="1"/>
      <w:marLeft w:val="0"/>
      <w:marRight w:val="0"/>
      <w:marTop w:val="0"/>
      <w:marBottom w:val="0"/>
      <w:divBdr>
        <w:top w:val="none" w:sz="0" w:space="0" w:color="auto"/>
        <w:left w:val="none" w:sz="0" w:space="0" w:color="auto"/>
        <w:bottom w:val="none" w:sz="0" w:space="0" w:color="auto"/>
        <w:right w:val="none" w:sz="0" w:space="0" w:color="auto"/>
      </w:divBdr>
    </w:div>
    <w:div w:id="1631550305">
      <w:bodyDiv w:val="1"/>
      <w:marLeft w:val="0"/>
      <w:marRight w:val="0"/>
      <w:marTop w:val="0"/>
      <w:marBottom w:val="0"/>
      <w:divBdr>
        <w:top w:val="none" w:sz="0" w:space="0" w:color="auto"/>
        <w:left w:val="none" w:sz="0" w:space="0" w:color="auto"/>
        <w:bottom w:val="none" w:sz="0" w:space="0" w:color="auto"/>
        <w:right w:val="none" w:sz="0" w:space="0" w:color="auto"/>
      </w:divBdr>
    </w:div>
    <w:div w:id="1641770112">
      <w:bodyDiv w:val="1"/>
      <w:marLeft w:val="0"/>
      <w:marRight w:val="0"/>
      <w:marTop w:val="0"/>
      <w:marBottom w:val="0"/>
      <w:divBdr>
        <w:top w:val="none" w:sz="0" w:space="0" w:color="auto"/>
        <w:left w:val="none" w:sz="0" w:space="0" w:color="auto"/>
        <w:bottom w:val="none" w:sz="0" w:space="0" w:color="auto"/>
        <w:right w:val="none" w:sz="0" w:space="0" w:color="auto"/>
      </w:divBdr>
    </w:div>
    <w:div w:id="1648392926">
      <w:bodyDiv w:val="1"/>
      <w:marLeft w:val="0"/>
      <w:marRight w:val="0"/>
      <w:marTop w:val="0"/>
      <w:marBottom w:val="0"/>
      <w:divBdr>
        <w:top w:val="none" w:sz="0" w:space="0" w:color="auto"/>
        <w:left w:val="none" w:sz="0" w:space="0" w:color="auto"/>
        <w:bottom w:val="none" w:sz="0" w:space="0" w:color="auto"/>
        <w:right w:val="none" w:sz="0" w:space="0" w:color="auto"/>
      </w:divBdr>
    </w:div>
    <w:div w:id="1651863793">
      <w:bodyDiv w:val="1"/>
      <w:marLeft w:val="0"/>
      <w:marRight w:val="0"/>
      <w:marTop w:val="0"/>
      <w:marBottom w:val="0"/>
      <w:divBdr>
        <w:top w:val="none" w:sz="0" w:space="0" w:color="auto"/>
        <w:left w:val="none" w:sz="0" w:space="0" w:color="auto"/>
        <w:bottom w:val="none" w:sz="0" w:space="0" w:color="auto"/>
        <w:right w:val="none" w:sz="0" w:space="0" w:color="auto"/>
      </w:divBdr>
    </w:div>
    <w:div w:id="1654485282">
      <w:bodyDiv w:val="1"/>
      <w:marLeft w:val="0"/>
      <w:marRight w:val="0"/>
      <w:marTop w:val="0"/>
      <w:marBottom w:val="0"/>
      <w:divBdr>
        <w:top w:val="none" w:sz="0" w:space="0" w:color="auto"/>
        <w:left w:val="none" w:sz="0" w:space="0" w:color="auto"/>
        <w:bottom w:val="none" w:sz="0" w:space="0" w:color="auto"/>
        <w:right w:val="none" w:sz="0" w:space="0" w:color="auto"/>
      </w:divBdr>
    </w:div>
    <w:div w:id="1654750218">
      <w:bodyDiv w:val="1"/>
      <w:marLeft w:val="0"/>
      <w:marRight w:val="0"/>
      <w:marTop w:val="0"/>
      <w:marBottom w:val="0"/>
      <w:divBdr>
        <w:top w:val="none" w:sz="0" w:space="0" w:color="auto"/>
        <w:left w:val="none" w:sz="0" w:space="0" w:color="auto"/>
        <w:bottom w:val="none" w:sz="0" w:space="0" w:color="auto"/>
        <w:right w:val="none" w:sz="0" w:space="0" w:color="auto"/>
      </w:divBdr>
    </w:div>
    <w:div w:id="1657762847">
      <w:bodyDiv w:val="1"/>
      <w:marLeft w:val="0"/>
      <w:marRight w:val="0"/>
      <w:marTop w:val="0"/>
      <w:marBottom w:val="0"/>
      <w:divBdr>
        <w:top w:val="none" w:sz="0" w:space="0" w:color="auto"/>
        <w:left w:val="none" w:sz="0" w:space="0" w:color="auto"/>
        <w:bottom w:val="none" w:sz="0" w:space="0" w:color="auto"/>
        <w:right w:val="none" w:sz="0" w:space="0" w:color="auto"/>
      </w:divBdr>
    </w:div>
    <w:div w:id="1660426187">
      <w:bodyDiv w:val="1"/>
      <w:marLeft w:val="0"/>
      <w:marRight w:val="0"/>
      <w:marTop w:val="0"/>
      <w:marBottom w:val="0"/>
      <w:divBdr>
        <w:top w:val="none" w:sz="0" w:space="0" w:color="auto"/>
        <w:left w:val="none" w:sz="0" w:space="0" w:color="auto"/>
        <w:bottom w:val="none" w:sz="0" w:space="0" w:color="auto"/>
        <w:right w:val="none" w:sz="0" w:space="0" w:color="auto"/>
      </w:divBdr>
    </w:div>
    <w:div w:id="1675382288">
      <w:bodyDiv w:val="1"/>
      <w:marLeft w:val="0"/>
      <w:marRight w:val="0"/>
      <w:marTop w:val="0"/>
      <w:marBottom w:val="0"/>
      <w:divBdr>
        <w:top w:val="none" w:sz="0" w:space="0" w:color="auto"/>
        <w:left w:val="none" w:sz="0" w:space="0" w:color="auto"/>
        <w:bottom w:val="none" w:sz="0" w:space="0" w:color="auto"/>
        <w:right w:val="none" w:sz="0" w:space="0" w:color="auto"/>
      </w:divBdr>
    </w:div>
    <w:div w:id="1692684953">
      <w:bodyDiv w:val="1"/>
      <w:marLeft w:val="0"/>
      <w:marRight w:val="0"/>
      <w:marTop w:val="0"/>
      <w:marBottom w:val="0"/>
      <w:divBdr>
        <w:top w:val="none" w:sz="0" w:space="0" w:color="auto"/>
        <w:left w:val="none" w:sz="0" w:space="0" w:color="auto"/>
        <w:bottom w:val="none" w:sz="0" w:space="0" w:color="auto"/>
        <w:right w:val="none" w:sz="0" w:space="0" w:color="auto"/>
      </w:divBdr>
    </w:div>
    <w:div w:id="1700397850">
      <w:bodyDiv w:val="1"/>
      <w:marLeft w:val="0"/>
      <w:marRight w:val="0"/>
      <w:marTop w:val="0"/>
      <w:marBottom w:val="0"/>
      <w:divBdr>
        <w:top w:val="none" w:sz="0" w:space="0" w:color="auto"/>
        <w:left w:val="none" w:sz="0" w:space="0" w:color="auto"/>
        <w:bottom w:val="none" w:sz="0" w:space="0" w:color="auto"/>
        <w:right w:val="none" w:sz="0" w:space="0" w:color="auto"/>
      </w:divBdr>
    </w:div>
    <w:div w:id="1702707178">
      <w:bodyDiv w:val="1"/>
      <w:marLeft w:val="0"/>
      <w:marRight w:val="0"/>
      <w:marTop w:val="0"/>
      <w:marBottom w:val="0"/>
      <w:divBdr>
        <w:top w:val="none" w:sz="0" w:space="0" w:color="auto"/>
        <w:left w:val="none" w:sz="0" w:space="0" w:color="auto"/>
        <w:bottom w:val="none" w:sz="0" w:space="0" w:color="auto"/>
        <w:right w:val="none" w:sz="0" w:space="0" w:color="auto"/>
      </w:divBdr>
    </w:div>
    <w:div w:id="1707174084">
      <w:bodyDiv w:val="1"/>
      <w:marLeft w:val="0"/>
      <w:marRight w:val="0"/>
      <w:marTop w:val="0"/>
      <w:marBottom w:val="0"/>
      <w:divBdr>
        <w:top w:val="none" w:sz="0" w:space="0" w:color="auto"/>
        <w:left w:val="none" w:sz="0" w:space="0" w:color="auto"/>
        <w:bottom w:val="none" w:sz="0" w:space="0" w:color="auto"/>
        <w:right w:val="none" w:sz="0" w:space="0" w:color="auto"/>
      </w:divBdr>
    </w:div>
    <w:div w:id="1708555921">
      <w:bodyDiv w:val="1"/>
      <w:marLeft w:val="0"/>
      <w:marRight w:val="0"/>
      <w:marTop w:val="0"/>
      <w:marBottom w:val="0"/>
      <w:divBdr>
        <w:top w:val="none" w:sz="0" w:space="0" w:color="auto"/>
        <w:left w:val="none" w:sz="0" w:space="0" w:color="auto"/>
        <w:bottom w:val="none" w:sz="0" w:space="0" w:color="auto"/>
        <w:right w:val="none" w:sz="0" w:space="0" w:color="auto"/>
      </w:divBdr>
    </w:div>
    <w:div w:id="1710646551">
      <w:bodyDiv w:val="1"/>
      <w:marLeft w:val="0"/>
      <w:marRight w:val="0"/>
      <w:marTop w:val="0"/>
      <w:marBottom w:val="0"/>
      <w:divBdr>
        <w:top w:val="none" w:sz="0" w:space="0" w:color="auto"/>
        <w:left w:val="none" w:sz="0" w:space="0" w:color="auto"/>
        <w:bottom w:val="none" w:sz="0" w:space="0" w:color="auto"/>
        <w:right w:val="none" w:sz="0" w:space="0" w:color="auto"/>
      </w:divBdr>
    </w:div>
    <w:div w:id="1714846329">
      <w:bodyDiv w:val="1"/>
      <w:marLeft w:val="0"/>
      <w:marRight w:val="0"/>
      <w:marTop w:val="0"/>
      <w:marBottom w:val="0"/>
      <w:divBdr>
        <w:top w:val="none" w:sz="0" w:space="0" w:color="auto"/>
        <w:left w:val="none" w:sz="0" w:space="0" w:color="auto"/>
        <w:bottom w:val="none" w:sz="0" w:space="0" w:color="auto"/>
        <w:right w:val="none" w:sz="0" w:space="0" w:color="auto"/>
      </w:divBdr>
    </w:div>
    <w:div w:id="1716924771">
      <w:bodyDiv w:val="1"/>
      <w:marLeft w:val="0"/>
      <w:marRight w:val="0"/>
      <w:marTop w:val="0"/>
      <w:marBottom w:val="0"/>
      <w:divBdr>
        <w:top w:val="none" w:sz="0" w:space="0" w:color="auto"/>
        <w:left w:val="none" w:sz="0" w:space="0" w:color="auto"/>
        <w:bottom w:val="none" w:sz="0" w:space="0" w:color="auto"/>
        <w:right w:val="none" w:sz="0" w:space="0" w:color="auto"/>
      </w:divBdr>
    </w:div>
    <w:div w:id="1717897777">
      <w:bodyDiv w:val="1"/>
      <w:marLeft w:val="0"/>
      <w:marRight w:val="0"/>
      <w:marTop w:val="0"/>
      <w:marBottom w:val="0"/>
      <w:divBdr>
        <w:top w:val="none" w:sz="0" w:space="0" w:color="auto"/>
        <w:left w:val="none" w:sz="0" w:space="0" w:color="auto"/>
        <w:bottom w:val="none" w:sz="0" w:space="0" w:color="auto"/>
        <w:right w:val="none" w:sz="0" w:space="0" w:color="auto"/>
      </w:divBdr>
    </w:div>
    <w:div w:id="1748847147">
      <w:bodyDiv w:val="1"/>
      <w:marLeft w:val="0"/>
      <w:marRight w:val="0"/>
      <w:marTop w:val="0"/>
      <w:marBottom w:val="0"/>
      <w:divBdr>
        <w:top w:val="none" w:sz="0" w:space="0" w:color="auto"/>
        <w:left w:val="none" w:sz="0" w:space="0" w:color="auto"/>
        <w:bottom w:val="none" w:sz="0" w:space="0" w:color="auto"/>
        <w:right w:val="none" w:sz="0" w:space="0" w:color="auto"/>
      </w:divBdr>
    </w:div>
    <w:div w:id="1767312827">
      <w:bodyDiv w:val="1"/>
      <w:marLeft w:val="0"/>
      <w:marRight w:val="0"/>
      <w:marTop w:val="0"/>
      <w:marBottom w:val="0"/>
      <w:divBdr>
        <w:top w:val="none" w:sz="0" w:space="0" w:color="auto"/>
        <w:left w:val="none" w:sz="0" w:space="0" w:color="auto"/>
        <w:bottom w:val="none" w:sz="0" w:space="0" w:color="auto"/>
        <w:right w:val="none" w:sz="0" w:space="0" w:color="auto"/>
      </w:divBdr>
    </w:div>
    <w:div w:id="1770346743">
      <w:bodyDiv w:val="1"/>
      <w:marLeft w:val="0"/>
      <w:marRight w:val="0"/>
      <w:marTop w:val="0"/>
      <w:marBottom w:val="0"/>
      <w:divBdr>
        <w:top w:val="none" w:sz="0" w:space="0" w:color="auto"/>
        <w:left w:val="none" w:sz="0" w:space="0" w:color="auto"/>
        <w:bottom w:val="none" w:sz="0" w:space="0" w:color="auto"/>
        <w:right w:val="none" w:sz="0" w:space="0" w:color="auto"/>
      </w:divBdr>
    </w:div>
    <w:div w:id="1776361401">
      <w:bodyDiv w:val="1"/>
      <w:marLeft w:val="0"/>
      <w:marRight w:val="0"/>
      <w:marTop w:val="0"/>
      <w:marBottom w:val="0"/>
      <w:divBdr>
        <w:top w:val="none" w:sz="0" w:space="0" w:color="auto"/>
        <w:left w:val="none" w:sz="0" w:space="0" w:color="auto"/>
        <w:bottom w:val="none" w:sz="0" w:space="0" w:color="auto"/>
        <w:right w:val="none" w:sz="0" w:space="0" w:color="auto"/>
      </w:divBdr>
    </w:div>
    <w:div w:id="1778020190">
      <w:bodyDiv w:val="1"/>
      <w:marLeft w:val="0"/>
      <w:marRight w:val="0"/>
      <w:marTop w:val="0"/>
      <w:marBottom w:val="0"/>
      <w:divBdr>
        <w:top w:val="none" w:sz="0" w:space="0" w:color="auto"/>
        <w:left w:val="none" w:sz="0" w:space="0" w:color="auto"/>
        <w:bottom w:val="none" w:sz="0" w:space="0" w:color="auto"/>
        <w:right w:val="none" w:sz="0" w:space="0" w:color="auto"/>
      </w:divBdr>
    </w:div>
    <w:div w:id="1780905989">
      <w:bodyDiv w:val="1"/>
      <w:marLeft w:val="0"/>
      <w:marRight w:val="0"/>
      <w:marTop w:val="0"/>
      <w:marBottom w:val="0"/>
      <w:divBdr>
        <w:top w:val="none" w:sz="0" w:space="0" w:color="auto"/>
        <w:left w:val="none" w:sz="0" w:space="0" w:color="auto"/>
        <w:bottom w:val="none" w:sz="0" w:space="0" w:color="auto"/>
        <w:right w:val="none" w:sz="0" w:space="0" w:color="auto"/>
      </w:divBdr>
    </w:div>
    <w:div w:id="1781799747">
      <w:bodyDiv w:val="1"/>
      <w:marLeft w:val="0"/>
      <w:marRight w:val="0"/>
      <w:marTop w:val="0"/>
      <w:marBottom w:val="0"/>
      <w:divBdr>
        <w:top w:val="none" w:sz="0" w:space="0" w:color="auto"/>
        <w:left w:val="none" w:sz="0" w:space="0" w:color="auto"/>
        <w:bottom w:val="none" w:sz="0" w:space="0" w:color="auto"/>
        <w:right w:val="none" w:sz="0" w:space="0" w:color="auto"/>
      </w:divBdr>
    </w:div>
    <w:div w:id="1786994756">
      <w:bodyDiv w:val="1"/>
      <w:marLeft w:val="0"/>
      <w:marRight w:val="0"/>
      <w:marTop w:val="0"/>
      <w:marBottom w:val="0"/>
      <w:divBdr>
        <w:top w:val="none" w:sz="0" w:space="0" w:color="auto"/>
        <w:left w:val="none" w:sz="0" w:space="0" w:color="auto"/>
        <w:bottom w:val="none" w:sz="0" w:space="0" w:color="auto"/>
        <w:right w:val="none" w:sz="0" w:space="0" w:color="auto"/>
      </w:divBdr>
    </w:div>
    <w:div w:id="1790472246">
      <w:bodyDiv w:val="1"/>
      <w:marLeft w:val="0"/>
      <w:marRight w:val="0"/>
      <w:marTop w:val="0"/>
      <w:marBottom w:val="0"/>
      <w:divBdr>
        <w:top w:val="none" w:sz="0" w:space="0" w:color="auto"/>
        <w:left w:val="none" w:sz="0" w:space="0" w:color="auto"/>
        <w:bottom w:val="none" w:sz="0" w:space="0" w:color="auto"/>
        <w:right w:val="none" w:sz="0" w:space="0" w:color="auto"/>
      </w:divBdr>
    </w:div>
    <w:div w:id="1793282434">
      <w:bodyDiv w:val="1"/>
      <w:marLeft w:val="0"/>
      <w:marRight w:val="0"/>
      <w:marTop w:val="0"/>
      <w:marBottom w:val="0"/>
      <w:divBdr>
        <w:top w:val="none" w:sz="0" w:space="0" w:color="auto"/>
        <w:left w:val="none" w:sz="0" w:space="0" w:color="auto"/>
        <w:bottom w:val="none" w:sz="0" w:space="0" w:color="auto"/>
        <w:right w:val="none" w:sz="0" w:space="0" w:color="auto"/>
      </w:divBdr>
    </w:div>
    <w:div w:id="1803116845">
      <w:bodyDiv w:val="1"/>
      <w:marLeft w:val="0"/>
      <w:marRight w:val="0"/>
      <w:marTop w:val="0"/>
      <w:marBottom w:val="0"/>
      <w:divBdr>
        <w:top w:val="none" w:sz="0" w:space="0" w:color="auto"/>
        <w:left w:val="none" w:sz="0" w:space="0" w:color="auto"/>
        <w:bottom w:val="none" w:sz="0" w:space="0" w:color="auto"/>
        <w:right w:val="none" w:sz="0" w:space="0" w:color="auto"/>
      </w:divBdr>
    </w:div>
    <w:div w:id="1806314679">
      <w:bodyDiv w:val="1"/>
      <w:marLeft w:val="0"/>
      <w:marRight w:val="0"/>
      <w:marTop w:val="0"/>
      <w:marBottom w:val="0"/>
      <w:divBdr>
        <w:top w:val="none" w:sz="0" w:space="0" w:color="auto"/>
        <w:left w:val="none" w:sz="0" w:space="0" w:color="auto"/>
        <w:bottom w:val="none" w:sz="0" w:space="0" w:color="auto"/>
        <w:right w:val="none" w:sz="0" w:space="0" w:color="auto"/>
      </w:divBdr>
    </w:div>
    <w:div w:id="1808281483">
      <w:bodyDiv w:val="1"/>
      <w:marLeft w:val="0"/>
      <w:marRight w:val="0"/>
      <w:marTop w:val="0"/>
      <w:marBottom w:val="0"/>
      <w:divBdr>
        <w:top w:val="none" w:sz="0" w:space="0" w:color="auto"/>
        <w:left w:val="none" w:sz="0" w:space="0" w:color="auto"/>
        <w:bottom w:val="none" w:sz="0" w:space="0" w:color="auto"/>
        <w:right w:val="none" w:sz="0" w:space="0" w:color="auto"/>
      </w:divBdr>
    </w:div>
    <w:div w:id="1811752287">
      <w:bodyDiv w:val="1"/>
      <w:marLeft w:val="0"/>
      <w:marRight w:val="0"/>
      <w:marTop w:val="0"/>
      <w:marBottom w:val="0"/>
      <w:divBdr>
        <w:top w:val="none" w:sz="0" w:space="0" w:color="auto"/>
        <w:left w:val="none" w:sz="0" w:space="0" w:color="auto"/>
        <w:bottom w:val="none" w:sz="0" w:space="0" w:color="auto"/>
        <w:right w:val="none" w:sz="0" w:space="0" w:color="auto"/>
      </w:divBdr>
    </w:div>
    <w:div w:id="1820144489">
      <w:bodyDiv w:val="1"/>
      <w:marLeft w:val="0"/>
      <w:marRight w:val="0"/>
      <w:marTop w:val="0"/>
      <w:marBottom w:val="0"/>
      <w:divBdr>
        <w:top w:val="none" w:sz="0" w:space="0" w:color="auto"/>
        <w:left w:val="none" w:sz="0" w:space="0" w:color="auto"/>
        <w:bottom w:val="none" w:sz="0" w:space="0" w:color="auto"/>
        <w:right w:val="none" w:sz="0" w:space="0" w:color="auto"/>
      </w:divBdr>
    </w:div>
    <w:div w:id="1821848543">
      <w:bodyDiv w:val="1"/>
      <w:marLeft w:val="0"/>
      <w:marRight w:val="0"/>
      <w:marTop w:val="0"/>
      <w:marBottom w:val="0"/>
      <w:divBdr>
        <w:top w:val="none" w:sz="0" w:space="0" w:color="auto"/>
        <w:left w:val="none" w:sz="0" w:space="0" w:color="auto"/>
        <w:bottom w:val="none" w:sz="0" w:space="0" w:color="auto"/>
        <w:right w:val="none" w:sz="0" w:space="0" w:color="auto"/>
      </w:divBdr>
    </w:div>
    <w:div w:id="1826044965">
      <w:bodyDiv w:val="1"/>
      <w:marLeft w:val="0"/>
      <w:marRight w:val="0"/>
      <w:marTop w:val="0"/>
      <w:marBottom w:val="0"/>
      <w:divBdr>
        <w:top w:val="none" w:sz="0" w:space="0" w:color="auto"/>
        <w:left w:val="none" w:sz="0" w:space="0" w:color="auto"/>
        <w:bottom w:val="none" w:sz="0" w:space="0" w:color="auto"/>
        <w:right w:val="none" w:sz="0" w:space="0" w:color="auto"/>
      </w:divBdr>
    </w:div>
    <w:div w:id="1826361596">
      <w:bodyDiv w:val="1"/>
      <w:marLeft w:val="0"/>
      <w:marRight w:val="0"/>
      <w:marTop w:val="0"/>
      <w:marBottom w:val="0"/>
      <w:divBdr>
        <w:top w:val="none" w:sz="0" w:space="0" w:color="auto"/>
        <w:left w:val="none" w:sz="0" w:space="0" w:color="auto"/>
        <w:bottom w:val="none" w:sz="0" w:space="0" w:color="auto"/>
        <w:right w:val="none" w:sz="0" w:space="0" w:color="auto"/>
      </w:divBdr>
    </w:div>
    <w:div w:id="1826585865">
      <w:bodyDiv w:val="1"/>
      <w:marLeft w:val="0"/>
      <w:marRight w:val="0"/>
      <w:marTop w:val="0"/>
      <w:marBottom w:val="0"/>
      <w:divBdr>
        <w:top w:val="none" w:sz="0" w:space="0" w:color="auto"/>
        <w:left w:val="none" w:sz="0" w:space="0" w:color="auto"/>
        <w:bottom w:val="none" w:sz="0" w:space="0" w:color="auto"/>
        <w:right w:val="none" w:sz="0" w:space="0" w:color="auto"/>
      </w:divBdr>
    </w:div>
    <w:div w:id="1829516268">
      <w:bodyDiv w:val="1"/>
      <w:marLeft w:val="0"/>
      <w:marRight w:val="0"/>
      <w:marTop w:val="0"/>
      <w:marBottom w:val="0"/>
      <w:divBdr>
        <w:top w:val="none" w:sz="0" w:space="0" w:color="auto"/>
        <w:left w:val="none" w:sz="0" w:space="0" w:color="auto"/>
        <w:bottom w:val="none" w:sz="0" w:space="0" w:color="auto"/>
        <w:right w:val="none" w:sz="0" w:space="0" w:color="auto"/>
      </w:divBdr>
    </w:div>
    <w:div w:id="1831556856">
      <w:bodyDiv w:val="1"/>
      <w:marLeft w:val="0"/>
      <w:marRight w:val="0"/>
      <w:marTop w:val="0"/>
      <w:marBottom w:val="0"/>
      <w:divBdr>
        <w:top w:val="none" w:sz="0" w:space="0" w:color="auto"/>
        <w:left w:val="none" w:sz="0" w:space="0" w:color="auto"/>
        <w:bottom w:val="none" w:sz="0" w:space="0" w:color="auto"/>
        <w:right w:val="none" w:sz="0" w:space="0" w:color="auto"/>
      </w:divBdr>
    </w:div>
    <w:div w:id="1836265887">
      <w:bodyDiv w:val="1"/>
      <w:marLeft w:val="0"/>
      <w:marRight w:val="0"/>
      <w:marTop w:val="0"/>
      <w:marBottom w:val="0"/>
      <w:divBdr>
        <w:top w:val="none" w:sz="0" w:space="0" w:color="auto"/>
        <w:left w:val="none" w:sz="0" w:space="0" w:color="auto"/>
        <w:bottom w:val="none" w:sz="0" w:space="0" w:color="auto"/>
        <w:right w:val="none" w:sz="0" w:space="0" w:color="auto"/>
      </w:divBdr>
    </w:div>
    <w:div w:id="1848909831">
      <w:bodyDiv w:val="1"/>
      <w:marLeft w:val="0"/>
      <w:marRight w:val="0"/>
      <w:marTop w:val="0"/>
      <w:marBottom w:val="0"/>
      <w:divBdr>
        <w:top w:val="none" w:sz="0" w:space="0" w:color="auto"/>
        <w:left w:val="none" w:sz="0" w:space="0" w:color="auto"/>
        <w:bottom w:val="none" w:sz="0" w:space="0" w:color="auto"/>
        <w:right w:val="none" w:sz="0" w:space="0" w:color="auto"/>
      </w:divBdr>
    </w:div>
    <w:div w:id="1850170182">
      <w:bodyDiv w:val="1"/>
      <w:marLeft w:val="0"/>
      <w:marRight w:val="0"/>
      <w:marTop w:val="0"/>
      <w:marBottom w:val="0"/>
      <w:divBdr>
        <w:top w:val="none" w:sz="0" w:space="0" w:color="auto"/>
        <w:left w:val="none" w:sz="0" w:space="0" w:color="auto"/>
        <w:bottom w:val="none" w:sz="0" w:space="0" w:color="auto"/>
        <w:right w:val="none" w:sz="0" w:space="0" w:color="auto"/>
      </w:divBdr>
    </w:div>
    <w:div w:id="1852258750">
      <w:bodyDiv w:val="1"/>
      <w:marLeft w:val="0"/>
      <w:marRight w:val="0"/>
      <w:marTop w:val="0"/>
      <w:marBottom w:val="0"/>
      <w:divBdr>
        <w:top w:val="none" w:sz="0" w:space="0" w:color="auto"/>
        <w:left w:val="none" w:sz="0" w:space="0" w:color="auto"/>
        <w:bottom w:val="none" w:sz="0" w:space="0" w:color="auto"/>
        <w:right w:val="none" w:sz="0" w:space="0" w:color="auto"/>
      </w:divBdr>
    </w:div>
    <w:div w:id="1855344712">
      <w:bodyDiv w:val="1"/>
      <w:marLeft w:val="0"/>
      <w:marRight w:val="0"/>
      <w:marTop w:val="0"/>
      <w:marBottom w:val="0"/>
      <w:divBdr>
        <w:top w:val="none" w:sz="0" w:space="0" w:color="auto"/>
        <w:left w:val="none" w:sz="0" w:space="0" w:color="auto"/>
        <w:bottom w:val="none" w:sz="0" w:space="0" w:color="auto"/>
        <w:right w:val="none" w:sz="0" w:space="0" w:color="auto"/>
      </w:divBdr>
    </w:div>
    <w:div w:id="1863350928">
      <w:bodyDiv w:val="1"/>
      <w:marLeft w:val="0"/>
      <w:marRight w:val="0"/>
      <w:marTop w:val="0"/>
      <w:marBottom w:val="0"/>
      <w:divBdr>
        <w:top w:val="none" w:sz="0" w:space="0" w:color="auto"/>
        <w:left w:val="none" w:sz="0" w:space="0" w:color="auto"/>
        <w:bottom w:val="none" w:sz="0" w:space="0" w:color="auto"/>
        <w:right w:val="none" w:sz="0" w:space="0" w:color="auto"/>
      </w:divBdr>
    </w:div>
    <w:div w:id="1869026698">
      <w:bodyDiv w:val="1"/>
      <w:marLeft w:val="0"/>
      <w:marRight w:val="0"/>
      <w:marTop w:val="0"/>
      <w:marBottom w:val="0"/>
      <w:divBdr>
        <w:top w:val="none" w:sz="0" w:space="0" w:color="auto"/>
        <w:left w:val="none" w:sz="0" w:space="0" w:color="auto"/>
        <w:bottom w:val="none" w:sz="0" w:space="0" w:color="auto"/>
        <w:right w:val="none" w:sz="0" w:space="0" w:color="auto"/>
      </w:divBdr>
    </w:div>
    <w:div w:id="1871411999">
      <w:bodyDiv w:val="1"/>
      <w:marLeft w:val="0"/>
      <w:marRight w:val="0"/>
      <w:marTop w:val="0"/>
      <w:marBottom w:val="0"/>
      <w:divBdr>
        <w:top w:val="none" w:sz="0" w:space="0" w:color="auto"/>
        <w:left w:val="none" w:sz="0" w:space="0" w:color="auto"/>
        <w:bottom w:val="none" w:sz="0" w:space="0" w:color="auto"/>
        <w:right w:val="none" w:sz="0" w:space="0" w:color="auto"/>
      </w:divBdr>
    </w:div>
    <w:div w:id="1876691131">
      <w:bodyDiv w:val="1"/>
      <w:marLeft w:val="0"/>
      <w:marRight w:val="0"/>
      <w:marTop w:val="0"/>
      <w:marBottom w:val="0"/>
      <w:divBdr>
        <w:top w:val="none" w:sz="0" w:space="0" w:color="auto"/>
        <w:left w:val="none" w:sz="0" w:space="0" w:color="auto"/>
        <w:bottom w:val="none" w:sz="0" w:space="0" w:color="auto"/>
        <w:right w:val="none" w:sz="0" w:space="0" w:color="auto"/>
      </w:divBdr>
    </w:div>
    <w:div w:id="1878007212">
      <w:bodyDiv w:val="1"/>
      <w:marLeft w:val="0"/>
      <w:marRight w:val="0"/>
      <w:marTop w:val="0"/>
      <w:marBottom w:val="0"/>
      <w:divBdr>
        <w:top w:val="none" w:sz="0" w:space="0" w:color="auto"/>
        <w:left w:val="none" w:sz="0" w:space="0" w:color="auto"/>
        <w:bottom w:val="none" w:sz="0" w:space="0" w:color="auto"/>
        <w:right w:val="none" w:sz="0" w:space="0" w:color="auto"/>
      </w:divBdr>
    </w:div>
    <w:div w:id="1882784935">
      <w:bodyDiv w:val="1"/>
      <w:marLeft w:val="0"/>
      <w:marRight w:val="0"/>
      <w:marTop w:val="0"/>
      <w:marBottom w:val="0"/>
      <w:divBdr>
        <w:top w:val="none" w:sz="0" w:space="0" w:color="auto"/>
        <w:left w:val="none" w:sz="0" w:space="0" w:color="auto"/>
        <w:bottom w:val="none" w:sz="0" w:space="0" w:color="auto"/>
        <w:right w:val="none" w:sz="0" w:space="0" w:color="auto"/>
      </w:divBdr>
    </w:div>
    <w:div w:id="1884246985">
      <w:bodyDiv w:val="1"/>
      <w:marLeft w:val="0"/>
      <w:marRight w:val="0"/>
      <w:marTop w:val="0"/>
      <w:marBottom w:val="0"/>
      <w:divBdr>
        <w:top w:val="none" w:sz="0" w:space="0" w:color="auto"/>
        <w:left w:val="none" w:sz="0" w:space="0" w:color="auto"/>
        <w:bottom w:val="none" w:sz="0" w:space="0" w:color="auto"/>
        <w:right w:val="none" w:sz="0" w:space="0" w:color="auto"/>
      </w:divBdr>
    </w:div>
    <w:div w:id="1886065494">
      <w:bodyDiv w:val="1"/>
      <w:marLeft w:val="0"/>
      <w:marRight w:val="0"/>
      <w:marTop w:val="0"/>
      <w:marBottom w:val="0"/>
      <w:divBdr>
        <w:top w:val="none" w:sz="0" w:space="0" w:color="auto"/>
        <w:left w:val="none" w:sz="0" w:space="0" w:color="auto"/>
        <w:bottom w:val="none" w:sz="0" w:space="0" w:color="auto"/>
        <w:right w:val="none" w:sz="0" w:space="0" w:color="auto"/>
      </w:divBdr>
    </w:div>
    <w:div w:id="1887523982">
      <w:bodyDiv w:val="1"/>
      <w:marLeft w:val="0"/>
      <w:marRight w:val="0"/>
      <w:marTop w:val="0"/>
      <w:marBottom w:val="0"/>
      <w:divBdr>
        <w:top w:val="none" w:sz="0" w:space="0" w:color="auto"/>
        <w:left w:val="none" w:sz="0" w:space="0" w:color="auto"/>
        <w:bottom w:val="none" w:sz="0" w:space="0" w:color="auto"/>
        <w:right w:val="none" w:sz="0" w:space="0" w:color="auto"/>
      </w:divBdr>
    </w:div>
    <w:div w:id="1891069920">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701253">
      <w:bodyDiv w:val="1"/>
      <w:marLeft w:val="0"/>
      <w:marRight w:val="0"/>
      <w:marTop w:val="0"/>
      <w:marBottom w:val="0"/>
      <w:divBdr>
        <w:top w:val="none" w:sz="0" w:space="0" w:color="auto"/>
        <w:left w:val="none" w:sz="0" w:space="0" w:color="auto"/>
        <w:bottom w:val="none" w:sz="0" w:space="0" w:color="auto"/>
        <w:right w:val="none" w:sz="0" w:space="0" w:color="auto"/>
      </w:divBdr>
    </w:div>
    <w:div w:id="1901362848">
      <w:bodyDiv w:val="1"/>
      <w:marLeft w:val="0"/>
      <w:marRight w:val="0"/>
      <w:marTop w:val="0"/>
      <w:marBottom w:val="0"/>
      <w:divBdr>
        <w:top w:val="none" w:sz="0" w:space="0" w:color="auto"/>
        <w:left w:val="none" w:sz="0" w:space="0" w:color="auto"/>
        <w:bottom w:val="none" w:sz="0" w:space="0" w:color="auto"/>
        <w:right w:val="none" w:sz="0" w:space="0" w:color="auto"/>
      </w:divBdr>
    </w:div>
    <w:div w:id="1903707770">
      <w:bodyDiv w:val="1"/>
      <w:marLeft w:val="0"/>
      <w:marRight w:val="0"/>
      <w:marTop w:val="0"/>
      <w:marBottom w:val="0"/>
      <w:divBdr>
        <w:top w:val="none" w:sz="0" w:space="0" w:color="auto"/>
        <w:left w:val="none" w:sz="0" w:space="0" w:color="auto"/>
        <w:bottom w:val="none" w:sz="0" w:space="0" w:color="auto"/>
        <w:right w:val="none" w:sz="0" w:space="0" w:color="auto"/>
      </w:divBdr>
    </w:div>
    <w:div w:id="1905023455">
      <w:bodyDiv w:val="1"/>
      <w:marLeft w:val="0"/>
      <w:marRight w:val="0"/>
      <w:marTop w:val="0"/>
      <w:marBottom w:val="0"/>
      <w:divBdr>
        <w:top w:val="none" w:sz="0" w:space="0" w:color="auto"/>
        <w:left w:val="none" w:sz="0" w:space="0" w:color="auto"/>
        <w:bottom w:val="none" w:sz="0" w:space="0" w:color="auto"/>
        <w:right w:val="none" w:sz="0" w:space="0" w:color="auto"/>
      </w:divBdr>
    </w:div>
    <w:div w:id="1917402393">
      <w:bodyDiv w:val="1"/>
      <w:marLeft w:val="0"/>
      <w:marRight w:val="0"/>
      <w:marTop w:val="0"/>
      <w:marBottom w:val="0"/>
      <w:divBdr>
        <w:top w:val="none" w:sz="0" w:space="0" w:color="auto"/>
        <w:left w:val="none" w:sz="0" w:space="0" w:color="auto"/>
        <w:bottom w:val="none" w:sz="0" w:space="0" w:color="auto"/>
        <w:right w:val="none" w:sz="0" w:space="0" w:color="auto"/>
      </w:divBdr>
    </w:div>
    <w:div w:id="1921791688">
      <w:bodyDiv w:val="1"/>
      <w:marLeft w:val="0"/>
      <w:marRight w:val="0"/>
      <w:marTop w:val="0"/>
      <w:marBottom w:val="0"/>
      <w:divBdr>
        <w:top w:val="none" w:sz="0" w:space="0" w:color="auto"/>
        <w:left w:val="none" w:sz="0" w:space="0" w:color="auto"/>
        <w:bottom w:val="none" w:sz="0" w:space="0" w:color="auto"/>
        <w:right w:val="none" w:sz="0" w:space="0" w:color="auto"/>
      </w:divBdr>
    </w:div>
    <w:div w:id="1925454278">
      <w:bodyDiv w:val="1"/>
      <w:marLeft w:val="0"/>
      <w:marRight w:val="0"/>
      <w:marTop w:val="0"/>
      <w:marBottom w:val="0"/>
      <w:divBdr>
        <w:top w:val="none" w:sz="0" w:space="0" w:color="auto"/>
        <w:left w:val="none" w:sz="0" w:space="0" w:color="auto"/>
        <w:bottom w:val="none" w:sz="0" w:space="0" w:color="auto"/>
        <w:right w:val="none" w:sz="0" w:space="0" w:color="auto"/>
      </w:divBdr>
    </w:div>
    <w:div w:id="1928491351">
      <w:bodyDiv w:val="1"/>
      <w:marLeft w:val="0"/>
      <w:marRight w:val="0"/>
      <w:marTop w:val="0"/>
      <w:marBottom w:val="0"/>
      <w:divBdr>
        <w:top w:val="none" w:sz="0" w:space="0" w:color="auto"/>
        <w:left w:val="none" w:sz="0" w:space="0" w:color="auto"/>
        <w:bottom w:val="none" w:sz="0" w:space="0" w:color="auto"/>
        <w:right w:val="none" w:sz="0" w:space="0" w:color="auto"/>
      </w:divBdr>
    </w:div>
    <w:div w:id="1938051767">
      <w:bodyDiv w:val="1"/>
      <w:marLeft w:val="0"/>
      <w:marRight w:val="0"/>
      <w:marTop w:val="0"/>
      <w:marBottom w:val="0"/>
      <w:divBdr>
        <w:top w:val="none" w:sz="0" w:space="0" w:color="auto"/>
        <w:left w:val="none" w:sz="0" w:space="0" w:color="auto"/>
        <w:bottom w:val="none" w:sz="0" w:space="0" w:color="auto"/>
        <w:right w:val="none" w:sz="0" w:space="0" w:color="auto"/>
      </w:divBdr>
    </w:div>
    <w:div w:id="1942641699">
      <w:bodyDiv w:val="1"/>
      <w:marLeft w:val="0"/>
      <w:marRight w:val="0"/>
      <w:marTop w:val="0"/>
      <w:marBottom w:val="0"/>
      <w:divBdr>
        <w:top w:val="none" w:sz="0" w:space="0" w:color="auto"/>
        <w:left w:val="none" w:sz="0" w:space="0" w:color="auto"/>
        <w:bottom w:val="none" w:sz="0" w:space="0" w:color="auto"/>
        <w:right w:val="none" w:sz="0" w:space="0" w:color="auto"/>
      </w:divBdr>
    </w:div>
    <w:div w:id="1956475398">
      <w:bodyDiv w:val="1"/>
      <w:marLeft w:val="0"/>
      <w:marRight w:val="0"/>
      <w:marTop w:val="0"/>
      <w:marBottom w:val="0"/>
      <w:divBdr>
        <w:top w:val="none" w:sz="0" w:space="0" w:color="auto"/>
        <w:left w:val="none" w:sz="0" w:space="0" w:color="auto"/>
        <w:bottom w:val="none" w:sz="0" w:space="0" w:color="auto"/>
        <w:right w:val="none" w:sz="0" w:space="0" w:color="auto"/>
      </w:divBdr>
    </w:div>
    <w:div w:id="1962108196">
      <w:bodyDiv w:val="1"/>
      <w:marLeft w:val="0"/>
      <w:marRight w:val="0"/>
      <w:marTop w:val="0"/>
      <w:marBottom w:val="0"/>
      <w:divBdr>
        <w:top w:val="none" w:sz="0" w:space="0" w:color="auto"/>
        <w:left w:val="none" w:sz="0" w:space="0" w:color="auto"/>
        <w:bottom w:val="none" w:sz="0" w:space="0" w:color="auto"/>
        <w:right w:val="none" w:sz="0" w:space="0" w:color="auto"/>
      </w:divBdr>
    </w:div>
    <w:div w:id="1967541567">
      <w:bodyDiv w:val="1"/>
      <w:marLeft w:val="0"/>
      <w:marRight w:val="0"/>
      <w:marTop w:val="0"/>
      <w:marBottom w:val="0"/>
      <w:divBdr>
        <w:top w:val="none" w:sz="0" w:space="0" w:color="auto"/>
        <w:left w:val="none" w:sz="0" w:space="0" w:color="auto"/>
        <w:bottom w:val="none" w:sz="0" w:space="0" w:color="auto"/>
        <w:right w:val="none" w:sz="0" w:space="0" w:color="auto"/>
      </w:divBdr>
    </w:div>
    <w:div w:id="1971207027">
      <w:bodyDiv w:val="1"/>
      <w:marLeft w:val="0"/>
      <w:marRight w:val="0"/>
      <w:marTop w:val="0"/>
      <w:marBottom w:val="0"/>
      <w:divBdr>
        <w:top w:val="none" w:sz="0" w:space="0" w:color="auto"/>
        <w:left w:val="none" w:sz="0" w:space="0" w:color="auto"/>
        <w:bottom w:val="none" w:sz="0" w:space="0" w:color="auto"/>
        <w:right w:val="none" w:sz="0" w:space="0" w:color="auto"/>
      </w:divBdr>
    </w:div>
    <w:div w:id="1972859802">
      <w:bodyDiv w:val="1"/>
      <w:marLeft w:val="0"/>
      <w:marRight w:val="0"/>
      <w:marTop w:val="0"/>
      <w:marBottom w:val="0"/>
      <w:divBdr>
        <w:top w:val="none" w:sz="0" w:space="0" w:color="auto"/>
        <w:left w:val="none" w:sz="0" w:space="0" w:color="auto"/>
        <w:bottom w:val="none" w:sz="0" w:space="0" w:color="auto"/>
        <w:right w:val="none" w:sz="0" w:space="0" w:color="auto"/>
      </w:divBdr>
    </w:div>
    <w:div w:id="1980257430">
      <w:bodyDiv w:val="1"/>
      <w:marLeft w:val="0"/>
      <w:marRight w:val="0"/>
      <w:marTop w:val="0"/>
      <w:marBottom w:val="0"/>
      <w:divBdr>
        <w:top w:val="none" w:sz="0" w:space="0" w:color="auto"/>
        <w:left w:val="none" w:sz="0" w:space="0" w:color="auto"/>
        <w:bottom w:val="none" w:sz="0" w:space="0" w:color="auto"/>
        <w:right w:val="none" w:sz="0" w:space="0" w:color="auto"/>
      </w:divBdr>
    </w:div>
    <w:div w:id="1983727803">
      <w:bodyDiv w:val="1"/>
      <w:marLeft w:val="0"/>
      <w:marRight w:val="0"/>
      <w:marTop w:val="0"/>
      <w:marBottom w:val="0"/>
      <w:divBdr>
        <w:top w:val="none" w:sz="0" w:space="0" w:color="auto"/>
        <w:left w:val="none" w:sz="0" w:space="0" w:color="auto"/>
        <w:bottom w:val="none" w:sz="0" w:space="0" w:color="auto"/>
        <w:right w:val="none" w:sz="0" w:space="0" w:color="auto"/>
      </w:divBdr>
    </w:div>
    <w:div w:id="1989438802">
      <w:bodyDiv w:val="1"/>
      <w:marLeft w:val="0"/>
      <w:marRight w:val="0"/>
      <w:marTop w:val="0"/>
      <w:marBottom w:val="0"/>
      <w:divBdr>
        <w:top w:val="none" w:sz="0" w:space="0" w:color="auto"/>
        <w:left w:val="none" w:sz="0" w:space="0" w:color="auto"/>
        <w:bottom w:val="none" w:sz="0" w:space="0" w:color="auto"/>
        <w:right w:val="none" w:sz="0" w:space="0" w:color="auto"/>
      </w:divBdr>
    </w:div>
    <w:div w:id="1990088077">
      <w:bodyDiv w:val="1"/>
      <w:marLeft w:val="0"/>
      <w:marRight w:val="0"/>
      <w:marTop w:val="0"/>
      <w:marBottom w:val="0"/>
      <w:divBdr>
        <w:top w:val="none" w:sz="0" w:space="0" w:color="auto"/>
        <w:left w:val="none" w:sz="0" w:space="0" w:color="auto"/>
        <w:bottom w:val="none" w:sz="0" w:space="0" w:color="auto"/>
        <w:right w:val="none" w:sz="0" w:space="0" w:color="auto"/>
      </w:divBdr>
    </w:div>
    <w:div w:id="1997755470">
      <w:bodyDiv w:val="1"/>
      <w:marLeft w:val="0"/>
      <w:marRight w:val="0"/>
      <w:marTop w:val="0"/>
      <w:marBottom w:val="0"/>
      <w:divBdr>
        <w:top w:val="none" w:sz="0" w:space="0" w:color="auto"/>
        <w:left w:val="none" w:sz="0" w:space="0" w:color="auto"/>
        <w:bottom w:val="none" w:sz="0" w:space="0" w:color="auto"/>
        <w:right w:val="none" w:sz="0" w:space="0" w:color="auto"/>
      </w:divBdr>
    </w:div>
    <w:div w:id="1999266044">
      <w:bodyDiv w:val="1"/>
      <w:marLeft w:val="0"/>
      <w:marRight w:val="0"/>
      <w:marTop w:val="0"/>
      <w:marBottom w:val="0"/>
      <w:divBdr>
        <w:top w:val="none" w:sz="0" w:space="0" w:color="auto"/>
        <w:left w:val="none" w:sz="0" w:space="0" w:color="auto"/>
        <w:bottom w:val="none" w:sz="0" w:space="0" w:color="auto"/>
        <w:right w:val="none" w:sz="0" w:space="0" w:color="auto"/>
      </w:divBdr>
    </w:div>
    <w:div w:id="2000377623">
      <w:bodyDiv w:val="1"/>
      <w:marLeft w:val="0"/>
      <w:marRight w:val="0"/>
      <w:marTop w:val="0"/>
      <w:marBottom w:val="0"/>
      <w:divBdr>
        <w:top w:val="none" w:sz="0" w:space="0" w:color="auto"/>
        <w:left w:val="none" w:sz="0" w:space="0" w:color="auto"/>
        <w:bottom w:val="none" w:sz="0" w:space="0" w:color="auto"/>
        <w:right w:val="none" w:sz="0" w:space="0" w:color="auto"/>
      </w:divBdr>
    </w:div>
    <w:div w:id="2013949702">
      <w:bodyDiv w:val="1"/>
      <w:marLeft w:val="0"/>
      <w:marRight w:val="0"/>
      <w:marTop w:val="0"/>
      <w:marBottom w:val="0"/>
      <w:divBdr>
        <w:top w:val="none" w:sz="0" w:space="0" w:color="auto"/>
        <w:left w:val="none" w:sz="0" w:space="0" w:color="auto"/>
        <w:bottom w:val="none" w:sz="0" w:space="0" w:color="auto"/>
        <w:right w:val="none" w:sz="0" w:space="0" w:color="auto"/>
      </w:divBdr>
    </w:div>
    <w:div w:id="2014648920">
      <w:bodyDiv w:val="1"/>
      <w:marLeft w:val="0"/>
      <w:marRight w:val="0"/>
      <w:marTop w:val="0"/>
      <w:marBottom w:val="0"/>
      <w:divBdr>
        <w:top w:val="none" w:sz="0" w:space="0" w:color="auto"/>
        <w:left w:val="none" w:sz="0" w:space="0" w:color="auto"/>
        <w:bottom w:val="none" w:sz="0" w:space="0" w:color="auto"/>
        <w:right w:val="none" w:sz="0" w:space="0" w:color="auto"/>
      </w:divBdr>
    </w:div>
    <w:div w:id="2017489924">
      <w:bodyDiv w:val="1"/>
      <w:marLeft w:val="0"/>
      <w:marRight w:val="0"/>
      <w:marTop w:val="0"/>
      <w:marBottom w:val="0"/>
      <w:divBdr>
        <w:top w:val="none" w:sz="0" w:space="0" w:color="auto"/>
        <w:left w:val="none" w:sz="0" w:space="0" w:color="auto"/>
        <w:bottom w:val="none" w:sz="0" w:space="0" w:color="auto"/>
        <w:right w:val="none" w:sz="0" w:space="0" w:color="auto"/>
      </w:divBdr>
    </w:div>
    <w:div w:id="2019892266">
      <w:bodyDiv w:val="1"/>
      <w:marLeft w:val="0"/>
      <w:marRight w:val="0"/>
      <w:marTop w:val="0"/>
      <w:marBottom w:val="0"/>
      <w:divBdr>
        <w:top w:val="none" w:sz="0" w:space="0" w:color="auto"/>
        <w:left w:val="none" w:sz="0" w:space="0" w:color="auto"/>
        <w:bottom w:val="none" w:sz="0" w:space="0" w:color="auto"/>
        <w:right w:val="none" w:sz="0" w:space="0" w:color="auto"/>
      </w:divBdr>
    </w:div>
    <w:div w:id="2024430761">
      <w:bodyDiv w:val="1"/>
      <w:marLeft w:val="0"/>
      <w:marRight w:val="0"/>
      <w:marTop w:val="0"/>
      <w:marBottom w:val="0"/>
      <w:divBdr>
        <w:top w:val="none" w:sz="0" w:space="0" w:color="auto"/>
        <w:left w:val="none" w:sz="0" w:space="0" w:color="auto"/>
        <w:bottom w:val="none" w:sz="0" w:space="0" w:color="auto"/>
        <w:right w:val="none" w:sz="0" w:space="0" w:color="auto"/>
      </w:divBdr>
    </w:div>
    <w:div w:id="2024623264">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4646903">
      <w:bodyDiv w:val="1"/>
      <w:marLeft w:val="0"/>
      <w:marRight w:val="0"/>
      <w:marTop w:val="0"/>
      <w:marBottom w:val="0"/>
      <w:divBdr>
        <w:top w:val="none" w:sz="0" w:space="0" w:color="auto"/>
        <w:left w:val="none" w:sz="0" w:space="0" w:color="auto"/>
        <w:bottom w:val="none" w:sz="0" w:space="0" w:color="auto"/>
        <w:right w:val="none" w:sz="0" w:space="0" w:color="auto"/>
      </w:divBdr>
    </w:div>
    <w:div w:id="2054651383">
      <w:bodyDiv w:val="1"/>
      <w:marLeft w:val="0"/>
      <w:marRight w:val="0"/>
      <w:marTop w:val="0"/>
      <w:marBottom w:val="0"/>
      <w:divBdr>
        <w:top w:val="none" w:sz="0" w:space="0" w:color="auto"/>
        <w:left w:val="none" w:sz="0" w:space="0" w:color="auto"/>
        <w:bottom w:val="none" w:sz="0" w:space="0" w:color="auto"/>
        <w:right w:val="none" w:sz="0" w:space="0" w:color="auto"/>
      </w:divBdr>
    </w:div>
    <w:div w:id="2061593566">
      <w:bodyDiv w:val="1"/>
      <w:marLeft w:val="0"/>
      <w:marRight w:val="0"/>
      <w:marTop w:val="0"/>
      <w:marBottom w:val="0"/>
      <w:divBdr>
        <w:top w:val="none" w:sz="0" w:space="0" w:color="auto"/>
        <w:left w:val="none" w:sz="0" w:space="0" w:color="auto"/>
        <w:bottom w:val="none" w:sz="0" w:space="0" w:color="auto"/>
        <w:right w:val="none" w:sz="0" w:space="0" w:color="auto"/>
      </w:divBdr>
    </w:div>
    <w:div w:id="2062366634">
      <w:bodyDiv w:val="1"/>
      <w:marLeft w:val="0"/>
      <w:marRight w:val="0"/>
      <w:marTop w:val="0"/>
      <w:marBottom w:val="0"/>
      <w:divBdr>
        <w:top w:val="none" w:sz="0" w:space="0" w:color="auto"/>
        <w:left w:val="none" w:sz="0" w:space="0" w:color="auto"/>
        <w:bottom w:val="none" w:sz="0" w:space="0" w:color="auto"/>
        <w:right w:val="none" w:sz="0" w:space="0" w:color="auto"/>
      </w:divBdr>
    </w:div>
    <w:div w:id="2062552428">
      <w:bodyDiv w:val="1"/>
      <w:marLeft w:val="0"/>
      <w:marRight w:val="0"/>
      <w:marTop w:val="0"/>
      <w:marBottom w:val="0"/>
      <w:divBdr>
        <w:top w:val="none" w:sz="0" w:space="0" w:color="auto"/>
        <w:left w:val="none" w:sz="0" w:space="0" w:color="auto"/>
        <w:bottom w:val="none" w:sz="0" w:space="0" w:color="auto"/>
        <w:right w:val="none" w:sz="0" w:space="0" w:color="auto"/>
      </w:divBdr>
    </w:div>
    <w:div w:id="2062822037">
      <w:bodyDiv w:val="1"/>
      <w:marLeft w:val="0"/>
      <w:marRight w:val="0"/>
      <w:marTop w:val="0"/>
      <w:marBottom w:val="0"/>
      <w:divBdr>
        <w:top w:val="none" w:sz="0" w:space="0" w:color="auto"/>
        <w:left w:val="none" w:sz="0" w:space="0" w:color="auto"/>
        <w:bottom w:val="none" w:sz="0" w:space="0" w:color="auto"/>
        <w:right w:val="none" w:sz="0" w:space="0" w:color="auto"/>
      </w:divBdr>
    </w:div>
    <w:div w:id="2065133454">
      <w:bodyDiv w:val="1"/>
      <w:marLeft w:val="0"/>
      <w:marRight w:val="0"/>
      <w:marTop w:val="0"/>
      <w:marBottom w:val="0"/>
      <w:divBdr>
        <w:top w:val="none" w:sz="0" w:space="0" w:color="auto"/>
        <w:left w:val="none" w:sz="0" w:space="0" w:color="auto"/>
        <w:bottom w:val="none" w:sz="0" w:space="0" w:color="auto"/>
        <w:right w:val="none" w:sz="0" w:space="0" w:color="auto"/>
      </w:divBdr>
    </w:div>
    <w:div w:id="2066366827">
      <w:bodyDiv w:val="1"/>
      <w:marLeft w:val="0"/>
      <w:marRight w:val="0"/>
      <w:marTop w:val="0"/>
      <w:marBottom w:val="0"/>
      <w:divBdr>
        <w:top w:val="none" w:sz="0" w:space="0" w:color="auto"/>
        <w:left w:val="none" w:sz="0" w:space="0" w:color="auto"/>
        <w:bottom w:val="none" w:sz="0" w:space="0" w:color="auto"/>
        <w:right w:val="none" w:sz="0" w:space="0" w:color="auto"/>
      </w:divBdr>
    </w:div>
    <w:div w:id="2066682713">
      <w:bodyDiv w:val="1"/>
      <w:marLeft w:val="0"/>
      <w:marRight w:val="0"/>
      <w:marTop w:val="0"/>
      <w:marBottom w:val="0"/>
      <w:divBdr>
        <w:top w:val="none" w:sz="0" w:space="0" w:color="auto"/>
        <w:left w:val="none" w:sz="0" w:space="0" w:color="auto"/>
        <w:bottom w:val="none" w:sz="0" w:space="0" w:color="auto"/>
        <w:right w:val="none" w:sz="0" w:space="0" w:color="auto"/>
      </w:divBdr>
    </w:div>
    <w:div w:id="2067798511">
      <w:bodyDiv w:val="1"/>
      <w:marLeft w:val="0"/>
      <w:marRight w:val="0"/>
      <w:marTop w:val="0"/>
      <w:marBottom w:val="0"/>
      <w:divBdr>
        <w:top w:val="none" w:sz="0" w:space="0" w:color="auto"/>
        <w:left w:val="none" w:sz="0" w:space="0" w:color="auto"/>
        <w:bottom w:val="none" w:sz="0" w:space="0" w:color="auto"/>
        <w:right w:val="none" w:sz="0" w:space="0" w:color="auto"/>
      </w:divBdr>
    </w:div>
    <w:div w:id="2071540070">
      <w:bodyDiv w:val="1"/>
      <w:marLeft w:val="0"/>
      <w:marRight w:val="0"/>
      <w:marTop w:val="0"/>
      <w:marBottom w:val="0"/>
      <w:divBdr>
        <w:top w:val="none" w:sz="0" w:space="0" w:color="auto"/>
        <w:left w:val="none" w:sz="0" w:space="0" w:color="auto"/>
        <w:bottom w:val="none" w:sz="0" w:space="0" w:color="auto"/>
        <w:right w:val="none" w:sz="0" w:space="0" w:color="auto"/>
      </w:divBdr>
    </w:div>
    <w:div w:id="2073231957">
      <w:bodyDiv w:val="1"/>
      <w:marLeft w:val="0"/>
      <w:marRight w:val="0"/>
      <w:marTop w:val="0"/>
      <w:marBottom w:val="0"/>
      <w:divBdr>
        <w:top w:val="none" w:sz="0" w:space="0" w:color="auto"/>
        <w:left w:val="none" w:sz="0" w:space="0" w:color="auto"/>
        <w:bottom w:val="none" w:sz="0" w:space="0" w:color="auto"/>
        <w:right w:val="none" w:sz="0" w:space="0" w:color="auto"/>
      </w:divBdr>
    </w:div>
    <w:div w:id="2080472828">
      <w:bodyDiv w:val="1"/>
      <w:marLeft w:val="0"/>
      <w:marRight w:val="0"/>
      <w:marTop w:val="0"/>
      <w:marBottom w:val="0"/>
      <w:divBdr>
        <w:top w:val="none" w:sz="0" w:space="0" w:color="auto"/>
        <w:left w:val="none" w:sz="0" w:space="0" w:color="auto"/>
        <w:bottom w:val="none" w:sz="0" w:space="0" w:color="auto"/>
        <w:right w:val="none" w:sz="0" w:space="0" w:color="auto"/>
      </w:divBdr>
    </w:div>
    <w:div w:id="2081706385">
      <w:bodyDiv w:val="1"/>
      <w:marLeft w:val="0"/>
      <w:marRight w:val="0"/>
      <w:marTop w:val="0"/>
      <w:marBottom w:val="0"/>
      <w:divBdr>
        <w:top w:val="none" w:sz="0" w:space="0" w:color="auto"/>
        <w:left w:val="none" w:sz="0" w:space="0" w:color="auto"/>
        <w:bottom w:val="none" w:sz="0" w:space="0" w:color="auto"/>
        <w:right w:val="none" w:sz="0" w:space="0" w:color="auto"/>
      </w:divBdr>
    </w:div>
    <w:div w:id="2082362351">
      <w:bodyDiv w:val="1"/>
      <w:marLeft w:val="0"/>
      <w:marRight w:val="0"/>
      <w:marTop w:val="0"/>
      <w:marBottom w:val="0"/>
      <w:divBdr>
        <w:top w:val="none" w:sz="0" w:space="0" w:color="auto"/>
        <w:left w:val="none" w:sz="0" w:space="0" w:color="auto"/>
        <w:bottom w:val="none" w:sz="0" w:space="0" w:color="auto"/>
        <w:right w:val="none" w:sz="0" w:space="0" w:color="auto"/>
      </w:divBdr>
    </w:div>
    <w:div w:id="2085176370">
      <w:bodyDiv w:val="1"/>
      <w:marLeft w:val="0"/>
      <w:marRight w:val="0"/>
      <w:marTop w:val="0"/>
      <w:marBottom w:val="0"/>
      <w:divBdr>
        <w:top w:val="none" w:sz="0" w:space="0" w:color="auto"/>
        <w:left w:val="none" w:sz="0" w:space="0" w:color="auto"/>
        <w:bottom w:val="none" w:sz="0" w:space="0" w:color="auto"/>
        <w:right w:val="none" w:sz="0" w:space="0" w:color="auto"/>
      </w:divBdr>
    </w:div>
    <w:div w:id="2085839403">
      <w:bodyDiv w:val="1"/>
      <w:marLeft w:val="0"/>
      <w:marRight w:val="0"/>
      <w:marTop w:val="0"/>
      <w:marBottom w:val="0"/>
      <w:divBdr>
        <w:top w:val="none" w:sz="0" w:space="0" w:color="auto"/>
        <w:left w:val="none" w:sz="0" w:space="0" w:color="auto"/>
        <w:bottom w:val="none" w:sz="0" w:space="0" w:color="auto"/>
        <w:right w:val="none" w:sz="0" w:space="0" w:color="auto"/>
      </w:divBdr>
    </w:div>
    <w:div w:id="2087023999">
      <w:bodyDiv w:val="1"/>
      <w:marLeft w:val="0"/>
      <w:marRight w:val="0"/>
      <w:marTop w:val="0"/>
      <w:marBottom w:val="0"/>
      <w:divBdr>
        <w:top w:val="none" w:sz="0" w:space="0" w:color="auto"/>
        <w:left w:val="none" w:sz="0" w:space="0" w:color="auto"/>
        <w:bottom w:val="none" w:sz="0" w:space="0" w:color="auto"/>
        <w:right w:val="none" w:sz="0" w:space="0" w:color="auto"/>
      </w:divBdr>
    </w:div>
    <w:div w:id="2090420012">
      <w:bodyDiv w:val="1"/>
      <w:marLeft w:val="0"/>
      <w:marRight w:val="0"/>
      <w:marTop w:val="0"/>
      <w:marBottom w:val="0"/>
      <w:divBdr>
        <w:top w:val="none" w:sz="0" w:space="0" w:color="auto"/>
        <w:left w:val="none" w:sz="0" w:space="0" w:color="auto"/>
        <w:bottom w:val="none" w:sz="0" w:space="0" w:color="auto"/>
        <w:right w:val="none" w:sz="0" w:space="0" w:color="auto"/>
      </w:divBdr>
    </w:div>
    <w:div w:id="2093236457">
      <w:bodyDiv w:val="1"/>
      <w:marLeft w:val="0"/>
      <w:marRight w:val="0"/>
      <w:marTop w:val="0"/>
      <w:marBottom w:val="0"/>
      <w:divBdr>
        <w:top w:val="none" w:sz="0" w:space="0" w:color="auto"/>
        <w:left w:val="none" w:sz="0" w:space="0" w:color="auto"/>
        <w:bottom w:val="none" w:sz="0" w:space="0" w:color="auto"/>
        <w:right w:val="none" w:sz="0" w:space="0" w:color="auto"/>
      </w:divBdr>
    </w:div>
    <w:div w:id="2101221191">
      <w:bodyDiv w:val="1"/>
      <w:marLeft w:val="0"/>
      <w:marRight w:val="0"/>
      <w:marTop w:val="0"/>
      <w:marBottom w:val="0"/>
      <w:divBdr>
        <w:top w:val="none" w:sz="0" w:space="0" w:color="auto"/>
        <w:left w:val="none" w:sz="0" w:space="0" w:color="auto"/>
        <w:bottom w:val="none" w:sz="0" w:space="0" w:color="auto"/>
        <w:right w:val="none" w:sz="0" w:space="0" w:color="auto"/>
      </w:divBdr>
    </w:div>
    <w:div w:id="2104833524">
      <w:bodyDiv w:val="1"/>
      <w:marLeft w:val="0"/>
      <w:marRight w:val="0"/>
      <w:marTop w:val="0"/>
      <w:marBottom w:val="0"/>
      <w:divBdr>
        <w:top w:val="none" w:sz="0" w:space="0" w:color="auto"/>
        <w:left w:val="none" w:sz="0" w:space="0" w:color="auto"/>
        <w:bottom w:val="none" w:sz="0" w:space="0" w:color="auto"/>
        <w:right w:val="none" w:sz="0" w:space="0" w:color="auto"/>
      </w:divBdr>
    </w:div>
    <w:div w:id="2107922064">
      <w:bodyDiv w:val="1"/>
      <w:marLeft w:val="0"/>
      <w:marRight w:val="0"/>
      <w:marTop w:val="0"/>
      <w:marBottom w:val="0"/>
      <w:divBdr>
        <w:top w:val="none" w:sz="0" w:space="0" w:color="auto"/>
        <w:left w:val="none" w:sz="0" w:space="0" w:color="auto"/>
        <w:bottom w:val="none" w:sz="0" w:space="0" w:color="auto"/>
        <w:right w:val="none" w:sz="0" w:space="0" w:color="auto"/>
      </w:divBdr>
    </w:div>
    <w:div w:id="2115637771">
      <w:bodyDiv w:val="1"/>
      <w:marLeft w:val="0"/>
      <w:marRight w:val="0"/>
      <w:marTop w:val="0"/>
      <w:marBottom w:val="0"/>
      <w:divBdr>
        <w:top w:val="none" w:sz="0" w:space="0" w:color="auto"/>
        <w:left w:val="none" w:sz="0" w:space="0" w:color="auto"/>
        <w:bottom w:val="none" w:sz="0" w:space="0" w:color="auto"/>
        <w:right w:val="none" w:sz="0" w:space="0" w:color="auto"/>
      </w:divBdr>
    </w:div>
    <w:div w:id="2115901251">
      <w:bodyDiv w:val="1"/>
      <w:marLeft w:val="0"/>
      <w:marRight w:val="0"/>
      <w:marTop w:val="0"/>
      <w:marBottom w:val="0"/>
      <w:divBdr>
        <w:top w:val="none" w:sz="0" w:space="0" w:color="auto"/>
        <w:left w:val="none" w:sz="0" w:space="0" w:color="auto"/>
        <w:bottom w:val="none" w:sz="0" w:space="0" w:color="auto"/>
        <w:right w:val="none" w:sz="0" w:space="0" w:color="auto"/>
      </w:divBdr>
    </w:div>
    <w:div w:id="2116634982">
      <w:bodyDiv w:val="1"/>
      <w:marLeft w:val="0"/>
      <w:marRight w:val="0"/>
      <w:marTop w:val="0"/>
      <w:marBottom w:val="0"/>
      <w:divBdr>
        <w:top w:val="none" w:sz="0" w:space="0" w:color="auto"/>
        <w:left w:val="none" w:sz="0" w:space="0" w:color="auto"/>
        <w:bottom w:val="none" w:sz="0" w:space="0" w:color="auto"/>
        <w:right w:val="none" w:sz="0" w:space="0" w:color="auto"/>
      </w:divBdr>
    </w:div>
    <w:div w:id="2117559173">
      <w:bodyDiv w:val="1"/>
      <w:marLeft w:val="0"/>
      <w:marRight w:val="0"/>
      <w:marTop w:val="0"/>
      <w:marBottom w:val="0"/>
      <w:divBdr>
        <w:top w:val="none" w:sz="0" w:space="0" w:color="auto"/>
        <w:left w:val="none" w:sz="0" w:space="0" w:color="auto"/>
        <w:bottom w:val="none" w:sz="0" w:space="0" w:color="auto"/>
        <w:right w:val="none" w:sz="0" w:space="0" w:color="auto"/>
      </w:divBdr>
    </w:div>
    <w:div w:id="2117600898">
      <w:bodyDiv w:val="1"/>
      <w:marLeft w:val="0"/>
      <w:marRight w:val="0"/>
      <w:marTop w:val="0"/>
      <w:marBottom w:val="0"/>
      <w:divBdr>
        <w:top w:val="none" w:sz="0" w:space="0" w:color="auto"/>
        <w:left w:val="none" w:sz="0" w:space="0" w:color="auto"/>
        <w:bottom w:val="none" w:sz="0" w:space="0" w:color="auto"/>
        <w:right w:val="none" w:sz="0" w:space="0" w:color="auto"/>
      </w:divBdr>
    </w:div>
    <w:div w:id="2117944627">
      <w:bodyDiv w:val="1"/>
      <w:marLeft w:val="0"/>
      <w:marRight w:val="0"/>
      <w:marTop w:val="0"/>
      <w:marBottom w:val="0"/>
      <w:divBdr>
        <w:top w:val="none" w:sz="0" w:space="0" w:color="auto"/>
        <w:left w:val="none" w:sz="0" w:space="0" w:color="auto"/>
        <w:bottom w:val="none" w:sz="0" w:space="0" w:color="auto"/>
        <w:right w:val="none" w:sz="0" w:space="0" w:color="auto"/>
      </w:divBdr>
    </w:div>
    <w:div w:id="2119251969">
      <w:bodyDiv w:val="1"/>
      <w:marLeft w:val="0"/>
      <w:marRight w:val="0"/>
      <w:marTop w:val="0"/>
      <w:marBottom w:val="0"/>
      <w:divBdr>
        <w:top w:val="none" w:sz="0" w:space="0" w:color="auto"/>
        <w:left w:val="none" w:sz="0" w:space="0" w:color="auto"/>
        <w:bottom w:val="none" w:sz="0" w:space="0" w:color="auto"/>
        <w:right w:val="none" w:sz="0" w:space="0" w:color="auto"/>
      </w:divBdr>
    </w:div>
    <w:div w:id="2123062327">
      <w:bodyDiv w:val="1"/>
      <w:marLeft w:val="0"/>
      <w:marRight w:val="0"/>
      <w:marTop w:val="0"/>
      <w:marBottom w:val="0"/>
      <w:divBdr>
        <w:top w:val="none" w:sz="0" w:space="0" w:color="auto"/>
        <w:left w:val="none" w:sz="0" w:space="0" w:color="auto"/>
        <w:bottom w:val="none" w:sz="0" w:space="0" w:color="auto"/>
        <w:right w:val="none" w:sz="0" w:space="0" w:color="auto"/>
      </w:divBdr>
    </w:div>
    <w:div w:id="2123911062">
      <w:bodyDiv w:val="1"/>
      <w:marLeft w:val="0"/>
      <w:marRight w:val="0"/>
      <w:marTop w:val="0"/>
      <w:marBottom w:val="0"/>
      <w:divBdr>
        <w:top w:val="none" w:sz="0" w:space="0" w:color="auto"/>
        <w:left w:val="none" w:sz="0" w:space="0" w:color="auto"/>
        <w:bottom w:val="none" w:sz="0" w:space="0" w:color="auto"/>
        <w:right w:val="none" w:sz="0" w:space="0" w:color="auto"/>
      </w:divBdr>
    </w:div>
    <w:div w:id="2124298681">
      <w:bodyDiv w:val="1"/>
      <w:marLeft w:val="0"/>
      <w:marRight w:val="0"/>
      <w:marTop w:val="0"/>
      <w:marBottom w:val="0"/>
      <w:divBdr>
        <w:top w:val="none" w:sz="0" w:space="0" w:color="auto"/>
        <w:left w:val="none" w:sz="0" w:space="0" w:color="auto"/>
        <w:bottom w:val="none" w:sz="0" w:space="0" w:color="auto"/>
        <w:right w:val="none" w:sz="0" w:space="0" w:color="auto"/>
      </w:divBdr>
    </w:div>
    <w:div w:id="2128163290">
      <w:bodyDiv w:val="1"/>
      <w:marLeft w:val="0"/>
      <w:marRight w:val="0"/>
      <w:marTop w:val="0"/>
      <w:marBottom w:val="0"/>
      <w:divBdr>
        <w:top w:val="none" w:sz="0" w:space="0" w:color="auto"/>
        <w:left w:val="none" w:sz="0" w:space="0" w:color="auto"/>
        <w:bottom w:val="none" w:sz="0" w:space="0" w:color="auto"/>
        <w:right w:val="none" w:sz="0" w:space="0" w:color="auto"/>
      </w:divBdr>
    </w:div>
    <w:div w:id="2130539495">
      <w:bodyDiv w:val="1"/>
      <w:marLeft w:val="0"/>
      <w:marRight w:val="0"/>
      <w:marTop w:val="0"/>
      <w:marBottom w:val="0"/>
      <w:divBdr>
        <w:top w:val="none" w:sz="0" w:space="0" w:color="auto"/>
        <w:left w:val="none" w:sz="0" w:space="0" w:color="auto"/>
        <w:bottom w:val="none" w:sz="0" w:space="0" w:color="auto"/>
        <w:right w:val="none" w:sz="0" w:space="0" w:color="auto"/>
      </w:divBdr>
    </w:div>
    <w:div w:id="2142141878">
      <w:bodyDiv w:val="1"/>
      <w:marLeft w:val="0"/>
      <w:marRight w:val="0"/>
      <w:marTop w:val="0"/>
      <w:marBottom w:val="0"/>
      <w:divBdr>
        <w:top w:val="none" w:sz="0" w:space="0" w:color="auto"/>
        <w:left w:val="none" w:sz="0" w:space="0" w:color="auto"/>
        <w:bottom w:val="none" w:sz="0" w:space="0" w:color="auto"/>
        <w:right w:val="none" w:sz="0" w:space="0" w:color="auto"/>
      </w:divBdr>
    </w:div>
    <w:div w:id="21432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L:\OF2000_P\Cabec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1E5B-72DA-4179-B777-D554A22C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Cabecera.dot</Template>
  <TotalTime>458</TotalTime>
  <Pages>98</Pages>
  <Words>26979</Words>
  <Characters>171812</Characters>
  <Application>Microsoft Office Word</Application>
  <DocSecurity>0</DocSecurity>
  <Lines>1431</Lines>
  <Paragraphs>396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Encabezado de las plantillas del Puerto de Palma</vt:lpstr>
      <vt:lpstr>Encabezado de las plantillas del Puerto de Palma</vt:lpstr>
    </vt:vector>
  </TitlesOfParts>
  <Company>apb</Company>
  <LinksUpToDate>false</LinksUpToDate>
  <CharactersWithSpaces>198395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 de las plantillas del Puerto de Palma</dc:title>
  <dc:creator>apou</dc:creator>
  <cp:lastModifiedBy>Miguel Rigo Salvá</cp:lastModifiedBy>
  <cp:revision>46</cp:revision>
  <cp:lastPrinted>2024-03-18T12:53:00Z</cp:lastPrinted>
  <dcterms:created xsi:type="dcterms:W3CDTF">2024-03-18T06:54:00Z</dcterms:created>
  <dcterms:modified xsi:type="dcterms:W3CDTF">2024-03-19T11:00:00Z</dcterms:modified>
</cp:coreProperties>
</file>